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Rail Passenger — Phase 1 Calibration Report</w:t>
      </w:r>
    </w:p>
    <w:p>
      <w:pPr>
        <w:jc w:val="center"/>
      </w:pPr>
      <w:r>
        <w:rPr>
          <w:i/>
        </w:rPr>
        <w:t>Family: rail_passenger   |   Generated: 2026-05-02   |   Unit: million_pkm</w:t>
      </w:r>
    </w:p>
    <w:p/>
    <w:p>
      <w:pPr>
        <w:pStyle w:val="Heading1"/>
      </w:pPr>
      <w:r>
        <w:t>1. Calibration Basis</w:t>
      </w:r>
    </w:p>
    <w:p>
      <w:r>
        <w:rPr>
          <w:b/>
        </w:rPr>
        <w:t xml:space="preserve">Demand anchor. </w:t>
      </w:r>
      <w:r>
        <w:t>The 2025 baseline demand is anchored at 22,000 million_pkm.</w:t>
      </w:r>
    </w:p>
    <w:p>
      <w:r>
        <w:rPr>
          <w:b/>
        </w:rPr>
        <w:t xml:space="preserve">Energy calibration. </w:t>
      </w:r>
      <w:r>
        <w:t>Total final energy at the 2025 anchor is 8.0 PJ (AES 2023-24). This gives an energy intensity of 364.0 GJ/million_pkm. Input fuels: electricity, diesel.</w:t>
      </w:r>
    </w:p>
    <w:p>
      <w:r>
        <w:rPr>
          <w:b/>
        </w:rPr>
        <w:t xml:space="preserve">Emissions calibration. </w:t>
      </w:r>
      <w:r>
        <w:t>Scope 1 CO2e at the anchor equals 0.27 MtCO2e (Rail passenger scope 1 diesel). This uses NGA 2024 emission factors and IPCC AR5 GWP100. Electricity-related emissions are excluded (scope 2 boundary, per A003).</w:t>
      </w:r>
    </w:p>
    <w:p>
      <w:pPr>
        <w:pStyle w:val="Heading1"/>
      </w:pPr>
      <w:r>
        <w:t>2. Technology States</w:t>
      </w:r>
    </w:p>
    <w:p>
      <w:pPr>
        <w:pStyle w:val="Heading2"/>
      </w:pPr>
      <w:r>
        <w:t>Conventional mixed (electric+diesel)</w:t>
      </w:r>
    </w:p>
    <w:p>
      <w:r>
        <w:t>State ID: rail_passenger__conventional_mixed. Classification: incumbent. Max share range: 100% (2025) to 55% (2050). Cost: AUD 0.08/million_pkm (2024 real). Energy trajectory: Elec 182 → 195 + Diesel 182 → 120 GJ/million_pkm.</w:t>
      </w:r>
    </w:p>
    <w:p>
      <w:pPr>
        <w:pStyle w:val="Heading2"/>
      </w:pPr>
      <w:r>
        <w:t>Fully electrified OHL</w:t>
      </w:r>
    </w:p>
    <w:p>
      <w:r>
        <w:t>State ID: rail_passenger__fully_electrified. Classification: progression. Max share range: 15% (2025) to 60% (2050). Cost: AUD 0.07/million_pkm (2024 real). Energy trajectory: 250 → 200 GJ electricity/million_pkm.</w:t>
      </w:r>
    </w:p>
    <w:p>
      <w:pPr>
        <w:pStyle w:val="Heading2"/>
      </w:pPr>
      <w:r>
        <w:t>Hydrogen regional train</w:t>
      </w:r>
    </w:p>
    <w:p>
      <w:r>
        <w:t>State ID: rail_passenger__hydrogen_regional. Classification: progression. Max share range: 0% (2025) to 20% (2050). Cost: AUD 0.15/million_pkm (2024 real). Energy trajectory: 0 → 320 → 250 GJ H2/million_pkm (from 2030).</w:t>
      </w:r>
    </w:p>
    <w:p>
      <w:pPr>
        <w:pStyle w:val="Heading2"/>
      </w:pPr>
      <w:r>
        <w:t>Battery-electric regional</w:t>
      </w:r>
    </w:p>
    <w:p>
      <w:r>
        <w:t>State ID: rail_passenger__battery_electric_regional. Classification: progression. Max share range: 1% (2025) to 15% (2050). Cost: AUD 0.12/million_pkm (2024 real). Energy trajectory: 280 → 230 GJ electricity/million_pkm.</w:t>
      </w:r>
    </w:p>
    <w:p>
      <w:pPr>
        <w:pStyle w:val="Heading1"/>
      </w:pPr>
      <w:r>
        <w:t>3. Key Assumptions</w:t>
      </w:r>
    </w:p>
    <w:p>
      <w:pPr>
        <w:pStyle w:val="ListBullet"/>
      </w:pPr>
      <w:r>
        <w:t>Demand anchor: 22,000 million_pkm (BITRE Rail Summary Data)</w:t>
      </w:r>
    </w:p>
    <w:p>
      <w:pPr>
        <w:pStyle w:val="ListBullet"/>
      </w:pPr>
      <w:r>
        <w:t>AES rail passenger energy estimated at ~8 PJ (total rail ~33 PJ; passenger share ~24%)</w:t>
      </w:r>
    </w:p>
    <w:p>
      <w:pPr>
        <w:pStyle w:val="ListBullet"/>
      </w:pPr>
      <w:r>
        <w:t>National average 50% electric / 50% diesel by energy (urban electric, regional diesel)</w:t>
      </w:r>
    </w:p>
    <w:p>
      <w:pPr>
        <w:pStyle w:val="ListBullet"/>
      </w:pPr>
      <w:r>
        <w:t>Scope 1 CO2e from diesel only; electricity scope 2 excluded per A003</w:t>
      </w:r>
    </w:p>
    <w:p>
      <w:pPr>
        <w:pStyle w:val="ListBullet"/>
      </w:pPr>
      <w:r>
        <w:t>Hydrogen trains available from 2030; battery-electric available from 2025</w:t>
      </w:r>
    </w:p>
    <w:p>
      <w:pPr>
        <w:pStyle w:val="ListBullet"/>
      </w:pPr>
      <w:r>
        <w:t>GWP: IPCC AR5 GWP100</w:t>
      </w:r>
    </w:p>
    <w:p>
      <w:pPr>
        <w:pStyle w:val="Heading1"/>
      </w:pPr>
      <w:r>
        <w:t>4. Known Caveats</w:t>
      </w:r>
    </w:p>
    <w:p>
      <w:pPr>
        <w:pStyle w:val="ListBullet"/>
      </w:pPr>
      <w:r>
        <w:t>AES does not separately report freight vs passenger rail; 8 PJ is an estimate</w:t>
      </w:r>
    </w:p>
    <w:p>
      <w:pPr>
        <w:pStyle w:val="ListBullet"/>
      </w:pPr>
      <w:r>
        <w:t>50/50 energy split is a national average; state-level variation is significant</w:t>
      </w:r>
    </w:p>
    <w:p>
      <w:pPr>
        <w:pStyle w:val="ListBullet"/>
      </w:pPr>
      <w:r>
        <w:t>OHL electrification requires 20-30 year investment lead times</w:t>
      </w:r>
    </w:p>
    <w:p>
      <w:pPr>
        <w:pStyle w:val="ListBullet"/>
      </w:pPr>
      <w:r>
        <w:t>Battery-electric limited to &lt;200 km per charge; hydrogen limited by H2 supply chain</w:t>
      </w:r>
    </w:p>
    <w:p>
      <w:pPr>
        <w:pStyle w:val="Heading1"/>
      </w:pPr>
      <w:r>
        <w:t>5. Data Sources</w:t>
      </w:r>
    </w:p>
    <w:p>
      <w:pPr>
        <w:pStyle w:val="ListBullet"/>
      </w:pPr>
      <w:r>
        <w:t>S001 — AES 2023-24 estimated rail passenger share</w:t>
      </w:r>
    </w:p>
    <w:p>
      <w:pPr>
        <w:pStyle w:val="ListBullet"/>
      </w:pPr>
      <w:r>
        <w:t>S004 — National Inventory Report 2023</w:t>
      </w:r>
    </w:p>
    <w:p>
      <w:pPr>
        <w:pStyle w:val="ListBullet"/>
      </w:pPr>
      <w:r>
        <w:t>S012 — BITRE Rail Summary Data</w:t>
      </w:r>
    </w:p>
    <w:p>
      <w:pPr>
        <w:pStyle w:val="ListBullet"/>
      </w:pPr>
      <w:r>
        <w:t>A002 — Cost definition: non-commodity conversion cost only</w:t>
      </w:r>
    </w:p>
    <w:p>
      <w:pPr>
        <w:pStyle w:val="ListBullet"/>
      </w:pPr>
      <w:r>
        <w:t>A003 — Scope 1 boundary: electricity-related emissions excluded</w:t>
      </w:r>
    </w:p>
    <w:p>
      <w:pPr>
        <w:pStyle w:val="ListBullet"/>
      </w:pPr>
      <w:r>
        <w:t>A022 — Feasibility bounds: indicative upper envelopes, not diffusion targets</w:t>
      </w:r>
    </w:p>
    <w:p>
      <w:pPr>
        <w:pStyle w:val="ListBullet"/>
      </w:pPr>
      <w:r>
        <w:t>A023 — Cost trajectories smoothed where evidence is sparse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