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Coal Mining Sector Family — Data Calibration Report</w:t>
      </w:r>
    </w:p>
    <w:p>
      <w:r>
        <w:rPr>
          <w:b w:val="0"/>
          <w:i/>
        </w:rPr>
        <w:t>Prepared: 01 May 2026  |  Version: 1.1  |  Status: Phase 1 calibration (total production basis)</w:t>
      </w:r>
    </w:p>
    <w:p/>
    <w:p>
      <w:pPr>
        <w:pStyle w:val="Heading1"/>
      </w:pPr>
      <w:r>
        <w:t>1. Executive Summary</w:t>
      </w:r>
    </w:p>
    <w:p>
      <w:r>
        <w:rPr>
          <w:b w:val="0"/>
          <w:i w:val="0"/>
        </w:rPr>
        <w:t>This report documents the calibration of the coal_mining family in the Simple MSM sector trajectory library. The family models total Australian coal mining operations (420,000 kt/yr in 2025, comprising ~330,000 kt export and ~90,000 kt domestic). Using total production as the demand anchor gives exact matches to both key national statistics: (a) AES 2023-24 Table F: 406 GJ/kt × 420,000 kt = 170.5 PJ (98.0% of AES 174 PJ); (b) NGGI 2022-23 Cat 1B1a: 69 tCO2e/kt × 420,000 kt = 29.0 MtCO2e (99.9% of NGGI 29 MtCO2e). Demand declines at −1.1%/yr compound (weighted average of export −0.75%/yr and domestic −2.5%/yr).</w:t>
      </w:r>
    </w:p>
    <w:p>
      <w:pPr>
        <w:pStyle w:val="Heading1"/>
      </w:pPr>
      <w:r>
        <w:t>2. Primary Data Sources</w:t>
      </w:r>
    </w:p>
    <w:p>
      <w:pPr>
        <w:pStyle w:val="Caption"/>
      </w:pPr>
      <w:r>
        <w:t>Table 1 — Primary data sources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Source ID</w:t>
            </w:r>
          </w:p>
        </w:tc>
        <w:tc>
          <w:tcPr>
            <w:tcW w:type="dxa" w:w="2160"/>
          </w:tcPr>
          <w:p>
            <w:r>
              <w:rPr>
                <w:b/>
              </w:rPr>
              <w:t>Dataset</w:t>
            </w:r>
          </w:p>
        </w:tc>
        <w:tc>
          <w:tcPr>
            <w:tcW w:type="dxa" w:w="2160"/>
          </w:tcPr>
          <w:p>
            <w:r>
              <w:rPr>
                <w:b/>
              </w:rPr>
              <w:t>Year</w:t>
            </w:r>
          </w:p>
        </w:tc>
        <w:tc>
          <w:tcPr>
            <w:tcW w:type="dxa" w:w="2160"/>
          </w:tcPr>
          <w:p>
            <w:r>
              <w:rPr>
                <w:b/>
              </w:rPr>
              <w:t>Key Figure Used</w:t>
            </w:r>
          </w:p>
        </w:tc>
      </w:tr>
      <w:tr>
        <w:tc>
          <w:tcPr>
            <w:tcW w:type="dxa" w:w="2160"/>
          </w:tcPr>
          <w:p>
            <w:r>
              <w:t>S001</w:t>
            </w:r>
          </w:p>
        </w:tc>
        <w:tc>
          <w:tcPr>
            <w:tcW w:type="dxa" w:w="2160"/>
          </w:tcPr>
          <w:p>
            <w:r>
              <w:t>AES 2023-24 Table F — Mining sector final energy</w:t>
            </w:r>
          </w:p>
        </w:tc>
        <w:tc>
          <w:tcPr>
            <w:tcW w:type="dxa" w:w="2160"/>
          </w:tcPr>
          <w:p>
            <w:r>
              <w:t>2023-24</w:t>
            </w:r>
          </w:p>
        </w:tc>
        <w:tc>
          <w:tcPr>
            <w:tcW w:type="dxa" w:w="2160"/>
          </w:tcPr>
          <w:p>
            <w:r>
              <w:t>174 PJ total, fuel split: rfuel 73%, elec 19%, gas 6%</w:t>
            </w:r>
          </w:p>
        </w:tc>
      </w:tr>
      <w:tr>
        <w:tc>
          <w:tcPr>
            <w:tcW w:type="dxa" w:w="2160"/>
          </w:tcPr>
          <w:p>
            <w:r>
              <w:t>S002</w:t>
            </w:r>
          </w:p>
        </w:tc>
        <w:tc>
          <w:tcPr>
            <w:tcW w:type="dxa" w:w="2160"/>
          </w:tcPr>
          <w:p>
            <w:r>
              <w:t>NGGI 2022-23 — Category 1B1a Fugitive (coal mining)</w:t>
            </w:r>
          </w:p>
        </w:tc>
        <w:tc>
          <w:tcPr>
            <w:tcW w:type="dxa" w:w="2160"/>
          </w:tcPr>
          <w:p>
            <w:r>
              <w:t>2022-23</w:t>
            </w:r>
          </w:p>
        </w:tc>
        <w:tc>
          <w:tcPr>
            <w:tcW w:type="dxa" w:w="2160"/>
          </w:tcPr>
          <w:p>
            <w:r>
              <w:t>~29 MtCO2e; 69 tCO2e/kt at 420,000 kt total</w:t>
            </w:r>
          </w:p>
        </w:tc>
      </w:tr>
      <w:tr>
        <w:tc>
          <w:tcPr>
            <w:tcW w:type="dxa" w:w="2160"/>
          </w:tcPr>
          <w:p>
            <w:r>
              <w:t>S021</w:t>
            </w:r>
          </w:p>
        </w:tc>
        <w:tc>
          <w:tcPr>
            <w:tcW w:type="dxa" w:w="2160"/>
          </w:tcPr>
          <w:p>
            <w:r>
              <w:t>Geoscience Australia Australian Energy Update 2023-24</w:t>
            </w:r>
          </w:p>
        </w:tc>
        <w:tc>
          <w:tcPr>
            <w:tcW w:type="dxa" w:w="2160"/>
          </w:tcPr>
          <w:p>
            <w:r>
              <w:t>2023-24</w:t>
            </w:r>
          </w:p>
        </w:tc>
        <w:tc>
          <w:tcPr>
            <w:tcW w:type="dxa" w:w="2160"/>
          </w:tcPr>
          <w:p>
            <w:r>
              <w:t>420,000 kt total production; export ~330,000 kt, domestic ~90,000 kt</w:t>
            </w:r>
          </w:p>
        </w:tc>
      </w:tr>
      <w:tr>
        <w:tc>
          <w:tcPr>
            <w:tcW w:type="dxa" w:w="2160"/>
          </w:tcPr>
          <w:p>
            <w:r>
              <w:t>NGA2024</w:t>
            </w:r>
          </w:p>
        </w:tc>
        <w:tc>
          <w:tcPr>
            <w:tcW w:type="dxa" w:w="2160"/>
          </w:tcPr>
          <w:p>
            <w:r>
              <w:t>National Greenhouse Accounts Factors 2024</w:t>
            </w:r>
          </w:p>
        </w:tc>
        <w:tc>
          <w:tcPr>
            <w:tcW w:type="dxa" w:w="2160"/>
          </w:tcPr>
          <w:p>
            <w:r>
              <w:t>2024</w:t>
            </w:r>
          </w:p>
        </w:tc>
        <w:tc>
          <w:tcPr>
            <w:tcW w:type="dxa" w:w="2160"/>
          </w:tcPr>
          <w:p>
            <w:r>
              <w:t>Diesel/rfuel 68.4 kgCO2e/GJ; gas 51.4 kgCO2e/GJ (AR5 GWP100)</w:t>
            </w:r>
          </w:p>
        </w:tc>
      </w:tr>
    </w:tbl>
    <w:p/>
    <w:p>
      <w:pPr>
        <w:pStyle w:val="Heading1"/>
      </w:pPr>
      <w:r>
        <w:t>3. AES 174 PJ Calibration — Step-by-Step</w:t>
      </w:r>
    </w:p>
    <w:p>
      <w:r>
        <w:rPr>
          <w:b w:val="0"/>
          <w:i w:val="0"/>
        </w:rPr>
        <w:t>AES 2023-24 Table F reports 174 PJ of total final energy consumed by the coal mining sector (ANZSIC 06100 black coal and 06200 brown coal combined) at national scale (420,000 kt of raw coal output).</w:t>
      </w:r>
    </w:p>
    <w:p>
      <w:pPr>
        <w:pStyle w:val="Caption"/>
      </w:pPr>
      <w:r>
        <w:t>Table 2 — Calibration steps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Calculation</w:t>
            </w:r>
          </w:p>
        </w:tc>
        <w:tc>
          <w:tcPr>
            <w:tcW w:type="dxa" w:w="2880"/>
          </w:tcPr>
          <w:p>
            <w:r>
              <w:rPr>
                <w:b/>
              </w:rPr>
              <w:t>Result</w:t>
            </w:r>
          </w:p>
        </w:tc>
      </w:tr>
      <w:tr>
        <w:tc>
          <w:tcPr>
            <w:tcW w:type="dxa" w:w="2880"/>
          </w:tcPr>
          <w:p>
            <w:r>
              <w:t>1. National average intensity</w:t>
            </w:r>
          </w:p>
        </w:tc>
        <w:tc>
          <w:tcPr>
            <w:tcW w:type="dxa" w:w="2880"/>
          </w:tcPr>
          <w:p>
            <w:r>
              <w:t>174 PJ ÷ 420,000 kt</w:t>
            </w:r>
          </w:p>
        </w:tc>
        <w:tc>
          <w:tcPr>
            <w:tcW w:type="dxa" w:w="2880"/>
          </w:tcPr>
          <w:p>
            <w:r>
              <w:t>414 GJ/kt</w:t>
            </w:r>
          </w:p>
        </w:tc>
      </w:tr>
      <w:tr>
        <w:tc>
          <w:tcPr>
            <w:tcW w:type="dxa" w:w="2880"/>
          </w:tcPr>
          <w:p>
            <w:r>
              <w:t>2. Coverage adjustment</w:t>
            </w:r>
          </w:p>
        </w:tc>
        <w:tc>
          <w:tcPr>
            <w:tcW w:type="dxa" w:w="2880"/>
          </w:tcPr>
          <w:p>
            <w:r>
              <w:t>~98% of 174 PJ covered by 3 commodities</w:t>
            </w:r>
          </w:p>
        </w:tc>
        <w:tc>
          <w:tcPr>
            <w:tcW w:type="dxa" w:w="2880"/>
          </w:tcPr>
          <w:p>
            <w:r>
              <w:t>406 GJ/kt modelled</w:t>
            </w:r>
          </w:p>
        </w:tc>
      </w:tr>
      <w:tr>
        <w:tc>
          <w:tcPr>
            <w:tcW w:type="dxa" w:w="2880"/>
          </w:tcPr>
          <w:p>
            <w:r>
              <w:t>3. Fuel split rfuel 73%</w:t>
            </w:r>
          </w:p>
        </w:tc>
        <w:tc>
          <w:tcPr>
            <w:tcW w:type="dxa" w:w="2880"/>
          </w:tcPr>
          <w:p>
            <w:r>
              <w:t>0.73 × 406 GJ/kt</w:t>
            </w:r>
          </w:p>
        </w:tc>
        <w:tc>
          <w:tcPr>
            <w:tcW w:type="dxa" w:w="2880"/>
          </w:tcPr>
          <w:p>
            <w:r>
              <w:t>302 GJ/kt refined liquid fuels</w:t>
            </w:r>
          </w:p>
        </w:tc>
      </w:tr>
      <w:tr>
        <w:tc>
          <w:tcPr>
            <w:tcW w:type="dxa" w:w="2880"/>
          </w:tcPr>
          <w:p>
            <w:r>
              <w:t>4. Electricity split 19%</w:t>
            </w:r>
          </w:p>
        </w:tc>
        <w:tc>
          <w:tcPr>
            <w:tcW w:type="dxa" w:w="2880"/>
          </w:tcPr>
          <w:p>
            <w:r>
              <w:t>0.19 × 406 GJ/kt</w:t>
            </w:r>
          </w:p>
        </w:tc>
        <w:tc>
          <w:tcPr>
            <w:tcW w:type="dxa" w:w="2880"/>
          </w:tcPr>
          <w:p>
            <w:r>
              <w:t>79 GJ/kt electricity</w:t>
            </w:r>
          </w:p>
        </w:tc>
      </w:tr>
      <w:tr>
        <w:tc>
          <w:tcPr>
            <w:tcW w:type="dxa" w:w="2880"/>
          </w:tcPr>
          <w:p>
            <w:r>
              <w:t>5. Gas split 6%</w:t>
            </w:r>
          </w:p>
        </w:tc>
        <w:tc>
          <w:tcPr>
            <w:tcW w:type="dxa" w:w="2880"/>
          </w:tcPr>
          <w:p>
            <w:r>
              <w:t>0.06 × 406 GJ/kt</w:t>
            </w:r>
          </w:p>
        </w:tc>
        <w:tc>
          <w:tcPr>
            <w:tcW w:type="dxa" w:w="2880"/>
          </w:tcPr>
          <w:p>
            <w:r>
              <w:t>25 GJ/kt natural gas</w:t>
            </w:r>
          </w:p>
        </w:tc>
      </w:tr>
      <w:tr>
        <w:tc>
          <w:tcPr>
            <w:tcW w:type="dxa" w:w="2880"/>
          </w:tcPr>
          <w:p>
            <w:r>
              <w:t>6. Sum check</w:t>
            </w:r>
          </w:p>
        </w:tc>
        <w:tc>
          <w:tcPr>
            <w:tcW w:type="dxa" w:w="2880"/>
          </w:tcPr>
          <w:p>
            <w:r>
              <w:t>302 + 79 + 25</w:t>
            </w:r>
          </w:p>
        </w:tc>
        <w:tc>
          <w:tcPr>
            <w:tcW w:type="dxa" w:w="2880"/>
          </w:tcPr>
          <w:p>
            <w:r>
              <w:t>406 GJ/kt ✓</w:t>
            </w:r>
          </w:p>
        </w:tc>
      </w:tr>
      <w:tr>
        <w:tc>
          <w:tcPr>
            <w:tcW w:type="dxa" w:w="2880"/>
          </w:tcPr>
          <w:p>
            <w:r>
              <w:t>7. Total energy (modelled)</w:t>
            </w:r>
          </w:p>
        </w:tc>
        <w:tc>
          <w:tcPr>
            <w:tcW w:type="dxa" w:w="2880"/>
          </w:tcPr>
          <w:p>
            <w:r>
              <w:t>406 GJ/kt × 420,000 kt ÷ 10⁶</w:t>
            </w:r>
          </w:p>
        </w:tc>
        <w:tc>
          <w:tcPr>
            <w:tcW w:type="dxa" w:w="2880"/>
          </w:tcPr>
          <w:p>
            <w:r>
              <w:t>170.5 PJ (98.0% of AES 174 PJ) ✓</w:t>
            </w:r>
          </w:p>
        </w:tc>
      </w:tr>
      <w:tr>
        <w:tc>
          <w:tcPr>
            <w:tcW w:type="dxa" w:w="2880"/>
          </w:tcPr>
          <w:p>
            <w:r>
              <w:t>8. Fugitive check</w:t>
            </w:r>
          </w:p>
        </w:tc>
        <w:tc>
          <w:tcPr>
            <w:tcW w:type="dxa" w:w="2880"/>
          </w:tcPr>
          <w:p>
            <w:r>
              <w:t>69 tCO2e/kt × 420,000 kt ÷ 10⁶</w:t>
            </w:r>
          </w:p>
        </w:tc>
        <w:tc>
          <w:tcPr>
            <w:tcW w:type="dxa" w:w="2880"/>
          </w:tcPr>
          <w:p>
            <w:r>
              <w:t>29.0 MtCO2e (99.9% of NGGI 29 MtCO2e) ✓</w:t>
            </w:r>
          </w:p>
        </w:tc>
      </w:tr>
    </w:tbl>
    <w:p/>
    <w:p>
      <w:pPr>
        <w:pStyle w:val="Heading1"/>
      </w:pPr>
      <w:r>
        <w:t>4. Energy Consumption Sense Check — Fuel by Type</w:t>
      </w:r>
    </w:p>
    <w:p>
      <w:r>
        <w:rPr>
          <w:b w:val="0"/>
          <w:i w:val="0"/>
        </w:rPr>
        <w:t>The table below shows the conventional state fuel consumption by type over the modelling horizon. Values are calculated from the per-kt coefficients multiplied by the total demand trajectory (declining__coal_mining_total, −1.1%/yr). The 2025 totals check directly against AES 2023-24 Table F.</w:t>
      </w:r>
    </w:p>
    <w:p>
      <w:pPr>
        <w:pStyle w:val="Caption"/>
      </w:pPr>
      <w:r>
        <w:t>Table 3 — Conventional state fuel consumption by type (2025–2050)</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Year</w:t>
            </w:r>
          </w:p>
        </w:tc>
        <w:tc>
          <w:tcPr>
            <w:tcW w:type="dxa" w:w="1440"/>
          </w:tcPr>
          <w:p>
            <w:r>
              <w:rPr>
                <w:b/>
              </w:rPr>
              <w:t>Demand (kt)</w:t>
            </w:r>
          </w:p>
        </w:tc>
        <w:tc>
          <w:tcPr>
            <w:tcW w:type="dxa" w:w="1440"/>
          </w:tcPr>
          <w:p>
            <w:r>
              <w:rPr>
                <w:b/>
              </w:rPr>
              <w:t>Rfuel (PJ)</w:t>
            </w:r>
          </w:p>
        </w:tc>
        <w:tc>
          <w:tcPr>
            <w:tcW w:type="dxa" w:w="1440"/>
          </w:tcPr>
          <w:p>
            <w:r>
              <w:rPr>
                <w:b/>
              </w:rPr>
              <w:t>Electricity (PJ)</w:t>
            </w:r>
          </w:p>
        </w:tc>
        <w:tc>
          <w:tcPr>
            <w:tcW w:type="dxa" w:w="1440"/>
          </w:tcPr>
          <w:p>
            <w:r>
              <w:rPr>
                <w:b/>
              </w:rPr>
              <w:t>Gas (PJ)</w:t>
            </w:r>
          </w:p>
        </w:tc>
        <w:tc>
          <w:tcPr>
            <w:tcW w:type="dxa" w:w="1440"/>
          </w:tcPr>
          <w:p>
            <w:r>
              <w:rPr>
                <w:b/>
              </w:rPr>
              <w:t>Total (PJ)</w:t>
            </w:r>
          </w:p>
        </w:tc>
      </w:tr>
      <w:tr>
        <w:tc>
          <w:tcPr>
            <w:tcW w:type="dxa" w:w="1440"/>
          </w:tcPr>
          <w:p>
            <w:r>
              <w:t>2025</w:t>
            </w:r>
          </w:p>
        </w:tc>
        <w:tc>
          <w:tcPr>
            <w:tcW w:type="dxa" w:w="1440"/>
          </w:tcPr>
          <w:p>
            <w:r>
              <w:t>420,000</w:t>
            </w:r>
          </w:p>
        </w:tc>
        <w:tc>
          <w:tcPr>
            <w:tcW w:type="dxa" w:w="1440"/>
          </w:tcPr>
          <w:p>
            <w:r>
              <w:t>126.8</w:t>
            </w:r>
          </w:p>
        </w:tc>
        <w:tc>
          <w:tcPr>
            <w:tcW w:type="dxa" w:w="1440"/>
          </w:tcPr>
          <w:p>
            <w:r>
              <w:t>33.2</w:t>
            </w:r>
          </w:p>
        </w:tc>
        <w:tc>
          <w:tcPr>
            <w:tcW w:type="dxa" w:w="1440"/>
          </w:tcPr>
          <w:p>
            <w:r>
              <w:t>10.5</w:t>
            </w:r>
          </w:p>
        </w:tc>
        <w:tc>
          <w:tcPr>
            <w:tcW w:type="dxa" w:w="1440"/>
          </w:tcPr>
          <w:p>
            <w:r>
              <w:t>170.5</w:t>
            </w:r>
          </w:p>
        </w:tc>
      </w:tr>
      <w:tr>
        <w:tc>
          <w:tcPr>
            <w:tcW w:type="dxa" w:w="1440"/>
          </w:tcPr>
          <w:p>
            <w:r>
              <w:t>2030</w:t>
            </w:r>
          </w:p>
        </w:tc>
        <w:tc>
          <w:tcPr>
            <w:tcW w:type="dxa" w:w="1440"/>
          </w:tcPr>
          <w:p>
            <w:r>
              <w:t>397,403</w:t>
            </w:r>
          </w:p>
        </w:tc>
        <w:tc>
          <w:tcPr>
            <w:tcW w:type="dxa" w:w="1440"/>
          </w:tcPr>
          <w:p>
            <w:r>
              <w:t>115.6</w:t>
            </w:r>
          </w:p>
        </w:tc>
        <w:tc>
          <w:tcPr>
            <w:tcW w:type="dxa" w:w="1440"/>
          </w:tcPr>
          <w:p>
            <w:r>
              <w:t>33.0</w:t>
            </w:r>
          </w:p>
        </w:tc>
        <w:tc>
          <w:tcPr>
            <w:tcW w:type="dxa" w:w="1440"/>
          </w:tcPr>
          <w:p>
            <w:r>
              <w:t>9.5</w:t>
            </w:r>
          </w:p>
        </w:tc>
        <w:tc>
          <w:tcPr>
            <w:tcW w:type="dxa" w:w="1440"/>
          </w:tcPr>
          <w:p>
            <w:r>
              <w:t>158.2</w:t>
            </w:r>
          </w:p>
        </w:tc>
      </w:tr>
      <w:tr>
        <w:tc>
          <w:tcPr>
            <w:tcW w:type="dxa" w:w="1440"/>
          </w:tcPr>
          <w:p>
            <w:r>
              <w:t>2035</w:t>
            </w:r>
          </w:p>
        </w:tc>
        <w:tc>
          <w:tcPr>
            <w:tcW w:type="dxa" w:w="1440"/>
          </w:tcPr>
          <w:p>
            <w:r>
              <w:t>376,021</w:t>
            </w:r>
          </w:p>
        </w:tc>
        <w:tc>
          <w:tcPr>
            <w:tcW w:type="dxa" w:w="1440"/>
          </w:tcPr>
          <w:p>
            <w:r>
              <w:t>105.3</w:t>
            </w:r>
          </w:p>
        </w:tc>
        <w:tc>
          <w:tcPr>
            <w:tcW w:type="dxa" w:w="1440"/>
          </w:tcPr>
          <w:p>
            <w:r>
              <w:t>33.1</w:t>
            </w:r>
          </w:p>
        </w:tc>
        <w:tc>
          <w:tcPr>
            <w:tcW w:type="dxa" w:w="1440"/>
          </w:tcPr>
          <w:p>
            <w:r>
              <w:t>8.6</w:t>
            </w:r>
          </w:p>
        </w:tc>
        <w:tc>
          <w:tcPr>
            <w:tcW w:type="dxa" w:w="1440"/>
          </w:tcPr>
          <w:p>
            <w:r>
              <w:t>147.0</w:t>
            </w:r>
          </w:p>
        </w:tc>
      </w:tr>
      <w:tr>
        <w:tc>
          <w:tcPr>
            <w:tcW w:type="dxa" w:w="1440"/>
          </w:tcPr>
          <w:p>
            <w:r>
              <w:t>2040</w:t>
            </w:r>
          </w:p>
        </w:tc>
        <w:tc>
          <w:tcPr>
            <w:tcW w:type="dxa" w:w="1440"/>
          </w:tcPr>
          <w:p>
            <w:r>
              <w:t>355,797</w:t>
            </w:r>
          </w:p>
        </w:tc>
        <w:tc>
          <w:tcPr>
            <w:tcW w:type="dxa" w:w="1440"/>
          </w:tcPr>
          <w:p>
            <w:r>
              <w:t>96.1</w:t>
            </w:r>
          </w:p>
        </w:tc>
        <w:tc>
          <w:tcPr>
            <w:tcW w:type="dxa" w:w="1440"/>
          </w:tcPr>
          <w:p>
            <w:r>
              <w:t>33.4</w:t>
            </w:r>
          </w:p>
        </w:tc>
        <w:tc>
          <w:tcPr>
            <w:tcW w:type="dxa" w:w="1440"/>
          </w:tcPr>
          <w:p>
            <w:r>
              <w:t>7.8</w:t>
            </w:r>
          </w:p>
        </w:tc>
        <w:tc>
          <w:tcPr>
            <w:tcW w:type="dxa" w:w="1440"/>
          </w:tcPr>
          <w:p>
            <w:r>
              <w:t>137.3</w:t>
            </w:r>
          </w:p>
        </w:tc>
      </w:tr>
      <w:tr>
        <w:tc>
          <w:tcPr>
            <w:tcW w:type="dxa" w:w="1440"/>
          </w:tcPr>
          <w:p>
            <w:r>
              <w:t>2045</w:t>
            </w:r>
          </w:p>
        </w:tc>
        <w:tc>
          <w:tcPr>
            <w:tcW w:type="dxa" w:w="1440"/>
          </w:tcPr>
          <w:p>
            <w:r>
              <w:t>336,649</w:t>
            </w:r>
          </w:p>
        </w:tc>
        <w:tc>
          <w:tcPr>
            <w:tcW w:type="dxa" w:w="1440"/>
          </w:tcPr>
          <w:p>
            <w:r>
              <w:t>87.5</w:t>
            </w:r>
          </w:p>
        </w:tc>
        <w:tc>
          <w:tcPr>
            <w:tcW w:type="dxa" w:w="1440"/>
          </w:tcPr>
          <w:p>
            <w:r>
              <w:t>33.0</w:t>
            </w:r>
          </w:p>
        </w:tc>
        <w:tc>
          <w:tcPr>
            <w:tcW w:type="dxa" w:w="1440"/>
          </w:tcPr>
          <w:p>
            <w:r>
              <w:t>7.4</w:t>
            </w:r>
          </w:p>
        </w:tc>
        <w:tc>
          <w:tcPr>
            <w:tcW w:type="dxa" w:w="1440"/>
          </w:tcPr>
          <w:p>
            <w:r>
              <w:t>127.9</w:t>
            </w:r>
          </w:p>
        </w:tc>
      </w:tr>
      <w:tr>
        <w:tc>
          <w:tcPr>
            <w:tcW w:type="dxa" w:w="1440"/>
          </w:tcPr>
          <w:p>
            <w:r>
              <w:t>2050</w:t>
            </w:r>
          </w:p>
        </w:tc>
        <w:tc>
          <w:tcPr>
            <w:tcW w:type="dxa" w:w="1440"/>
          </w:tcPr>
          <w:p>
            <w:r>
              <w:t>318,541</w:t>
            </w:r>
          </w:p>
        </w:tc>
        <w:tc>
          <w:tcPr>
            <w:tcW w:type="dxa" w:w="1440"/>
          </w:tcPr>
          <w:p>
            <w:r>
              <w:t>79.6</w:t>
            </w:r>
          </w:p>
        </w:tc>
        <w:tc>
          <w:tcPr>
            <w:tcW w:type="dxa" w:w="1440"/>
          </w:tcPr>
          <w:p>
            <w:r>
              <w:t>33.1</w:t>
            </w:r>
          </w:p>
        </w:tc>
        <w:tc>
          <w:tcPr>
            <w:tcW w:type="dxa" w:w="1440"/>
          </w:tcPr>
          <w:p>
            <w:r>
              <w:t>6.7</w:t>
            </w:r>
          </w:p>
        </w:tc>
        <w:tc>
          <w:tcPr>
            <w:tcW w:type="dxa" w:w="1440"/>
          </w:tcPr>
          <w:p>
            <w:r>
              <w:t>119.5</w:t>
            </w:r>
          </w:p>
        </w:tc>
      </w:tr>
    </w:tbl>
    <w:p/>
    <w:p>
      <w:r>
        <w:rPr>
          <w:b w:val="0"/>
          <w:i/>
        </w:rPr>
        <w:t>AES reference (2025): 174 PJ total. Modelled 2025 total: 170.5 PJ (98.0% coverage). The 2% gap reflects LPG and biomass fuels not in the model commodity set.</w:t>
      </w:r>
    </w:p>
    <w:p>
      <w:pPr>
        <w:pStyle w:val="Heading1"/>
      </w:pPr>
      <w:r>
        <w:t>5. Emissions Sense Check — Energy and Fugitive CO2e</w:t>
      </w:r>
    </w:p>
    <w:p>
      <w:r>
        <w:rPr>
          <w:b w:val="0"/>
          <w:i w:val="0"/>
        </w:rPr>
        <w:t>Emissions are split into scope 1 energy combustion (derived from fuel coefficients × NGA emission factors) and fugitive process emissions (NGGI Cat 1B1a per-kt average). Both are calibrated to published national statistics.</w:t>
      </w:r>
    </w:p>
    <w:p>
      <w:pPr>
        <w:pStyle w:val="Caption"/>
      </w:pPr>
      <w:r>
        <w:t>Table 4 — Conventional state emissions by type (2025–2050)</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Year</w:t>
            </w:r>
          </w:p>
        </w:tc>
        <w:tc>
          <w:tcPr>
            <w:tcW w:type="dxa" w:w="1234"/>
          </w:tcPr>
          <w:p>
            <w:r>
              <w:rPr>
                <w:b/>
              </w:rPr>
              <w:t>Demand (kt)</w:t>
            </w:r>
          </w:p>
        </w:tc>
        <w:tc>
          <w:tcPr>
            <w:tcW w:type="dxa" w:w="1234"/>
          </w:tcPr>
          <w:p>
            <w:r>
              <w:rPr>
                <w:b/>
              </w:rPr>
              <w:t>Energy CO2e (t/kt)</w:t>
            </w:r>
          </w:p>
        </w:tc>
        <w:tc>
          <w:tcPr>
            <w:tcW w:type="dxa" w:w="1234"/>
          </w:tcPr>
          <w:p>
            <w:r>
              <w:rPr>
                <w:b/>
              </w:rPr>
              <w:t>Fugitive CO2e (t/kt)</w:t>
            </w:r>
          </w:p>
        </w:tc>
        <w:tc>
          <w:tcPr>
            <w:tcW w:type="dxa" w:w="1234"/>
          </w:tcPr>
          <w:p>
            <w:r>
              <w:rPr>
                <w:b/>
              </w:rPr>
              <w:t>Energy (MtCO2e)</w:t>
            </w:r>
          </w:p>
        </w:tc>
        <w:tc>
          <w:tcPr>
            <w:tcW w:type="dxa" w:w="1234"/>
          </w:tcPr>
          <w:p>
            <w:r>
              <w:rPr>
                <w:b/>
              </w:rPr>
              <w:t>Fugitive (MtCO2e)</w:t>
            </w:r>
          </w:p>
        </w:tc>
        <w:tc>
          <w:tcPr>
            <w:tcW w:type="dxa" w:w="1234"/>
          </w:tcPr>
          <w:p>
            <w:r>
              <w:rPr>
                <w:b/>
              </w:rPr>
              <w:t>Total (MtCO2e)</w:t>
            </w:r>
          </w:p>
        </w:tc>
      </w:tr>
      <w:tr>
        <w:tc>
          <w:tcPr>
            <w:tcW w:type="dxa" w:w="1234"/>
          </w:tcPr>
          <w:p>
            <w:r>
              <w:t>2025</w:t>
            </w:r>
          </w:p>
        </w:tc>
        <w:tc>
          <w:tcPr>
            <w:tcW w:type="dxa" w:w="1234"/>
          </w:tcPr>
          <w:p>
            <w:r>
              <w:t>420,000</w:t>
            </w:r>
          </w:p>
        </w:tc>
        <w:tc>
          <w:tcPr>
            <w:tcW w:type="dxa" w:w="1234"/>
          </w:tcPr>
          <w:p>
            <w:r>
              <w:t>22.0</w:t>
            </w:r>
          </w:p>
        </w:tc>
        <w:tc>
          <w:tcPr>
            <w:tcW w:type="dxa" w:w="1234"/>
          </w:tcPr>
          <w:p>
            <w:r>
              <w:t>69.0</w:t>
            </w:r>
          </w:p>
        </w:tc>
        <w:tc>
          <w:tcPr>
            <w:tcW w:type="dxa" w:w="1234"/>
          </w:tcPr>
          <w:p>
            <w:r>
              <w:t>9.24</w:t>
            </w:r>
          </w:p>
        </w:tc>
        <w:tc>
          <w:tcPr>
            <w:tcW w:type="dxa" w:w="1234"/>
          </w:tcPr>
          <w:p>
            <w:r>
              <w:t>28.98</w:t>
            </w:r>
          </w:p>
        </w:tc>
        <w:tc>
          <w:tcPr>
            <w:tcW w:type="dxa" w:w="1234"/>
          </w:tcPr>
          <w:p>
            <w:r>
              <w:t>38.22</w:t>
            </w:r>
          </w:p>
        </w:tc>
      </w:tr>
      <w:tr>
        <w:tc>
          <w:tcPr>
            <w:tcW w:type="dxa" w:w="1234"/>
          </w:tcPr>
          <w:p>
            <w:r>
              <w:t>2030</w:t>
            </w:r>
          </w:p>
        </w:tc>
        <w:tc>
          <w:tcPr>
            <w:tcW w:type="dxa" w:w="1234"/>
          </w:tcPr>
          <w:p>
            <w:r>
              <w:t>397,403</w:t>
            </w:r>
          </w:p>
        </w:tc>
        <w:tc>
          <w:tcPr>
            <w:tcW w:type="dxa" w:w="1234"/>
          </w:tcPr>
          <w:p>
            <w:r>
              <w:t>21.2</w:t>
            </w:r>
          </w:p>
        </w:tc>
        <w:tc>
          <w:tcPr>
            <w:tcW w:type="dxa" w:w="1234"/>
          </w:tcPr>
          <w:p>
            <w:r>
              <w:t>63.0</w:t>
            </w:r>
          </w:p>
        </w:tc>
        <w:tc>
          <w:tcPr>
            <w:tcW w:type="dxa" w:w="1234"/>
          </w:tcPr>
          <w:p>
            <w:r>
              <w:t>8.42</w:t>
            </w:r>
          </w:p>
        </w:tc>
        <w:tc>
          <w:tcPr>
            <w:tcW w:type="dxa" w:w="1234"/>
          </w:tcPr>
          <w:p>
            <w:r>
              <w:t>25.04</w:t>
            </w:r>
          </w:p>
        </w:tc>
        <w:tc>
          <w:tcPr>
            <w:tcW w:type="dxa" w:w="1234"/>
          </w:tcPr>
          <w:p>
            <w:r>
              <w:t>33.46</w:t>
            </w:r>
          </w:p>
        </w:tc>
      </w:tr>
      <w:tr>
        <w:tc>
          <w:tcPr>
            <w:tcW w:type="dxa" w:w="1234"/>
          </w:tcPr>
          <w:p>
            <w:r>
              <w:t>2035</w:t>
            </w:r>
          </w:p>
        </w:tc>
        <w:tc>
          <w:tcPr>
            <w:tcW w:type="dxa" w:w="1234"/>
          </w:tcPr>
          <w:p>
            <w:r>
              <w:t>376,021</w:t>
            </w:r>
          </w:p>
        </w:tc>
        <w:tc>
          <w:tcPr>
            <w:tcW w:type="dxa" w:w="1234"/>
          </w:tcPr>
          <w:p>
            <w:r>
              <w:t>20.3</w:t>
            </w:r>
          </w:p>
        </w:tc>
        <w:tc>
          <w:tcPr>
            <w:tcW w:type="dxa" w:w="1234"/>
          </w:tcPr>
          <w:p>
            <w:r>
              <w:t>57.0</w:t>
            </w:r>
          </w:p>
        </w:tc>
        <w:tc>
          <w:tcPr>
            <w:tcW w:type="dxa" w:w="1234"/>
          </w:tcPr>
          <w:p>
            <w:r>
              <w:t>7.63</w:t>
            </w:r>
          </w:p>
        </w:tc>
        <w:tc>
          <w:tcPr>
            <w:tcW w:type="dxa" w:w="1234"/>
          </w:tcPr>
          <w:p>
            <w:r>
              <w:t>21.43</w:t>
            </w:r>
          </w:p>
        </w:tc>
        <w:tc>
          <w:tcPr>
            <w:tcW w:type="dxa" w:w="1234"/>
          </w:tcPr>
          <w:p>
            <w:r>
              <w:t>29.06</w:t>
            </w:r>
          </w:p>
        </w:tc>
      </w:tr>
      <w:tr>
        <w:tc>
          <w:tcPr>
            <w:tcW w:type="dxa" w:w="1234"/>
          </w:tcPr>
          <w:p>
            <w:r>
              <w:t>2040</w:t>
            </w:r>
          </w:p>
        </w:tc>
        <w:tc>
          <w:tcPr>
            <w:tcW w:type="dxa" w:w="1234"/>
          </w:tcPr>
          <w:p>
            <w:r>
              <w:t>355,797</w:t>
            </w:r>
          </w:p>
        </w:tc>
        <w:tc>
          <w:tcPr>
            <w:tcW w:type="dxa" w:w="1234"/>
          </w:tcPr>
          <w:p>
            <w:r>
              <w:t>19.6</w:t>
            </w:r>
          </w:p>
        </w:tc>
        <w:tc>
          <w:tcPr>
            <w:tcW w:type="dxa" w:w="1234"/>
          </w:tcPr>
          <w:p>
            <w:r>
              <w:t>52.0</w:t>
            </w:r>
          </w:p>
        </w:tc>
        <w:tc>
          <w:tcPr>
            <w:tcW w:type="dxa" w:w="1234"/>
          </w:tcPr>
          <w:p>
            <w:r>
              <w:t>6.97</w:t>
            </w:r>
          </w:p>
        </w:tc>
        <w:tc>
          <w:tcPr>
            <w:tcW w:type="dxa" w:w="1234"/>
          </w:tcPr>
          <w:p>
            <w:r>
              <w:t>18.50</w:t>
            </w:r>
          </w:p>
        </w:tc>
        <w:tc>
          <w:tcPr>
            <w:tcW w:type="dxa" w:w="1234"/>
          </w:tcPr>
          <w:p>
            <w:r>
              <w:t>25.47</w:t>
            </w:r>
          </w:p>
        </w:tc>
      </w:tr>
      <w:tr>
        <w:tc>
          <w:tcPr>
            <w:tcW w:type="dxa" w:w="1234"/>
          </w:tcPr>
          <w:p>
            <w:r>
              <w:t>2045</w:t>
            </w:r>
          </w:p>
        </w:tc>
        <w:tc>
          <w:tcPr>
            <w:tcW w:type="dxa" w:w="1234"/>
          </w:tcPr>
          <w:p>
            <w:r>
              <w:t>336,649</w:t>
            </w:r>
          </w:p>
        </w:tc>
        <w:tc>
          <w:tcPr>
            <w:tcW w:type="dxa" w:w="1234"/>
          </w:tcPr>
          <w:p>
            <w:r>
              <w:t>18.9</w:t>
            </w:r>
          </w:p>
        </w:tc>
        <w:tc>
          <w:tcPr>
            <w:tcW w:type="dxa" w:w="1234"/>
          </w:tcPr>
          <w:p>
            <w:r>
              <w:t>47.0</w:t>
            </w:r>
          </w:p>
        </w:tc>
        <w:tc>
          <w:tcPr>
            <w:tcW w:type="dxa" w:w="1234"/>
          </w:tcPr>
          <w:p>
            <w:r>
              <w:t>6.36</w:t>
            </w:r>
          </w:p>
        </w:tc>
        <w:tc>
          <w:tcPr>
            <w:tcW w:type="dxa" w:w="1234"/>
          </w:tcPr>
          <w:p>
            <w:r>
              <w:t>15.82</w:t>
            </w:r>
          </w:p>
        </w:tc>
        <w:tc>
          <w:tcPr>
            <w:tcW w:type="dxa" w:w="1234"/>
          </w:tcPr>
          <w:p>
            <w:r>
              <w:t>22.18</w:t>
            </w:r>
          </w:p>
        </w:tc>
      </w:tr>
      <w:tr>
        <w:tc>
          <w:tcPr>
            <w:tcW w:type="dxa" w:w="1234"/>
          </w:tcPr>
          <w:p>
            <w:r>
              <w:t>2050</w:t>
            </w:r>
          </w:p>
        </w:tc>
        <w:tc>
          <w:tcPr>
            <w:tcW w:type="dxa" w:w="1234"/>
          </w:tcPr>
          <w:p>
            <w:r>
              <w:t>318,541</w:t>
            </w:r>
          </w:p>
        </w:tc>
        <w:tc>
          <w:tcPr>
            <w:tcW w:type="dxa" w:w="1234"/>
          </w:tcPr>
          <w:p>
            <w:r>
              <w:t>18.2</w:t>
            </w:r>
          </w:p>
        </w:tc>
        <w:tc>
          <w:tcPr>
            <w:tcW w:type="dxa" w:w="1234"/>
          </w:tcPr>
          <w:p>
            <w:r>
              <w:t>43.0</w:t>
            </w:r>
          </w:p>
        </w:tc>
        <w:tc>
          <w:tcPr>
            <w:tcW w:type="dxa" w:w="1234"/>
          </w:tcPr>
          <w:p>
            <w:r>
              <w:t>5.80</w:t>
            </w:r>
          </w:p>
        </w:tc>
        <w:tc>
          <w:tcPr>
            <w:tcW w:type="dxa" w:w="1234"/>
          </w:tcPr>
          <w:p>
            <w:r>
              <w:t>13.70</w:t>
            </w:r>
          </w:p>
        </w:tc>
        <w:tc>
          <w:tcPr>
            <w:tcW w:type="dxa" w:w="1234"/>
          </w:tcPr>
          <w:p>
            <w:r>
              <w:t>19.50</w:t>
            </w:r>
          </w:p>
        </w:tc>
      </w:tr>
    </w:tbl>
    <w:p/>
    <w:p>
      <w:r>
        <w:rPr>
          <w:b w:val="0"/>
          <w:i/>
        </w:rPr>
        <w:t>NGGI reference (2025): ~29 MtCO2e fugitive. Modelled 2025 fugitive: 28.98 MtCO2e (99.9%). Caution: the 69 tCO2e/kt fugitive coefficient is a national average dominated by underground export coal. Open-cut domestic mines (predominantly VIC brown coal) have much lower fugitive intensity (~15 tCO2e/kt). Phase 2: disaggregate by mine type.</w:t>
      </w:r>
    </w:p>
    <w:p>
      <w:pPr>
        <w:pStyle w:val="Heading1"/>
      </w:pPr>
      <w:r>
        <w:t>6. Technology States — Five Pathway Archetypes</w:t>
      </w:r>
    </w:p>
    <w:p>
      <w:pPr>
        <w:pStyle w:val="Caption"/>
      </w:pPr>
      <w:r>
        <w:t>Table 5 — Technology states summary (2025 values)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State ID</w:t>
            </w:r>
          </w:p>
        </w:tc>
        <w:tc>
          <w:tcPr>
            <w:tcW w:type="dxa" w:w="1440"/>
          </w:tcPr>
          <w:p>
            <w:r>
              <w:rPr>
                <w:b/>
              </w:rPr>
              <w:t>Label</w:t>
            </w:r>
          </w:p>
        </w:tc>
        <w:tc>
          <w:tcPr>
            <w:tcW w:type="dxa" w:w="1440"/>
          </w:tcPr>
          <w:p>
            <w:r>
              <w:rPr>
                <w:b/>
              </w:rPr>
              <w:t>2025 SEI (GJ/kt)</w:t>
            </w:r>
          </w:p>
        </w:tc>
        <w:tc>
          <w:tcPr>
            <w:tcW w:type="dxa" w:w="1440"/>
          </w:tcPr>
          <w:p>
            <w:r>
              <w:rPr>
                <w:b/>
              </w:rPr>
              <w:t>2025 Energy CO2e (t/kt)</w:t>
            </w:r>
          </w:p>
        </w:tc>
        <w:tc>
          <w:tcPr>
            <w:tcW w:type="dxa" w:w="1440"/>
          </w:tcPr>
          <w:p>
            <w:r>
              <w:rPr>
                <w:b/>
              </w:rPr>
              <w:t>2025 Fugitive CO2e (t/kt)</w:t>
            </w:r>
          </w:p>
        </w:tc>
        <w:tc>
          <w:tcPr>
            <w:tcW w:type="dxa" w:w="1440"/>
          </w:tcPr>
          <w:p>
            <w:r>
              <w:rPr>
                <w:b/>
              </w:rPr>
              <w:t>Key abatement lever</w:t>
            </w:r>
          </w:p>
        </w:tc>
      </w:tr>
      <w:tr>
        <w:tc>
          <w:tcPr>
            <w:tcW w:type="dxa" w:w="1440"/>
          </w:tcPr>
          <w:p>
            <w:r>
              <w:t>coal_mining__conventional</w:t>
            </w:r>
          </w:p>
        </w:tc>
        <w:tc>
          <w:tcPr>
            <w:tcW w:type="dxa" w:w="1440"/>
          </w:tcPr>
          <w:p>
            <w:r>
              <w:t>Conventional (diesel + grid)</w:t>
            </w:r>
          </w:p>
        </w:tc>
        <w:tc>
          <w:tcPr>
            <w:tcW w:type="dxa" w:w="1440"/>
          </w:tcPr>
          <w:p>
            <w:r>
              <w:t>406</w:t>
            </w:r>
          </w:p>
        </w:tc>
        <w:tc>
          <w:tcPr>
            <w:tcW w:type="dxa" w:w="1440"/>
          </w:tcPr>
          <w:p>
            <w:r>
              <w:t>22.0</w:t>
            </w:r>
          </w:p>
        </w:tc>
        <w:tc>
          <w:tcPr>
            <w:tcW w:type="dxa" w:w="1440"/>
          </w:tcPr>
          <w:p>
            <w:r>
              <w:t>69.0</w:t>
            </w:r>
          </w:p>
        </w:tc>
        <w:tc>
          <w:tcPr>
            <w:tcW w:type="dxa" w:w="1440"/>
          </w:tcPr>
          <w:p>
            <w:r>
              <w:t>Baseline — no additional abatement</w:t>
            </w:r>
          </w:p>
        </w:tc>
      </w:tr>
      <w:tr>
        <w:tc>
          <w:tcPr>
            <w:tcW w:type="dxa" w:w="1440"/>
          </w:tcPr>
          <w:p>
            <w:r>
              <w:t>coal_mining__bev_haulage</w:t>
            </w:r>
          </w:p>
        </w:tc>
        <w:tc>
          <w:tcPr>
            <w:tcW w:type="dxa" w:w="1440"/>
          </w:tcPr>
          <w:p>
            <w:r>
              <w:t>Battery-electric haulage (BEV)</w:t>
            </w:r>
          </w:p>
        </w:tc>
        <w:tc>
          <w:tcPr>
            <w:tcW w:type="dxa" w:w="1440"/>
          </w:tcPr>
          <w:p>
            <w:r>
              <w:t>292</w:t>
            </w:r>
          </w:p>
        </w:tc>
        <w:tc>
          <w:tcPr>
            <w:tcW w:type="dxa" w:w="1440"/>
          </w:tcPr>
          <w:p>
            <w:r>
              <w:t>10.6</w:t>
            </w:r>
          </w:p>
        </w:tc>
        <w:tc>
          <w:tcPr>
            <w:tcW w:type="dxa" w:w="1440"/>
          </w:tcPr>
          <w:p>
            <w:r>
              <w:t>69.0</w:t>
            </w:r>
          </w:p>
        </w:tc>
        <w:tc>
          <w:tcPr>
            <w:tcW w:type="dxa" w:w="1440"/>
          </w:tcPr>
          <w:p>
            <w:r>
              <w:t>BEV haul trucks replace diesel (~55% rfuel reduction)</w:t>
            </w:r>
          </w:p>
        </w:tc>
      </w:tr>
      <w:tr>
        <w:tc>
          <w:tcPr>
            <w:tcW w:type="dxa" w:w="1440"/>
          </w:tcPr>
          <w:p>
            <w:r>
              <w:t>coal_mining__hydrogen_fcev</w:t>
            </w:r>
          </w:p>
        </w:tc>
        <w:tc>
          <w:tcPr>
            <w:tcW w:type="dxa" w:w="1440"/>
          </w:tcPr>
          <w:p>
            <w:r>
              <w:t>Hydrogen FCEV haulage</w:t>
            </w:r>
          </w:p>
        </w:tc>
        <w:tc>
          <w:tcPr>
            <w:tcW w:type="dxa" w:w="1440"/>
          </w:tcPr>
          <w:p>
            <w:r>
              <w:t>320</w:t>
            </w:r>
          </w:p>
        </w:tc>
        <w:tc>
          <w:tcPr>
            <w:tcW w:type="dxa" w:w="1440"/>
          </w:tcPr>
          <w:p>
            <w:r>
              <w:t>10.6</w:t>
            </w:r>
          </w:p>
        </w:tc>
        <w:tc>
          <w:tcPr>
            <w:tcW w:type="dxa" w:w="1440"/>
          </w:tcPr>
          <w:p>
            <w:r>
              <w:t>69.0</w:t>
            </w:r>
          </w:p>
        </w:tc>
        <w:tc>
          <w:tcPr>
            <w:tcW w:type="dxa" w:w="1440"/>
          </w:tcPr>
          <w:p>
            <w:r>
              <w:t>H2 FCEV replace diesel (H2 + residual rfuel)</w:t>
            </w:r>
          </w:p>
        </w:tc>
      </w:tr>
      <w:tr>
        <w:tc>
          <w:tcPr>
            <w:tcW w:type="dxa" w:w="1440"/>
          </w:tcPr>
          <w:p>
            <w:r>
              <w:t>coal_mining__low_fugitive</w:t>
            </w:r>
          </w:p>
        </w:tc>
        <w:tc>
          <w:tcPr>
            <w:tcW w:type="dxa" w:w="1440"/>
          </w:tcPr>
          <w:p>
            <w:r>
              <w:t>Low-fugitive (methane abatement)</w:t>
            </w:r>
          </w:p>
        </w:tc>
        <w:tc>
          <w:tcPr>
            <w:tcW w:type="dxa" w:w="1440"/>
          </w:tcPr>
          <w:p>
            <w:r>
              <w:t>414</w:t>
            </w:r>
          </w:p>
        </w:tc>
        <w:tc>
          <w:tcPr>
            <w:tcW w:type="dxa" w:w="1440"/>
          </w:tcPr>
          <w:p>
            <w:r>
              <w:t>22.2</w:t>
            </w:r>
          </w:p>
        </w:tc>
        <w:tc>
          <w:tcPr>
            <w:tcW w:type="dxa" w:w="1440"/>
          </w:tcPr>
          <w:p>
            <w:r>
              <w:t>34.5</w:t>
            </w:r>
          </w:p>
        </w:tc>
        <w:tc>
          <w:tcPr>
            <w:tcW w:type="dxa" w:w="1440"/>
          </w:tcPr>
          <w:p>
            <w:r>
              <w:t>Methane capture/VAM oxidation (~50% fugitive reduction)</w:t>
            </w:r>
          </w:p>
        </w:tc>
      </w:tr>
      <w:tr>
        <w:tc>
          <w:tcPr>
            <w:tcW w:type="dxa" w:w="1440"/>
          </w:tcPr>
          <w:p>
            <w:r>
              <w:t>coal_mining__integrated_lc</w:t>
            </w:r>
          </w:p>
        </w:tc>
        <w:tc>
          <w:tcPr>
            <w:tcW w:type="dxa" w:w="1440"/>
          </w:tcPr>
          <w:p>
            <w:r>
              <w:t>Integrated low-carbon</w:t>
            </w:r>
          </w:p>
        </w:tc>
        <w:tc>
          <w:tcPr>
            <w:tcW w:type="dxa" w:w="1440"/>
          </w:tcPr>
          <w:p>
            <w:r>
              <w:t>286</w:t>
            </w:r>
          </w:p>
        </w:tc>
        <w:tc>
          <w:tcPr>
            <w:tcW w:type="dxa" w:w="1440"/>
          </w:tcPr>
          <w:p>
            <w:r>
              <w:t>8.6</w:t>
            </w:r>
          </w:p>
        </w:tc>
        <w:tc>
          <w:tcPr>
            <w:tcW w:type="dxa" w:w="1440"/>
          </w:tcPr>
          <w:p>
            <w:r>
              <w:t>28.0</w:t>
            </w:r>
          </w:p>
        </w:tc>
        <w:tc>
          <w:tcPr>
            <w:tcW w:type="dxa" w:w="1440"/>
          </w:tcPr>
          <w:p>
            <w:r>
              <w:t>BEV haulage + fugitive abatement combined</w:t>
            </w:r>
          </w:p>
        </w:tc>
      </w:tr>
    </w:tbl>
    <w:p/>
    <w:p>
      <w:pPr>
        <w:pStyle w:val="Heading1"/>
      </w:pPr>
      <w:r>
        <w:t>7. Total Emissions Pathways by Technology State (MtCO2e/yr)</w:t>
      </w:r>
    </w:p>
    <w:p>
      <w:pPr>
        <w:pStyle w:val="Caption"/>
      </w:pPr>
      <w:r>
        <w:t>Table 6 — Total CO2e by state (MtCO2e/yr, at modelled demand trajectory)</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State</w:t>
            </w:r>
          </w:p>
        </w:tc>
        <w:tc>
          <w:tcPr>
            <w:tcW w:type="dxa" w:w="1234"/>
          </w:tcPr>
          <w:p>
            <w:r>
              <w:rPr>
                <w:b/>
              </w:rPr>
              <w:t>2025</w:t>
            </w:r>
          </w:p>
        </w:tc>
        <w:tc>
          <w:tcPr>
            <w:tcW w:type="dxa" w:w="1234"/>
          </w:tcPr>
          <w:p>
            <w:r>
              <w:rPr>
                <w:b/>
              </w:rPr>
              <w:t>2030</w:t>
            </w:r>
          </w:p>
        </w:tc>
        <w:tc>
          <w:tcPr>
            <w:tcW w:type="dxa" w:w="1234"/>
          </w:tcPr>
          <w:p>
            <w:r>
              <w:rPr>
                <w:b/>
              </w:rPr>
              <w:t>2035</w:t>
            </w:r>
          </w:p>
        </w:tc>
        <w:tc>
          <w:tcPr>
            <w:tcW w:type="dxa" w:w="1234"/>
          </w:tcPr>
          <w:p>
            <w:r>
              <w:rPr>
                <w:b/>
              </w:rPr>
              <w:t>2040</w:t>
            </w:r>
          </w:p>
        </w:tc>
        <w:tc>
          <w:tcPr>
            <w:tcW w:type="dxa" w:w="1234"/>
          </w:tcPr>
          <w:p>
            <w:r>
              <w:rPr>
                <w:b/>
              </w:rPr>
              <w:t>2045</w:t>
            </w:r>
          </w:p>
        </w:tc>
        <w:tc>
          <w:tcPr>
            <w:tcW w:type="dxa" w:w="1234"/>
          </w:tcPr>
          <w:p>
            <w:r>
              <w:rPr>
                <w:b/>
              </w:rPr>
              <w:t>2050</w:t>
            </w:r>
          </w:p>
        </w:tc>
      </w:tr>
      <w:tr>
        <w:tc>
          <w:tcPr>
            <w:tcW w:type="dxa" w:w="1234"/>
          </w:tcPr>
          <w:p>
            <w:r>
              <w:t>Conventional</w:t>
            </w:r>
          </w:p>
        </w:tc>
        <w:tc>
          <w:tcPr>
            <w:tcW w:type="dxa" w:w="1234"/>
          </w:tcPr>
          <w:p>
            <w:r>
              <w:t>38.22</w:t>
            </w:r>
          </w:p>
        </w:tc>
        <w:tc>
          <w:tcPr>
            <w:tcW w:type="dxa" w:w="1234"/>
          </w:tcPr>
          <w:p>
            <w:r>
              <w:t>33.46</w:t>
            </w:r>
          </w:p>
        </w:tc>
        <w:tc>
          <w:tcPr>
            <w:tcW w:type="dxa" w:w="1234"/>
          </w:tcPr>
          <w:p>
            <w:r>
              <w:t>29.07</w:t>
            </w:r>
          </w:p>
        </w:tc>
        <w:tc>
          <w:tcPr>
            <w:tcW w:type="dxa" w:w="1234"/>
          </w:tcPr>
          <w:p>
            <w:r>
              <w:t>25.48</w:t>
            </w:r>
          </w:p>
        </w:tc>
        <w:tc>
          <w:tcPr>
            <w:tcW w:type="dxa" w:w="1234"/>
          </w:tcPr>
          <w:p>
            <w:r>
              <w:t>22.19</w:t>
            </w:r>
          </w:p>
        </w:tc>
        <w:tc>
          <w:tcPr>
            <w:tcW w:type="dxa" w:w="1234"/>
          </w:tcPr>
          <w:p>
            <w:r>
              <w:t>19.49</w:t>
            </w:r>
          </w:p>
        </w:tc>
      </w:tr>
      <w:tr>
        <w:tc>
          <w:tcPr>
            <w:tcW w:type="dxa" w:w="1234"/>
          </w:tcPr>
          <w:p>
            <w:r>
              <w:t>BEV haulage</w:t>
            </w:r>
          </w:p>
        </w:tc>
        <w:tc>
          <w:tcPr>
            <w:tcW w:type="dxa" w:w="1234"/>
          </w:tcPr>
          <w:p>
            <w:r>
              <w:t>33.43</w:t>
            </w:r>
          </w:p>
        </w:tc>
        <w:tc>
          <w:tcPr>
            <w:tcW w:type="dxa" w:w="1234"/>
          </w:tcPr>
          <w:p>
            <w:r>
              <w:t>28.61</w:t>
            </w:r>
          </w:p>
        </w:tc>
        <w:tc>
          <w:tcPr>
            <w:tcW w:type="dxa" w:w="1234"/>
          </w:tcPr>
          <w:p>
            <w:r>
              <w:t>24.33</w:t>
            </w:r>
          </w:p>
        </w:tc>
        <w:tc>
          <w:tcPr>
            <w:tcW w:type="dxa" w:w="1234"/>
          </w:tcPr>
          <w:p>
            <w:r>
              <w:t>20.99</w:t>
            </w:r>
          </w:p>
        </w:tc>
        <w:tc>
          <w:tcPr>
            <w:tcW w:type="dxa" w:w="1234"/>
          </w:tcPr>
          <w:p>
            <w:r>
              <w:t>18.01</w:t>
            </w:r>
          </w:p>
        </w:tc>
        <w:tc>
          <w:tcPr>
            <w:tcW w:type="dxa" w:w="1234"/>
          </w:tcPr>
          <w:p>
            <w:r>
              <w:t>15.67</w:t>
            </w:r>
          </w:p>
        </w:tc>
      </w:tr>
      <w:tr>
        <w:tc>
          <w:tcPr>
            <w:tcW w:type="dxa" w:w="1234"/>
          </w:tcPr>
          <w:p>
            <w:r>
              <w:t>Hydrogen FCEV</w:t>
            </w:r>
          </w:p>
        </w:tc>
        <w:tc>
          <w:tcPr>
            <w:tcW w:type="dxa" w:w="1234"/>
          </w:tcPr>
          <w:p>
            <w:r>
              <w:t>33.43</w:t>
            </w:r>
          </w:p>
        </w:tc>
        <w:tc>
          <w:tcPr>
            <w:tcW w:type="dxa" w:w="1234"/>
          </w:tcPr>
          <w:p>
            <w:r>
              <w:t>28.61</w:t>
            </w:r>
          </w:p>
        </w:tc>
        <w:tc>
          <w:tcPr>
            <w:tcW w:type="dxa" w:w="1234"/>
          </w:tcPr>
          <w:p>
            <w:r>
              <w:t>24.33</w:t>
            </w:r>
          </w:p>
        </w:tc>
        <w:tc>
          <w:tcPr>
            <w:tcW w:type="dxa" w:w="1234"/>
          </w:tcPr>
          <w:p>
            <w:r>
              <w:t>20.99</w:t>
            </w:r>
          </w:p>
        </w:tc>
        <w:tc>
          <w:tcPr>
            <w:tcW w:type="dxa" w:w="1234"/>
          </w:tcPr>
          <w:p>
            <w:r>
              <w:t>18.01</w:t>
            </w:r>
          </w:p>
        </w:tc>
        <w:tc>
          <w:tcPr>
            <w:tcW w:type="dxa" w:w="1234"/>
          </w:tcPr>
          <w:p>
            <w:r>
              <w:t>15.67</w:t>
            </w:r>
          </w:p>
        </w:tc>
      </w:tr>
      <w:tr>
        <w:tc>
          <w:tcPr>
            <w:tcW w:type="dxa" w:w="1234"/>
          </w:tcPr>
          <w:p>
            <w:r>
              <w:t>Low-fugitive</w:t>
            </w:r>
          </w:p>
        </w:tc>
        <w:tc>
          <w:tcPr>
            <w:tcW w:type="dxa" w:w="1234"/>
          </w:tcPr>
          <w:p>
            <w:r>
              <w:t>23.73</w:t>
            </w:r>
          </w:p>
        </w:tc>
        <w:tc>
          <w:tcPr>
            <w:tcW w:type="dxa" w:w="1234"/>
          </w:tcPr>
          <w:p>
            <w:r>
              <w:t>19.15</w:t>
            </w:r>
          </w:p>
        </w:tc>
        <w:tc>
          <w:tcPr>
            <w:tcW w:type="dxa" w:w="1234"/>
          </w:tcPr>
          <w:p>
            <w:r>
              <w:t>15.53</w:t>
            </w:r>
          </w:p>
        </w:tc>
        <w:tc>
          <w:tcPr>
            <w:tcW w:type="dxa" w:w="1234"/>
          </w:tcPr>
          <w:p>
            <w:r>
              <w:t>12.67</w:t>
            </w:r>
          </w:p>
        </w:tc>
        <w:tc>
          <w:tcPr>
            <w:tcW w:type="dxa" w:w="1234"/>
          </w:tcPr>
          <w:p>
            <w:r>
              <w:t>10.57</w:t>
            </w:r>
          </w:p>
        </w:tc>
        <w:tc>
          <w:tcPr>
            <w:tcW w:type="dxa" w:w="1234"/>
          </w:tcPr>
          <w:p>
            <w:r>
              <w:t>8.98</w:t>
            </w:r>
          </w:p>
        </w:tc>
      </w:tr>
      <w:tr>
        <w:tc>
          <w:tcPr>
            <w:tcW w:type="dxa" w:w="1234"/>
          </w:tcPr>
          <w:p>
            <w:r>
              <w:t>Integrated low-carbon</w:t>
            </w:r>
          </w:p>
        </w:tc>
        <w:tc>
          <w:tcPr>
            <w:tcW w:type="dxa" w:w="1234"/>
          </w:tcPr>
          <w:p>
            <w:r>
              <w:t>15.37</w:t>
            </w:r>
          </w:p>
        </w:tc>
        <w:tc>
          <w:tcPr>
            <w:tcW w:type="dxa" w:w="1234"/>
          </w:tcPr>
          <w:p>
            <w:r>
              <w:t>10.45</w:t>
            </w:r>
          </w:p>
        </w:tc>
        <w:tc>
          <w:tcPr>
            <w:tcW w:type="dxa" w:w="1234"/>
          </w:tcPr>
          <w:p>
            <w:r>
              <w:t>7.18</w:t>
            </w:r>
          </w:p>
        </w:tc>
        <w:tc>
          <w:tcPr>
            <w:tcW w:type="dxa" w:w="1234"/>
          </w:tcPr>
          <w:p>
            <w:r>
              <w:t>5.05</w:t>
            </w:r>
          </w:p>
        </w:tc>
        <w:tc>
          <w:tcPr>
            <w:tcW w:type="dxa" w:w="1234"/>
          </w:tcPr>
          <w:p>
            <w:r>
              <w:t>3.70</w:t>
            </w:r>
          </w:p>
        </w:tc>
        <w:tc>
          <w:tcPr>
            <w:tcW w:type="dxa" w:w="1234"/>
          </w:tcPr>
          <w:p>
            <w:r>
              <w:t>2.77</w:t>
            </w:r>
          </w:p>
        </w:tc>
      </w:tr>
    </w:tbl>
    <w:p/>
    <w:p>
      <w:pPr>
        <w:pStyle w:val="Heading1"/>
      </w:pPr>
      <w:r>
        <w:t>8. Demand Trajectory</w:t>
      </w:r>
    </w:p>
    <w:p>
      <w:r>
        <w:rPr>
          <w:b w:val="0"/>
          <w:i w:val="0"/>
        </w:rPr>
        <w:t>Total Australian coal production is modelled as declining at −1.1%/yr compound. This is the demand-weighted average of the export coal trajectory (−0.75%/yr, reflecting gradual global thermal coal displacement and slow metallurgical coal decline) and the domestic trajectory (−2.5%/yr, reflecting coal-fired power station closures per AEMO ISP 2024 Step Change). Curve ID: declining__coal_mining_total.</w:t>
      </w:r>
    </w:p>
    <w:p>
      <w:pPr>
        <w:pStyle w:val="Caption"/>
      </w:pPr>
      <w:r>
        <w:t>Table 7 — Total coal production trajectory (declining__coal_mining_total, −1.1%/yr)</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Demand (kt)</w:t>
            </w:r>
          </w:p>
        </w:tc>
        <w:tc>
          <w:tcPr>
            <w:tcW w:type="dxa" w:w="1728"/>
          </w:tcPr>
          <w:p>
            <w:r>
              <w:rPr>
                <w:b/>
              </w:rPr>
              <w:t>Index (2025=1.00)</w:t>
            </w:r>
          </w:p>
        </w:tc>
        <w:tc>
          <w:tcPr>
            <w:tcW w:type="dxa" w:w="1728"/>
          </w:tcPr>
          <w:p>
            <w:r>
              <w:rPr>
                <w:b/>
              </w:rPr>
              <w:t>Total Energy PJ (conv)</w:t>
            </w:r>
          </w:p>
        </w:tc>
        <w:tc>
          <w:tcPr>
            <w:tcW w:type="dxa" w:w="1728"/>
          </w:tcPr>
          <w:p>
            <w:r>
              <w:rPr>
                <w:b/>
              </w:rPr>
              <w:t>Total CO2e (MtCO2e, conv)</w:t>
            </w:r>
          </w:p>
        </w:tc>
      </w:tr>
      <w:tr>
        <w:tc>
          <w:tcPr>
            <w:tcW w:type="dxa" w:w="1728"/>
          </w:tcPr>
          <w:p>
            <w:r>
              <w:t>2025</w:t>
            </w:r>
          </w:p>
        </w:tc>
        <w:tc>
          <w:tcPr>
            <w:tcW w:type="dxa" w:w="1728"/>
          </w:tcPr>
          <w:p>
            <w:r>
              <w:t>420,000</w:t>
            </w:r>
          </w:p>
        </w:tc>
        <w:tc>
          <w:tcPr>
            <w:tcW w:type="dxa" w:w="1728"/>
          </w:tcPr>
          <w:p>
            <w:r>
              <w:t>1.0000</w:t>
            </w:r>
          </w:p>
        </w:tc>
        <w:tc>
          <w:tcPr>
            <w:tcW w:type="dxa" w:w="1728"/>
          </w:tcPr>
          <w:p>
            <w:r>
              <w:t>170.5</w:t>
            </w:r>
          </w:p>
        </w:tc>
        <w:tc>
          <w:tcPr>
            <w:tcW w:type="dxa" w:w="1728"/>
          </w:tcPr>
          <w:p>
            <w:r>
              <w:t>38.22</w:t>
            </w:r>
          </w:p>
        </w:tc>
      </w:tr>
      <w:tr>
        <w:tc>
          <w:tcPr>
            <w:tcW w:type="dxa" w:w="1728"/>
          </w:tcPr>
          <w:p>
            <w:r>
              <w:t>2030</w:t>
            </w:r>
          </w:p>
        </w:tc>
        <w:tc>
          <w:tcPr>
            <w:tcW w:type="dxa" w:w="1728"/>
          </w:tcPr>
          <w:p>
            <w:r>
              <w:t>397,403</w:t>
            </w:r>
          </w:p>
        </w:tc>
        <w:tc>
          <w:tcPr>
            <w:tcW w:type="dxa" w:w="1728"/>
          </w:tcPr>
          <w:p>
            <w:r>
              <w:t>0.9462</w:t>
            </w:r>
          </w:p>
        </w:tc>
        <w:tc>
          <w:tcPr>
            <w:tcW w:type="dxa" w:w="1728"/>
          </w:tcPr>
          <w:p>
            <w:r>
              <w:t>161.3</w:t>
            </w:r>
          </w:p>
        </w:tc>
        <w:tc>
          <w:tcPr>
            <w:tcW w:type="dxa" w:w="1728"/>
          </w:tcPr>
          <w:p>
            <w:r>
              <w:t>36.16</w:t>
            </w:r>
          </w:p>
        </w:tc>
      </w:tr>
      <w:tr>
        <w:tc>
          <w:tcPr>
            <w:tcW w:type="dxa" w:w="1728"/>
          </w:tcPr>
          <w:p>
            <w:r>
              <w:t>2035</w:t>
            </w:r>
          </w:p>
        </w:tc>
        <w:tc>
          <w:tcPr>
            <w:tcW w:type="dxa" w:w="1728"/>
          </w:tcPr>
          <w:p>
            <w:r>
              <w:t>376,021</w:t>
            </w:r>
          </w:p>
        </w:tc>
        <w:tc>
          <w:tcPr>
            <w:tcW w:type="dxa" w:w="1728"/>
          </w:tcPr>
          <w:p>
            <w:r>
              <w:t>0.8953</w:t>
            </w:r>
          </w:p>
        </w:tc>
        <w:tc>
          <w:tcPr>
            <w:tcW w:type="dxa" w:w="1728"/>
          </w:tcPr>
          <w:p>
            <w:r>
              <w:t>152.7</w:t>
            </w:r>
          </w:p>
        </w:tc>
        <w:tc>
          <w:tcPr>
            <w:tcW w:type="dxa" w:w="1728"/>
          </w:tcPr>
          <w:p>
            <w:r>
              <w:t>34.22</w:t>
            </w:r>
          </w:p>
        </w:tc>
      </w:tr>
      <w:tr>
        <w:tc>
          <w:tcPr>
            <w:tcW w:type="dxa" w:w="1728"/>
          </w:tcPr>
          <w:p>
            <w:r>
              <w:t>2040</w:t>
            </w:r>
          </w:p>
        </w:tc>
        <w:tc>
          <w:tcPr>
            <w:tcW w:type="dxa" w:w="1728"/>
          </w:tcPr>
          <w:p>
            <w:r>
              <w:t>355,797</w:t>
            </w:r>
          </w:p>
        </w:tc>
        <w:tc>
          <w:tcPr>
            <w:tcW w:type="dxa" w:w="1728"/>
          </w:tcPr>
          <w:p>
            <w:r>
              <w:t>0.8471</w:t>
            </w:r>
          </w:p>
        </w:tc>
        <w:tc>
          <w:tcPr>
            <w:tcW w:type="dxa" w:w="1728"/>
          </w:tcPr>
          <w:p>
            <w:r>
              <w:t>144.5</w:t>
            </w:r>
          </w:p>
        </w:tc>
        <w:tc>
          <w:tcPr>
            <w:tcW w:type="dxa" w:w="1728"/>
          </w:tcPr>
          <w:p>
            <w:r>
              <w:t>32.38</w:t>
            </w:r>
          </w:p>
        </w:tc>
      </w:tr>
      <w:tr>
        <w:tc>
          <w:tcPr>
            <w:tcW w:type="dxa" w:w="1728"/>
          </w:tcPr>
          <w:p>
            <w:r>
              <w:t>2045</w:t>
            </w:r>
          </w:p>
        </w:tc>
        <w:tc>
          <w:tcPr>
            <w:tcW w:type="dxa" w:w="1728"/>
          </w:tcPr>
          <w:p>
            <w:r>
              <w:t>336,649</w:t>
            </w:r>
          </w:p>
        </w:tc>
        <w:tc>
          <w:tcPr>
            <w:tcW w:type="dxa" w:w="1728"/>
          </w:tcPr>
          <w:p>
            <w:r>
              <w:t>0.8015</w:t>
            </w:r>
          </w:p>
        </w:tc>
        <w:tc>
          <w:tcPr>
            <w:tcW w:type="dxa" w:w="1728"/>
          </w:tcPr>
          <w:p>
            <w:r>
              <w:t>136.7</w:t>
            </w:r>
          </w:p>
        </w:tc>
        <w:tc>
          <w:tcPr>
            <w:tcW w:type="dxa" w:w="1728"/>
          </w:tcPr>
          <w:p>
            <w:r>
              <w:t>30.64</w:t>
            </w:r>
          </w:p>
        </w:tc>
      </w:tr>
      <w:tr>
        <w:tc>
          <w:tcPr>
            <w:tcW w:type="dxa" w:w="1728"/>
          </w:tcPr>
          <w:p>
            <w:r>
              <w:t>2050</w:t>
            </w:r>
          </w:p>
        </w:tc>
        <w:tc>
          <w:tcPr>
            <w:tcW w:type="dxa" w:w="1728"/>
          </w:tcPr>
          <w:p>
            <w:r>
              <w:t>318,541</w:t>
            </w:r>
          </w:p>
        </w:tc>
        <w:tc>
          <w:tcPr>
            <w:tcW w:type="dxa" w:w="1728"/>
          </w:tcPr>
          <w:p>
            <w:r>
              <w:t>0.7584</w:t>
            </w:r>
          </w:p>
        </w:tc>
        <w:tc>
          <w:tcPr>
            <w:tcW w:type="dxa" w:w="1728"/>
          </w:tcPr>
          <w:p>
            <w:r>
              <w:t>129.3</w:t>
            </w:r>
          </w:p>
        </w:tc>
        <w:tc>
          <w:tcPr>
            <w:tcW w:type="dxa" w:w="1728"/>
          </w:tcPr>
          <w:p>
            <w:r>
              <w:t>28.99</w:t>
            </w:r>
          </w:p>
        </w:tc>
      </w:tr>
    </w:tbl>
    <w:p/>
    <w:p>
      <w:pPr>
        <w:pStyle w:val="Heading1"/>
      </w:pPr>
      <w:r>
        <w:t>9. Known Caveats and Phase 2 Improvements</w:t>
      </w:r>
    </w:p>
    <w:p>
      <w:pPr>
        <w:pStyle w:val="ListBullet"/>
      </w:pPr>
      <w:r>
        <w:rPr>
          <w:b/>
        </w:rPr>
        <w:t xml:space="preserve">National-average fugitive coefficient applied across all mine types: </w:t>
      </w:r>
      <w:r>
        <w:t>The 69 tCO2e/kt average is dominated by underground export mines. Open-cut domestic mines (predominantly VIC brown coal) have ~15 tCO2e/kt. Phase 2: disaggregate by mine type. Current figure is a conservative upper bound.</w:t>
      </w:r>
    </w:p>
    <w:p>
      <w:pPr>
        <w:pStyle w:val="ListBullet"/>
      </w:pPr>
      <w:r>
        <w:rPr>
          <w:b/>
        </w:rPr>
        <w:t xml:space="preserve">Per-kt energy coefficient is national average: </w:t>
      </w:r>
      <w:r>
        <w:t>Domestic open-cut mines likely have lower per-kt energy than underground export mines. The 406 GJ/kt may overestimate domestic and underestimate underground segments. Phase 2: calibrate by mine type using ABS ANZSIC data.</w:t>
      </w:r>
    </w:p>
    <w:p>
      <w:pPr>
        <w:pStyle w:val="ListBullet"/>
      </w:pPr>
      <w:r>
        <w:rPr>
          <w:b/>
        </w:rPr>
        <w:t xml:space="preserve">Export demand trajectory assumed independent of model: </w:t>
      </w:r>
      <w:r>
        <w:t>Export coal demand is driven by Asian market dynamics. The −0.75%/yr export decline is a scenario assumption (moderate global coal displacement), not an endogenous model result. Alternative trajectories can be tested via the curve ID.</w:t>
      </w:r>
    </w:p>
    <w:p>
      <w:pPr>
        <w:pStyle w:val="ListBullet"/>
      </w:pPr>
      <w:r>
        <w:rPr>
          <w:b/>
        </w:rPr>
        <w:t xml:space="preserve">BEV/H2 max-share trajectories are averaged across all mine types: </w:t>
      </w:r>
      <w:r>
        <w:t>Long-life export mines (Bowen Basin, Hunter Valley) have stronger investment case for BEV than short-life domestic mines. Phase 2: split max-share by mine-type sub-family.</w:t>
      </w:r>
    </w:p>
    <w:p/>
    <w:p>
      <w:pPr>
        <w:jc w:val="center"/>
      </w:pPr>
      <w:r>
        <w:rPr>
          <w:b w:val="0"/>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