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Oil and Gas Extraction — Calibration Report</w:t>
      </w:r>
    </w:p>
    <w:p>
      <w:pPr>
        <w:jc w:val="center"/>
      </w:pPr>
      <w:r>
        <w:t>Phase 1 | Total Australian oil and gas production | Generated: 2026-05-01</w:t>
      </w:r>
    </w:p>
    <w:p/>
    <w:p>
      <w:pPr>
        <w:pStyle w:val="Heading1"/>
      </w:pPr>
      <w:r>
        <w:t>1. Scope and Demand Anchor</w:t>
      </w:r>
    </w:p>
    <w:p>
      <w:r>
        <w:t>This family models total Australian oil and gas extraction (gas-production-weighted) as a single demand unit. Demand anchor: 6,100 PJ_gas (2025; Geoscience Australia AECR 2025), covering LNG exports (~4,509 PJ, 74%) and domestic/pipeline supply (~1,591 PJ, 26%). Service output unit: PJ of gas produced (PJ_gas). Demand trajectory: declining__oil_and_gas_extraction_total (−1.0%/yr compound, AEMO ISP 2024 Step Change scenario, reflecting global LNG demand peaking post-2030).</w:t>
      </w:r>
    </w:p>
    <w:p>
      <w:r>
        <w:t>Per-PJ_gas energy coefficients are national averages calibrated to AES 2023-24 Table F (oil and gas extraction, ANZSIC 0700, 471 PJ final energy). The sector mixes onshore CSG (QLD), conventional onshore (NT, WA), and offshore LNG facilities (NW Shelf, Browse, Ichthys, Prelude, Darwin LNG). Phase 2 disaggregation by sub-sector is recommended.</w:t>
      </w:r>
    </w:p>
    <w:p>
      <w:pPr>
        <w:pStyle w:val="Heading1"/>
      </w:pPr>
      <w:r>
        <w:t>2. Calibration Revision — Discrepancies vs Previous Model</w:t>
      </w:r>
    </w:p>
    <w:p>
      <w:r>
        <w:t>This family replaces the previous gas_mining family. Three material discrepancies between the previous model and official AES/NGGI data were identified and corrected:</w:t>
      </w:r>
    </w:p>
    <w:p>
      <w:pPr>
        <w:pStyle w:val="Heading2"/>
      </w:pPr>
      <w:r>
        <w:t>2.1 Final Energy: Previous 595 PJ → Revised 471 PJ</w:t>
      </w:r>
    </w:p>
    <w:p>
      <w:r>
        <w:t>Source of truth: AES 2023-24 Table F (DCCEEW). The previous model estimated gas own-use = 82,000 GJ/PJ based on Geoscience Australia's estimate that LNG facilities consume ~7% of throughput as fuel (~316 PJ from 4,509 PJ LNG exports) plus upstream compression (~184 PJ), totalling ~500 PJ and an SEI of 97,600 GJ/PJ → 595 PJ.</w:t>
      </w:r>
    </w:p>
    <w:p>
      <w:r>
        <w:t>However, AES 2023-24 'final energy consumption' for oil and gas extraction (ANZSIC 0700) = 471 PJ. This is a lower number because AES classifies LNG liquefaction own-use under the 'energy transformation' sector, not 'final energy consumption'. The correct AES-compatible gas coefficient is 62,300 GJ/PJ (380 PJ upstream / 6,100 PJ), which covers only wellhead compression, gathering, and processing — not LNG liquefaction. Revised SEI: 77,200 GJ/PJ × 6,100 PJ / 1e6 = 470.9 PJ (100.0% coverage) ✓</w:t>
      </w:r>
    </w:p>
    <w:p>
      <w:pPr>
        <w:pStyle w:val="Heading2"/>
      </w:pPr>
      <w:r>
        <w:t>2.2 Energy CO2e: Previous 29.5 MtCO2e → Revised 22.0 MtCO2e</w:t>
      </w:r>
    </w:p>
    <w:p>
      <w:r>
        <w:t>Source of truth: NGGI 2023-24 Category 1A2 (stationary energy — mining) = 22 MtCO2e. Two causes:</w:t>
      </w:r>
    </w:p>
    <w:p>
      <w:pPr>
        <w:pStyle w:val="ListBullet"/>
      </w:pPr>
      <w:r>
        <w:rPr>
          <w:b/>
        </w:rPr>
        <w:t xml:space="preserve">(a) Wrong gas coefficient: </w:t>
      </w:r>
      <w:r>
        <w:t>The previous 82,000 GJ/PJ coefficient was the dominant driver. With the corrected coefficient (62,300 GJ/PJ), the NGA 2024 emission factor calculation gives: (62,300 × 51.4 + 9,800 × 69.9) / 1,000 = 3,887 tCO2e/PJ → 23.7 MtCO2e.</w:t>
      </w:r>
    </w:p>
    <w:p>
      <w:pPr>
        <w:pStyle w:val="ListBullet"/>
      </w:pPr>
      <w:r>
        <w:rPr>
          <w:b/>
        </w:rPr>
        <w:t xml:space="preserve">(b) Flaring/venting reclassification: </w:t>
      </w:r>
      <w:r>
        <w:t>The remaining 1.7 MtCO2e gap (23.7 MtCO2e AES-derived vs NGGI 1A2 22.0 MtCO2e) arises because gas combusted through routine flaring and venting at oil and gas facilities is classified under NGGI Category 1B2b (Fugitive: oil and gas), not Category 1A2 (Energy: stationary combustion). This 1.7 MtCO2e is correctly captured in the fugitive (process) CO2e coefficient. The energy CO2e is therefore calibrated directly to NGGI 1A2 = 3,610 tCO2e/PJ (22.0 MtCO2e).</w:t>
      </w:r>
    </w:p>
    <w:p>
      <w:pPr>
        <w:pStyle w:val="Heading2"/>
      </w:pPr>
      <w:r>
        <w:t>2.3 Fugitive CO2e: Previous 20.0 MtCO2e → Revised 22.0 MtCO2e</w:t>
      </w:r>
    </w:p>
    <w:p>
      <w:r>
        <w:t>Source of truth: NGGI 2023-24 Category 1B2b (oil and gas fugitive) = 22 MtCO2e. The previous model used NGGI 2022-23 data (~20 MtCO2e). The 2 MtCO2e increase in NGGI 2023-24 reflects two factors: (1) improved measurement methodology — mandatory direct-measurement reporting under NGER for large facilities captures previously underestimated wellsite methane; (2) real growth in LNG sector fugitive emissions as production ramped up. The revised coefficient is 3,610 tCO2e/PJ (22,000,000 / 6,100 = 3,607, rounded to 3,610). Note: this includes the 1.7 MtCO2e of flaring/venting gas reclassified from energy (1A2) to fugitive (1B2b).</w:t>
      </w:r>
    </w:p>
    <w:p/>
    <w:p>
      <w:pPr>
        <w:pStyle w:val="Heading1"/>
      </w:pPr>
      <w:r>
        <w:t>3. Technology States (2025 Summary)</w:t>
      </w:r>
    </w:p>
    <w:p>
      <w:r>
        <w:t>Five technology states are defined covering the full range from conventional gas turbine operations to fully integrated low-emission production.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1F3864" w:val="clear"/>
          </w:tcPr>
          <w:p>
            <w:r>
              <w:rPr>
                <w:b/>
                <w:color w:val="FFFFFF"/>
                <w:sz w:val="16"/>
              </w:rPr>
              <w:t>State</w:t>
            </w:r>
          </w:p>
        </w:tc>
        <w:tc>
          <w:tcPr>
            <w:tcW w:type="dxa" w:w="1234"/>
            <w:shd w:fill="1F3864" w:val="clear"/>
          </w:tcPr>
          <w:p>
            <w:r>
              <w:rPr>
                <w:b/>
                <w:color w:val="FFFFFF"/>
                <w:sz w:val="16"/>
              </w:rPr>
              <w:t>Gas (GJ/PJ)</w:t>
            </w:r>
          </w:p>
        </w:tc>
        <w:tc>
          <w:tcPr>
            <w:tcW w:type="dxa" w:w="1234"/>
            <w:shd w:fill="1F3864" w:val="clear"/>
          </w:tcPr>
          <w:p>
            <w:r>
              <w:rPr>
                <w:b/>
                <w:color w:val="FFFFFF"/>
                <w:sz w:val="16"/>
              </w:rPr>
              <w:t>Diesel (GJ/PJ)</w:t>
            </w:r>
          </w:p>
        </w:tc>
        <w:tc>
          <w:tcPr>
            <w:tcW w:type="dxa" w:w="1234"/>
            <w:shd w:fill="1F3864" w:val="clear"/>
          </w:tcPr>
          <w:p>
            <w:r>
              <w:rPr>
                <w:b/>
                <w:color w:val="FFFFFF"/>
                <w:sz w:val="16"/>
              </w:rPr>
              <w:t>Elec (GJ/PJ)</w:t>
            </w:r>
          </w:p>
        </w:tc>
        <w:tc>
          <w:tcPr>
            <w:tcW w:type="dxa" w:w="1234"/>
            <w:shd w:fill="1F3864" w:val="clear"/>
          </w:tcPr>
          <w:p>
            <w:r>
              <w:rPr>
                <w:b/>
                <w:color w:val="FFFFFF"/>
                <w:sz w:val="16"/>
              </w:rPr>
              <w:t>SEI (GJ/PJ)</w:t>
            </w:r>
          </w:p>
        </w:tc>
        <w:tc>
          <w:tcPr>
            <w:tcW w:type="dxa" w:w="1234"/>
            <w:shd w:fill="1F3864" w:val="clear"/>
          </w:tcPr>
          <w:p>
            <w:r>
              <w:rPr>
                <w:b/>
                <w:color w:val="FFFFFF"/>
                <w:sz w:val="16"/>
              </w:rPr>
              <w:t>Energy CO2e (tCO2e/PJ)</w:t>
            </w:r>
          </w:p>
        </w:tc>
        <w:tc>
          <w:tcPr>
            <w:tcW w:type="dxa" w:w="1234"/>
            <w:shd w:fill="1F3864" w:val="clear"/>
          </w:tcPr>
          <w:p>
            <w:r>
              <w:rPr>
                <w:b/>
                <w:color w:val="FFFFFF"/>
                <w:sz w:val="16"/>
              </w:rPr>
              <w:t>Fugitive CO2e (tCO2e/PJ)</w:t>
            </w:r>
          </w:p>
        </w:tc>
      </w:tr>
      <w:tr>
        <w:tc>
          <w:tcPr>
            <w:tcW w:type="dxa" w:w="1234"/>
          </w:tcPr>
          <w:p>
            <w:r>
              <w:rPr>
                <w:sz w:val="16"/>
              </w:rPr>
              <w:t>Conventional</w:t>
            </w:r>
          </w:p>
        </w:tc>
        <w:tc>
          <w:tcPr>
            <w:tcW w:type="dxa" w:w="1234"/>
          </w:tcPr>
          <w:p>
            <w:r>
              <w:rPr>
                <w:sz w:val="16"/>
              </w:rPr>
              <w:t>62,300</w:t>
            </w:r>
          </w:p>
        </w:tc>
        <w:tc>
          <w:tcPr>
            <w:tcW w:type="dxa" w:w="1234"/>
          </w:tcPr>
          <w:p>
            <w:r>
              <w:rPr>
                <w:sz w:val="16"/>
              </w:rPr>
              <w:t>9,800</w:t>
            </w:r>
          </w:p>
        </w:tc>
        <w:tc>
          <w:tcPr>
            <w:tcW w:type="dxa" w:w="1234"/>
          </w:tcPr>
          <w:p>
            <w:r>
              <w:rPr>
                <w:sz w:val="16"/>
              </w:rPr>
              <w:t>5,100</w:t>
            </w:r>
          </w:p>
        </w:tc>
        <w:tc>
          <w:tcPr>
            <w:tcW w:type="dxa" w:w="1234"/>
          </w:tcPr>
          <w:p>
            <w:r>
              <w:rPr>
                <w:sz w:val="16"/>
              </w:rPr>
              <w:t>77,200</w:t>
            </w:r>
          </w:p>
        </w:tc>
        <w:tc>
          <w:tcPr>
            <w:tcW w:type="dxa" w:w="1234"/>
          </w:tcPr>
          <w:p>
            <w:r>
              <w:rPr>
                <w:sz w:val="16"/>
              </w:rPr>
              <w:t>3,610</w:t>
            </w:r>
          </w:p>
        </w:tc>
        <w:tc>
          <w:tcPr>
            <w:tcW w:type="dxa" w:w="1234"/>
          </w:tcPr>
          <w:p>
            <w:r>
              <w:rPr>
                <w:sz w:val="16"/>
              </w:rPr>
              <w:t>3,610</w:t>
            </w:r>
          </w:p>
        </w:tc>
      </w:tr>
      <w:tr>
        <w:tc>
          <w:tcPr>
            <w:tcW w:type="dxa" w:w="1234"/>
          </w:tcPr>
          <w:p>
            <w:r>
              <w:rPr>
                <w:sz w:val="16"/>
              </w:rPr>
              <w:t>Electric compression</w:t>
            </w:r>
          </w:p>
        </w:tc>
        <w:tc>
          <w:tcPr>
            <w:tcW w:type="dxa" w:w="1234"/>
          </w:tcPr>
          <w:p>
            <w:r>
              <w:rPr>
                <w:sz w:val="16"/>
              </w:rPr>
              <w:t>23,000</w:t>
            </w:r>
          </w:p>
        </w:tc>
        <w:tc>
          <w:tcPr>
            <w:tcW w:type="dxa" w:w="1234"/>
          </w:tcPr>
          <w:p>
            <w:r>
              <w:rPr>
                <w:sz w:val="16"/>
              </w:rPr>
              <w:t>9,800</w:t>
            </w:r>
          </w:p>
        </w:tc>
        <w:tc>
          <w:tcPr>
            <w:tcW w:type="dxa" w:w="1234"/>
          </w:tcPr>
          <w:p>
            <w:r>
              <w:rPr>
                <w:sz w:val="16"/>
              </w:rPr>
              <w:t>17,500</w:t>
            </w:r>
          </w:p>
        </w:tc>
        <w:tc>
          <w:tcPr>
            <w:tcW w:type="dxa" w:w="1234"/>
          </w:tcPr>
          <w:p>
            <w:r>
              <w:rPr>
                <w:sz w:val="16"/>
              </w:rPr>
              <w:t>50,300</w:t>
            </w:r>
          </w:p>
        </w:tc>
        <w:tc>
          <w:tcPr>
            <w:tcW w:type="dxa" w:w="1234"/>
          </w:tcPr>
          <w:p>
            <w:r>
              <w:rPr>
                <w:sz w:val="16"/>
              </w:rPr>
              <w:t>1,730</w:t>
            </w:r>
          </w:p>
        </w:tc>
        <w:tc>
          <w:tcPr>
            <w:tcW w:type="dxa" w:w="1234"/>
          </w:tcPr>
          <w:p>
            <w:r>
              <w:rPr>
                <w:sz w:val="16"/>
              </w:rPr>
              <w:t>3,610</w:t>
            </w:r>
          </w:p>
        </w:tc>
      </w:tr>
      <w:tr>
        <w:tc>
          <w:tcPr>
            <w:tcW w:type="dxa" w:w="1234"/>
          </w:tcPr>
          <w:p>
            <w:r>
              <w:rPr>
                <w:sz w:val="16"/>
              </w:rPr>
              <w:t>LDAR / no-flare</w:t>
            </w:r>
          </w:p>
        </w:tc>
        <w:tc>
          <w:tcPr>
            <w:tcW w:type="dxa" w:w="1234"/>
          </w:tcPr>
          <w:p>
            <w:r>
              <w:rPr>
                <w:sz w:val="16"/>
              </w:rPr>
              <w:t>62,300</w:t>
            </w:r>
          </w:p>
        </w:tc>
        <w:tc>
          <w:tcPr>
            <w:tcW w:type="dxa" w:w="1234"/>
          </w:tcPr>
          <w:p>
            <w:r>
              <w:rPr>
                <w:sz w:val="16"/>
              </w:rPr>
              <w:t>9,800</w:t>
            </w:r>
          </w:p>
        </w:tc>
        <w:tc>
          <w:tcPr>
            <w:tcW w:type="dxa" w:w="1234"/>
          </w:tcPr>
          <w:p>
            <w:r>
              <w:rPr>
                <w:sz w:val="16"/>
              </w:rPr>
              <w:t>5,200</w:t>
            </w:r>
          </w:p>
        </w:tc>
        <w:tc>
          <w:tcPr>
            <w:tcW w:type="dxa" w:w="1234"/>
          </w:tcPr>
          <w:p>
            <w:r>
              <w:rPr>
                <w:sz w:val="16"/>
              </w:rPr>
              <w:t>77,300</w:t>
            </w:r>
          </w:p>
        </w:tc>
        <w:tc>
          <w:tcPr>
            <w:tcW w:type="dxa" w:w="1234"/>
          </w:tcPr>
          <w:p>
            <w:r>
              <w:rPr>
                <w:sz w:val="16"/>
              </w:rPr>
              <w:t>3,610</w:t>
            </w:r>
          </w:p>
        </w:tc>
        <w:tc>
          <w:tcPr>
            <w:tcW w:type="dxa" w:w="1234"/>
          </w:tcPr>
          <w:p>
            <w:r>
              <w:rPr>
                <w:sz w:val="16"/>
              </w:rPr>
              <w:t>1,805</w:t>
            </w:r>
          </w:p>
        </w:tc>
      </w:tr>
      <w:tr>
        <w:tc>
          <w:tcPr>
            <w:tcW w:type="dxa" w:w="1234"/>
          </w:tcPr>
          <w:p>
            <w:r>
              <w:rPr>
                <w:sz w:val="16"/>
              </w:rPr>
              <w:t>Renewable diesel</w:t>
            </w:r>
          </w:p>
        </w:tc>
        <w:tc>
          <w:tcPr>
            <w:tcW w:type="dxa" w:w="1234"/>
          </w:tcPr>
          <w:p>
            <w:r>
              <w:rPr>
                <w:sz w:val="16"/>
              </w:rPr>
              <w:t>62,300</w:t>
            </w:r>
          </w:p>
        </w:tc>
        <w:tc>
          <w:tcPr>
            <w:tcW w:type="dxa" w:w="1234"/>
          </w:tcPr>
          <w:p>
            <w:r>
              <w:rPr>
                <w:sz w:val="16"/>
              </w:rPr>
              <w:t>4,900</w:t>
            </w:r>
          </w:p>
        </w:tc>
        <w:tc>
          <w:tcPr>
            <w:tcW w:type="dxa" w:w="1234"/>
          </w:tcPr>
          <w:p>
            <w:r>
              <w:rPr>
                <w:sz w:val="16"/>
              </w:rPr>
              <w:t>6,600</w:t>
            </w:r>
          </w:p>
        </w:tc>
        <w:tc>
          <w:tcPr>
            <w:tcW w:type="dxa" w:w="1234"/>
          </w:tcPr>
          <w:p>
            <w:r>
              <w:rPr>
                <w:sz w:val="16"/>
              </w:rPr>
              <w:t>73,800</w:t>
            </w:r>
          </w:p>
        </w:tc>
        <w:tc>
          <w:tcPr>
            <w:tcW w:type="dxa" w:w="1234"/>
          </w:tcPr>
          <w:p>
            <w:r>
              <w:rPr>
                <w:sz w:val="16"/>
              </w:rPr>
              <w:t>3,290</w:t>
            </w:r>
          </w:p>
        </w:tc>
        <w:tc>
          <w:tcPr>
            <w:tcW w:type="dxa" w:w="1234"/>
          </w:tcPr>
          <w:p>
            <w:r>
              <w:rPr>
                <w:sz w:val="16"/>
              </w:rPr>
              <w:t>3,610</w:t>
            </w:r>
          </w:p>
        </w:tc>
      </w:tr>
      <w:tr>
        <w:tc>
          <w:tcPr>
            <w:tcW w:type="dxa" w:w="1234"/>
          </w:tcPr>
          <w:p>
            <w:r>
              <w:rPr>
                <w:sz w:val="16"/>
              </w:rPr>
              <w:t>Integrated low-emission</w:t>
            </w:r>
          </w:p>
        </w:tc>
        <w:tc>
          <w:tcPr>
            <w:tcW w:type="dxa" w:w="1234"/>
          </w:tcPr>
          <w:p>
            <w:r>
              <w:rPr>
                <w:sz w:val="16"/>
              </w:rPr>
              <w:t>19,000</w:t>
            </w:r>
          </w:p>
        </w:tc>
        <w:tc>
          <w:tcPr>
            <w:tcW w:type="dxa" w:w="1234"/>
          </w:tcPr>
          <w:p>
            <w:r>
              <w:rPr>
                <w:sz w:val="16"/>
              </w:rPr>
              <w:t>4,900</w:t>
            </w:r>
          </w:p>
        </w:tc>
        <w:tc>
          <w:tcPr>
            <w:tcW w:type="dxa" w:w="1234"/>
          </w:tcPr>
          <w:p>
            <w:r>
              <w:rPr>
                <w:sz w:val="16"/>
              </w:rPr>
              <w:t>18,500</w:t>
            </w:r>
          </w:p>
        </w:tc>
        <w:tc>
          <w:tcPr>
            <w:tcW w:type="dxa" w:w="1234"/>
          </w:tcPr>
          <w:p>
            <w:r>
              <w:rPr>
                <w:sz w:val="16"/>
              </w:rPr>
              <w:t>42,400</w:t>
            </w:r>
          </w:p>
        </w:tc>
        <w:tc>
          <w:tcPr>
            <w:tcW w:type="dxa" w:w="1234"/>
          </w:tcPr>
          <w:p>
            <w:r>
              <w:rPr>
                <w:sz w:val="16"/>
              </w:rPr>
              <w:t>1,230</w:t>
            </w:r>
          </w:p>
        </w:tc>
        <w:tc>
          <w:tcPr>
            <w:tcW w:type="dxa" w:w="1234"/>
          </w:tcPr>
          <w:p>
            <w:r>
              <w:rPr>
                <w:sz w:val="16"/>
              </w:rPr>
              <w:t>1,805</w:t>
            </w:r>
          </w:p>
        </w:tc>
      </w:tr>
    </w:tbl>
    <w:p/>
    <w:p>
      <w:pPr>
        <w:pStyle w:val="Heading1"/>
      </w:pPr>
      <w:r>
        <w:t>4. Energy Calibration (Conventional State)</w:t>
      </w:r>
    </w:p>
    <w:p>
      <w:r>
        <w:t>The incumbent conventional state is calibrated to AES 2023-24 Table F. Gas own-use (62,300 GJ/PJ) covers upstream wellhead compression, gathering pipelines, and gas processing (380 PJ / 6,100 PJ). Diesel (9,800 GJ/PJ = 60 PJ) covers remote drilling rigs and auxiliary plant. Electricity (5,100 GJ/PJ = 31 PJ) covers fixed facility loads. LNG liquefaction own-use is excluded from AES final energy (classified as 'energy transformation') and therefore excluded from per-PJ coefficients.</w:t>
      </w:r>
    </w:p>
    <w:p>
      <w:pPr>
        <w:pStyle w:val="Heading2"/>
      </w:pPr>
      <w:r>
        <w:t>4.1 Fuel Consumption Sense-Check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3864" w:val="clear"/>
          </w:tcPr>
          <w:p>
            <w:r>
              <w:rPr>
                <w:b/>
                <w:color w:val="FFFFFF"/>
                <w:sz w:val="16"/>
              </w:rPr>
              <w:t>Fuel</w:t>
            </w:r>
          </w:p>
        </w:tc>
        <w:tc>
          <w:tcPr>
            <w:tcW w:type="dxa" w:w="1728"/>
            <w:shd w:fill="1F3864" w:val="clear"/>
          </w:tcPr>
          <w:p>
            <w:r>
              <w:rPr>
                <w:b/>
                <w:color w:val="FFFFFF"/>
                <w:sz w:val="16"/>
              </w:rPr>
              <w:t>Coeff. (GJ/PJ)</w:t>
            </w:r>
          </w:p>
        </w:tc>
        <w:tc>
          <w:tcPr>
            <w:tcW w:type="dxa" w:w="1728"/>
            <w:shd w:fill="1F3864" w:val="clear"/>
          </w:tcPr>
          <w:p>
            <w:r>
              <w:rPr>
                <w:b/>
                <w:color w:val="FFFFFF"/>
                <w:sz w:val="16"/>
              </w:rPr>
              <w:t>Total (PJ)</w:t>
            </w:r>
          </w:p>
        </w:tc>
        <w:tc>
          <w:tcPr>
            <w:tcW w:type="dxa" w:w="1728"/>
            <w:shd w:fill="1F3864" w:val="clear"/>
          </w:tcPr>
          <w:p>
            <w:r>
              <w:rPr>
                <w:b/>
                <w:color w:val="FFFFFF"/>
                <w:sz w:val="16"/>
              </w:rPr>
              <w:t>AES reference (PJ)</w:t>
            </w:r>
          </w:p>
        </w:tc>
        <w:tc>
          <w:tcPr>
            <w:tcW w:type="dxa" w:w="1728"/>
            <w:shd w:fill="1F3864" w:val="clear"/>
          </w:tcPr>
          <w:p>
            <w:r>
              <w:rPr>
                <w:b/>
                <w:color w:val="FFFFFF"/>
                <w:sz w:val="16"/>
              </w:rPr>
              <w:t>Coverage</w:t>
            </w:r>
          </w:p>
        </w:tc>
      </w:tr>
      <w:tr>
        <w:tc>
          <w:tcPr>
            <w:tcW w:type="dxa" w:w="1728"/>
          </w:tcPr>
          <w:p>
            <w:r>
              <w:rPr>
                <w:sz w:val="16"/>
              </w:rPr>
              <w:t>Gas own-use</w:t>
            </w:r>
          </w:p>
        </w:tc>
        <w:tc>
          <w:tcPr>
            <w:tcW w:type="dxa" w:w="1728"/>
          </w:tcPr>
          <w:p>
            <w:r>
              <w:rPr>
                <w:sz w:val="16"/>
              </w:rPr>
              <w:t>62,300</w:t>
            </w:r>
          </w:p>
        </w:tc>
        <w:tc>
          <w:tcPr>
            <w:tcW w:type="dxa" w:w="1728"/>
          </w:tcPr>
          <w:p>
            <w:r>
              <w:rPr>
                <w:sz w:val="16"/>
              </w:rPr>
              <w:t>380</w:t>
            </w:r>
          </w:p>
        </w:tc>
        <w:tc>
          <w:tcPr>
            <w:tcW w:type="dxa" w:w="1728"/>
          </w:tcPr>
          <w:p>
            <w:r>
              <w:rPr>
                <w:sz w:val="16"/>
              </w:rPr>
              <w:t>~380</w:t>
            </w:r>
          </w:p>
        </w:tc>
        <w:tc>
          <w:tcPr>
            <w:tcW w:type="dxa" w:w="1728"/>
          </w:tcPr>
          <w:p>
            <w:r>
              <w:rPr>
                <w:sz w:val="16"/>
              </w:rPr>
              <w:t>100.0%</w:t>
            </w:r>
          </w:p>
        </w:tc>
      </w:tr>
      <w:tr>
        <w:tc>
          <w:tcPr>
            <w:tcW w:type="dxa" w:w="1728"/>
          </w:tcPr>
          <w:p>
            <w:r>
              <w:rPr>
                <w:sz w:val="16"/>
              </w:rPr>
              <w:t>Diesel</w:t>
            </w:r>
          </w:p>
        </w:tc>
        <w:tc>
          <w:tcPr>
            <w:tcW w:type="dxa" w:w="1728"/>
          </w:tcPr>
          <w:p>
            <w:r>
              <w:rPr>
                <w:sz w:val="16"/>
              </w:rPr>
              <w:t>9,800</w:t>
            </w:r>
          </w:p>
        </w:tc>
        <w:tc>
          <w:tcPr>
            <w:tcW w:type="dxa" w:w="1728"/>
          </w:tcPr>
          <w:p>
            <w:r>
              <w:rPr>
                <w:sz w:val="16"/>
              </w:rPr>
              <w:t>60</w:t>
            </w:r>
          </w:p>
        </w:tc>
        <w:tc>
          <w:tcPr>
            <w:tcW w:type="dxa" w:w="1728"/>
          </w:tcPr>
          <w:p>
            <w:r>
              <w:rPr>
                <w:sz w:val="16"/>
              </w:rPr>
              <w:t>~60</w:t>
            </w:r>
          </w:p>
        </w:tc>
        <w:tc>
          <w:tcPr>
            <w:tcW w:type="dxa" w:w="1728"/>
          </w:tcPr>
          <w:p>
            <w:r>
              <w:rPr>
                <w:sz w:val="16"/>
              </w:rPr>
              <w:t>99.6%</w:t>
            </w:r>
          </w:p>
        </w:tc>
      </w:tr>
      <w:tr>
        <w:tc>
          <w:tcPr>
            <w:tcW w:type="dxa" w:w="1728"/>
          </w:tcPr>
          <w:p>
            <w:r>
              <w:rPr>
                <w:sz w:val="16"/>
              </w:rPr>
              <w:t>Electricity</w:t>
            </w:r>
          </w:p>
        </w:tc>
        <w:tc>
          <w:tcPr>
            <w:tcW w:type="dxa" w:w="1728"/>
          </w:tcPr>
          <w:p>
            <w:r>
              <w:rPr>
                <w:sz w:val="16"/>
              </w:rPr>
              <w:t>5,100</w:t>
            </w:r>
          </w:p>
        </w:tc>
        <w:tc>
          <w:tcPr>
            <w:tcW w:type="dxa" w:w="1728"/>
          </w:tcPr>
          <w:p>
            <w:r>
              <w:rPr>
                <w:sz w:val="16"/>
              </w:rPr>
              <w:t>31</w:t>
            </w:r>
          </w:p>
        </w:tc>
        <w:tc>
          <w:tcPr>
            <w:tcW w:type="dxa" w:w="1728"/>
          </w:tcPr>
          <w:p>
            <w:r>
              <w:rPr>
                <w:sz w:val="16"/>
              </w:rPr>
              <w:t>~31</w:t>
            </w:r>
          </w:p>
        </w:tc>
        <w:tc>
          <w:tcPr>
            <w:tcW w:type="dxa" w:w="1728"/>
          </w:tcPr>
          <w:p>
            <w:r>
              <w:rPr>
                <w:sz w:val="16"/>
              </w:rPr>
              <w:t>100.4%</w:t>
            </w:r>
          </w:p>
        </w:tc>
      </w:tr>
      <w:tr>
        <w:tc>
          <w:tcPr>
            <w:tcW w:type="dxa" w:w="1728"/>
          </w:tcPr>
          <w:p>
            <w:r>
              <w:rPr>
                <w:sz w:val="16"/>
              </w:rPr>
              <w:t>Total</w:t>
            </w:r>
          </w:p>
        </w:tc>
        <w:tc>
          <w:tcPr>
            <w:tcW w:type="dxa" w:w="1728"/>
          </w:tcPr>
          <w:p>
            <w:r>
              <w:rPr>
                <w:sz w:val="16"/>
              </w:rPr>
              <w:t>77,200</w:t>
            </w:r>
          </w:p>
        </w:tc>
        <w:tc>
          <w:tcPr>
            <w:tcW w:type="dxa" w:w="1728"/>
          </w:tcPr>
          <w:p>
            <w:r>
              <w:rPr>
                <w:sz w:val="16"/>
              </w:rPr>
              <w:t>471</w:t>
            </w:r>
          </w:p>
        </w:tc>
        <w:tc>
          <w:tcPr>
            <w:tcW w:type="dxa" w:w="1728"/>
          </w:tcPr>
          <w:p>
            <w:r>
              <w:rPr>
                <w:sz w:val="16"/>
              </w:rPr>
              <w:t>~471</w:t>
            </w:r>
          </w:p>
        </w:tc>
        <w:tc>
          <w:tcPr>
            <w:tcW w:type="dxa" w:w="1728"/>
          </w:tcPr>
          <w:p>
            <w:r>
              <w:rPr>
                <w:sz w:val="16"/>
              </w:rPr>
              <w:t>100.0%</w:t>
            </w:r>
          </w:p>
        </w:tc>
      </w:tr>
    </w:tbl>
    <w:p>
      <w:pPr>
        <w:pStyle w:val="Heading1"/>
      </w:pPr>
      <w:r>
        <w:t>5. Emissions Calibration</w:t>
      </w:r>
    </w:p>
    <w:p>
      <w:pPr>
        <w:pStyle w:val="Heading2"/>
      </w:pPr>
      <w:r>
        <w:t>5.1 Energy Emissions (Combustion, NGGI Cat 1A2)</w:t>
      </w:r>
    </w:p>
    <w:p>
      <w:r>
        <w:t>NGA 2024 emission factors (DCCEEW, AR5 GWP100): natural gas = 51.4 kgCO2e/GJ; diesel = 69.9 kgCO2e/GJ. AES-derived combustion CO2e: (62,300 × 51.4 + 9,800 × 69.9) / 1,000 = 3,887 tCO2e/PJ → 23.7 MtCO2e. NGGI 2023-24 Cat 1A2 = 22.0 MtCO2e. The 1.7 MtCO2e gap is because routine flaring and venting gas combustion is classified as fugitive (Cat 1B2b) in NGGI, not as energy (Cat 1A2). Model energy CO2e is calibrated directly to NGGI 1A2: 3,610 tCO2e/PJ × 6,100 PJ = 22.0 MtCO2e ✓</w:t>
      </w:r>
    </w:p>
    <w:p>
      <w:pPr>
        <w:pStyle w:val="Heading2"/>
      </w:pPr>
      <w:r>
        <w:t>5.2 Fugitive Emissions (Process, NGGI Cat 1B2b)</w:t>
      </w:r>
    </w:p>
    <w:p>
      <w:r>
        <w:t>NGGI 2023-24 Category 1B2b (oil and gas fugitive): 22.0 MtCO2e. Per PJ_gas: 22,000,000 / 6,100 = 3,607 → modelled as 3,610 tCO2e/PJ_gas. Sense-check: 3,610 × 6,100 / 1e6 = 22.0 MtCO2e ≈ NGGI 22 MtCO2e ✓. Fugitive sources include: wellhead venting, compressor seal gas leaks, pipeline fugitives, LNG processing purge streams, and routine flaring/venting gas (reclassified from Cat 1A2 by NGGI methodology). Previous model used NGGI 2022-23 (3,280 tCO2e/PJ = 20.0 MtCO2e), understating by 2 MtCO2e.</w:t>
      </w:r>
    </w:p>
    <w:p>
      <w:pPr>
        <w:pStyle w:val="Heading2"/>
      </w:pPr>
      <w:r>
        <w:t>5.3 Emissions Sense-Check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3864" w:val="clear"/>
          </w:tcPr>
          <w:p>
            <w:r>
              <w:rPr>
                <w:b/>
                <w:color w:val="FFFFFF"/>
                <w:sz w:val="16"/>
              </w:rPr>
              <w:t>Year</w:t>
            </w:r>
          </w:p>
        </w:tc>
        <w:tc>
          <w:tcPr>
            <w:tcW w:type="dxa" w:w="1728"/>
            <w:shd w:fill="1F3864" w:val="clear"/>
          </w:tcPr>
          <w:p>
            <w:r>
              <w:rPr>
                <w:b/>
                <w:color w:val="FFFFFF"/>
                <w:sz w:val="16"/>
              </w:rPr>
              <w:t>Energy CO2e (tCO2e/PJ)</w:t>
            </w:r>
          </w:p>
        </w:tc>
        <w:tc>
          <w:tcPr>
            <w:tcW w:type="dxa" w:w="1728"/>
            <w:shd w:fill="1F3864" w:val="clear"/>
          </w:tcPr>
          <w:p>
            <w:r>
              <w:rPr>
                <w:b/>
                <w:color w:val="FFFFFF"/>
                <w:sz w:val="16"/>
              </w:rPr>
              <w:t>Energy total (MtCO2e)</w:t>
            </w:r>
          </w:p>
        </w:tc>
        <w:tc>
          <w:tcPr>
            <w:tcW w:type="dxa" w:w="1728"/>
            <w:shd w:fill="1F3864" w:val="clear"/>
          </w:tcPr>
          <w:p>
            <w:r>
              <w:rPr>
                <w:b/>
                <w:color w:val="FFFFFF"/>
                <w:sz w:val="16"/>
              </w:rPr>
              <w:t>Fugitive (tCO2e/PJ)</w:t>
            </w:r>
          </w:p>
        </w:tc>
        <w:tc>
          <w:tcPr>
            <w:tcW w:type="dxa" w:w="1728"/>
            <w:shd w:fill="1F3864" w:val="clear"/>
          </w:tcPr>
          <w:p>
            <w:r>
              <w:rPr>
                <w:b/>
                <w:color w:val="FFFFFF"/>
                <w:sz w:val="16"/>
              </w:rPr>
              <w:t>Fugitive total (MtCO2e)</w:t>
            </w:r>
          </w:p>
        </w:tc>
      </w:tr>
      <w:tr>
        <w:tc>
          <w:tcPr>
            <w:tcW w:type="dxa" w:w="1728"/>
          </w:tcPr>
          <w:p>
            <w:r>
              <w:rPr>
                <w:sz w:val="16"/>
              </w:rPr>
              <w:t>2025</w:t>
            </w:r>
          </w:p>
        </w:tc>
        <w:tc>
          <w:tcPr>
            <w:tcW w:type="dxa" w:w="1728"/>
          </w:tcPr>
          <w:p>
            <w:r>
              <w:rPr>
                <w:sz w:val="16"/>
              </w:rPr>
              <w:t>3,610</w:t>
            </w:r>
          </w:p>
        </w:tc>
        <w:tc>
          <w:tcPr>
            <w:tcW w:type="dxa" w:w="1728"/>
          </w:tcPr>
          <w:p>
            <w:r>
              <w:rPr>
                <w:sz w:val="16"/>
              </w:rPr>
              <w:t>22.02</w:t>
            </w:r>
          </w:p>
        </w:tc>
        <w:tc>
          <w:tcPr>
            <w:tcW w:type="dxa" w:w="1728"/>
          </w:tcPr>
          <w:p>
            <w:r>
              <w:rPr>
                <w:sz w:val="16"/>
              </w:rPr>
              <w:t>3,610</w:t>
            </w:r>
          </w:p>
        </w:tc>
        <w:tc>
          <w:tcPr>
            <w:tcW w:type="dxa" w:w="1728"/>
          </w:tcPr>
          <w:p>
            <w:r>
              <w:rPr>
                <w:sz w:val="16"/>
              </w:rPr>
              <w:t>22.02</w:t>
            </w:r>
          </w:p>
        </w:tc>
      </w:tr>
      <w:tr>
        <w:tc>
          <w:tcPr>
            <w:tcW w:type="dxa" w:w="1728"/>
          </w:tcPr>
          <w:p>
            <w:r>
              <w:rPr>
                <w:sz w:val="16"/>
              </w:rPr>
              <w:t>2030</w:t>
            </w:r>
          </w:p>
        </w:tc>
        <w:tc>
          <w:tcPr>
            <w:tcW w:type="dxa" w:w="1728"/>
          </w:tcPr>
          <w:p>
            <w:r>
              <w:rPr>
                <w:sz w:val="16"/>
              </w:rPr>
              <w:t>3,520</w:t>
            </w:r>
          </w:p>
        </w:tc>
        <w:tc>
          <w:tcPr>
            <w:tcW w:type="dxa" w:w="1728"/>
          </w:tcPr>
          <w:p>
            <w:r>
              <w:rPr>
                <w:sz w:val="16"/>
              </w:rPr>
              <w:t>20.41</w:t>
            </w:r>
          </w:p>
        </w:tc>
        <w:tc>
          <w:tcPr>
            <w:tcW w:type="dxa" w:w="1728"/>
          </w:tcPr>
          <w:p>
            <w:r>
              <w:rPr>
                <w:sz w:val="16"/>
              </w:rPr>
              <w:t>3,300</w:t>
            </w:r>
          </w:p>
        </w:tc>
        <w:tc>
          <w:tcPr>
            <w:tcW w:type="dxa" w:w="1728"/>
          </w:tcPr>
          <w:p>
            <w:r>
              <w:rPr>
                <w:sz w:val="16"/>
              </w:rPr>
              <w:t>19.14</w:t>
            </w:r>
          </w:p>
        </w:tc>
      </w:tr>
      <w:tr>
        <w:tc>
          <w:tcPr>
            <w:tcW w:type="dxa" w:w="1728"/>
          </w:tcPr>
          <w:p>
            <w:r>
              <w:rPr>
                <w:sz w:val="16"/>
              </w:rPr>
              <w:t>2035</w:t>
            </w:r>
          </w:p>
        </w:tc>
        <w:tc>
          <w:tcPr>
            <w:tcW w:type="dxa" w:w="1728"/>
          </w:tcPr>
          <w:p>
            <w:r>
              <w:rPr>
                <w:sz w:val="16"/>
              </w:rPr>
              <w:t>3,440</w:t>
            </w:r>
          </w:p>
        </w:tc>
        <w:tc>
          <w:tcPr>
            <w:tcW w:type="dxa" w:w="1728"/>
          </w:tcPr>
          <w:p>
            <w:r>
              <w:rPr>
                <w:sz w:val="16"/>
              </w:rPr>
              <w:t>18.98</w:t>
            </w:r>
          </w:p>
        </w:tc>
        <w:tc>
          <w:tcPr>
            <w:tcW w:type="dxa" w:w="1728"/>
          </w:tcPr>
          <w:p>
            <w:r>
              <w:rPr>
                <w:sz w:val="16"/>
              </w:rPr>
              <w:t>3,000</w:t>
            </w:r>
          </w:p>
        </w:tc>
        <w:tc>
          <w:tcPr>
            <w:tcW w:type="dxa" w:w="1728"/>
          </w:tcPr>
          <w:p>
            <w:r>
              <w:rPr>
                <w:sz w:val="16"/>
              </w:rPr>
              <w:t>16.55</w:t>
            </w:r>
          </w:p>
        </w:tc>
      </w:tr>
      <w:tr>
        <w:tc>
          <w:tcPr>
            <w:tcW w:type="dxa" w:w="1728"/>
          </w:tcPr>
          <w:p>
            <w:r>
              <w:rPr>
                <w:sz w:val="16"/>
              </w:rPr>
              <w:t>2040</w:t>
            </w:r>
          </w:p>
        </w:tc>
        <w:tc>
          <w:tcPr>
            <w:tcW w:type="dxa" w:w="1728"/>
          </w:tcPr>
          <w:p>
            <w:r>
              <w:rPr>
                <w:sz w:val="16"/>
              </w:rPr>
              <w:t>3,350</w:t>
            </w:r>
          </w:p>
        </w:tc>
        <w:tc>
          <w:tcPr>
            <w:tcW w:type="dxa" w:w="1728"/>
          </w:tcPr>
          <w:p>
            <w:r>
              <w:rPr>
                <w:sz w:val="16"/>
              </w:rPr>
              <w:t>17.58</w:t>
            </w:r>
          </w:p>
        </w:tc>
        <w:tc>
          <w:tcPr>
            <w:tcW w:type="dxa" w:w="1728"/>
          </w:tcPr>
          <w:p>
            <w:r>
              <w:rPr>
                <w:sz w:val="16"/>
              </w:rPr>
              <w:t>2,700</w:t>
            </w:r>
          </w:p>
        </w:tc>
        <w:tc>
          <w:tcPr>
            <w:tcW w:type="dxa" w:w="1728"/>
          </w:tcPr>
          <w:p>
            <w:r>
              <w:rPr>
                <w:sz w:val="16"/>
              </w:rPr>
              <w:t>14.17</w:t>
            </w:r>
          </w:p>
        </w:tc>
      </w:tr>
      <w:tr>
        <w:tc>
          <w:tcPr>
            <w:tcW w:type="dxa" w:w="1728"/>
          </w:tcPr>
          <w:p>
            <w:r>
              <w:rPr>
                <w:sz w:val="16"/>
              </w:rPr>
              <w:t>2045</w:t>
            </w:r>
          </w:p>
        </w:tc>
        <w:tc>
          <w:tcPr>
            <w:tcW w:type="dxa" w:w="1728"/>
          </w:tcPr>
          <w:p>
            <w:r>
              <w:rPr>
                <w:sz w:val="16"/>
              </w:rPr>
              <w:t>3,280</w:t>
            </w:r>
          </w:p>
        </w:tc>
        <w:tc>
          <w:tcPr>
            <w:tcW w:type="dxa" w:w="1728"/>
          </w:tcPr>
          <w:p>
            <w:r>
              <w:rPr>
                <w:sz w:val="16"/>
              </w:rPr>
              <w:t>16.37</w:t>
            </w:r>
          </w:p>
        </w:tc>
        <w:tc>
          <w:tcPr>
            <w:tcW w:type="dxa" w:w="1728"/>
          </w:tcPr>
          <w:p>
            <w:r>
              <w:rPr>
                <w:sz w:val="16"/>
              </w:rPr>
              <w:t>2,450</w:t>
            </w:r>
          </w:p>
        </w:tc>
        <w:tc>
          <w:tcPr>
            <w:tcW w:type="dxa" w:w="1728"/>
          </w:tcPr>
          <w:p>
            <w:r>
              <w:rPr>
                <w:sz w:val="16"/>
              </w:rPr>
              <w:t>12.23</w:t>
            </w:r>
          </w:p>
        </w:tc>
      </w:tr>
      <w:tr>
        <w:tc>
          <w:tcPr>
            <w:tcW w:type="dxa" w:w="1728"/>
          </w:tcPr>
          <w:p>
            <w:r>
              <w:rPr>
                <w:sz w:val="16"/>
              </w:rPr>
              <w:t>2050</w:t>
            </w:r>
          </w:p>
        </w:tc>
        <w:tc>
          <w:tcPr>
            <w:tcW w:type="dxa" w:w="1728"/>
          </w:tcPr>
          <w:p>
            <w:r>
              <w:rPr>
                <w:sz w:val="16"/>
              </w:rPr>
              <w:t>3,210</w:t>
            </w:r>
          </w:p>
        </w:tc>
        <w:tc>
          <w:tcPr>
            <w:tcW w:type="dxa" w:w="1728"/>
          </w:tcPr>
          <w:p>
            <w:r>
              <w:rPr>
                <w:sz w:val="16"/>
              </w:rPr>
              <w:t>15.23</w:t>
            </w:r>
          </w:p>
        </w:tc>
        <w:tc>
          <w:tcPr>
            <w:tcW w:type="dxa" w:w="1728"/>
          </w:tcPr>
          <w:p>
            <w:r>
              <w:rPr>
                <w:sz w:val="16"/>
              </w:rPr>
              <w:t>2,200</w:t>
            </w:r>
          </w:p>
        </w:tc>
        <w:tc>
          <w:tcPr>
            <w:tcW w:type="dxa" w:w="1728"/>
          </w:tcPr>
          <w:p>
            <w:r>
              <w:rPr>
                <w:sz w:val="16"/>
              </w:rPr>
              <w:t>10.44</w:t>
            </w:r>
          </w:p>
        </w:tc>
      </w:tr>
      <w:tr>
        <w:tc>
          <w:tcPr>
            <w:tcW w:type="dxa" w:w="1728"/>
            <w:shd w:fill="375623" w:val="clear"/>
          </w:tcPr>
          <w:p>
            <w:r>
              <w:rPr>
                <w:b/>
                <w:color w:val="FFFFFF"/>
                <w:sz w:val="16"/>
              </w:rPr>
              <w:t>NGGI 2023-24</w:t>
            </w:r>
          </w:p>
        </w:tc>
        <w:tc>
          <w:tcPr>
            <w:tcW w:type="dxa" w:w="1728"/>
            <w:shd w:fill="375623" w:val="clear"/>
          </w:tcPr>
          <w:p>
            <w:r>
              <w:rPr>
                <w:b/>
                <w:color w:val="FFFFFF"/>
                <w:sz w:val="16"/>
              </w:rPr>
              <w:t>—</w:t>
            </w:r>
          </w:p>
        </w:tc>
        <w:tc>
          <w:tcPr>
            <w:tcW w:type="dxa" w:w="1728"/>
            <w:shd w:fill="375623" w:val="clear"/>
          </w:tcPr>
          <w:p>
            <w:r>
              <w:rPr>
                <w:b/>
                <w:color w:val="FFFFFF"/>
                <w:sz w:val="16"/>
              </w:rPr>
              <w:t>22 MtCO2e (Cat 1A2) ✓</w:t>
            </w:r>
          </w:p>
        </w:tc>
        <w:tc>
          <w:tcPr>
            <w:tcW w:type="dxa" w:w="1728"/>
            <w:shd w:fill="375623" w:val="clear"/>
          </w:tcPr>
          <w:p>
            <w:r>
              <w:rPr>
                <w:b/>
                <w:color w:val="FFFFFF"/>
                <w:sz w:val="16"/>
              </w:rPr>
              <w:t>—</w:t>
            </w:r>
          </w:p>
        </w:tc>
        <w:tc>
          <w:tcPr>
            <w:tcW w:type="dxa" w:w="1728"/>
            <w:shd w:fill="375623" w:val="clear"/>
          </w:tcPr>
          <w:p>
            <w:r>
              <w:rPr>
                <w:b/>
                <w:color w:val="FFFFFF"/>
                <w:sz w:val="16"/>
              </w:rPr>
              <w:t>22 MtCO2e (Cat 1B2b) ✓</w:t>
            </w:r>
          </w:p>
        </w:tc>
      </w:tr>
    </w:tbl>
    <w:p/>
    <w:p>
      <w:pPr>
        <w:pStyle w:val="Heading1"/>
      </w:pPr>
      <w:r>
        <w:t>6. Demand Trajectory (2025–2050)</w:t>
      </w:r>
    </w:p>
    <w:p>
      <w:r>
        <w:t>Total Australian gas production is modelled declining at −1.0%/yr compound (curve: declining__oil_and_gas_extraction_total), reflecting AEMO ISP 2024 Step Change scenario projections of global LNG demand peaking ~2030 and declining domestic gas demand as building and industrial electrification proceeds.</w:t>
      </w:r>
    </w:p>
    <w:tbl>
      <w:tblPr>
        <w:tblStyle w:val="TableGrid"/>
        <w:tblW w:type="auto" w:w="0"/>
        <w:tblLook w:firstColumn="1" w:firstRow="1" w:lastColumn="0" w:lastRow="0" w:noHBand="0" w:noVBand="1" w:val="04A0"/>
      </w:tblPr>
      <w:tblGrid>
        <w:gridCol w:w="2880"/>
        <w:gridCol w:w="2880"/>
        <w:gridCol w:w="2880"/>
      </w:tblGrid>
      <w:tr>
        <w:tc>
          <w:tcPr>
            <w:tcW w:type="dxa" w:w="2880"/>
            <w:shd w:fill="1F3864" w:val="clear"/>
          </w:tcPr>
          <w:p>
            <w:r>
              <w:rPr>
                <w:b/>
                <w:color w:val="FFFFFF"/>
                <w:sz w:val="16"/>
              </w:rPr>
              <w:t>Year</w:t>
            </w:r>
          </w:p>
        </w:tc>
        <w:tc>
          <w:tcPr>
            <w:tcW w:type="dxa" w:w="2880"/>
            <w:shd w:fill="1F3864" w:val="clear"/>
          </w:tcPr>
          <w:p>
            <w:r>
              <w:rPr>
                <w:b/>
                <w:color w:val="FFFFFF"/>
                <w:sz w:val="16"/>
              </w:rPr>
              <w:t>Total demand (PJ_gas)</w:t>
            </w:r>
          </w:p>
        </w:tc>
        <w:tc>
          <w:tcPr>
            <w:tcW w:type="dxa" w:w="2880"/>
            <w:shd w:fill="1F3864" w:val="clear"/>
          </w:tcPr>
          <w:p>
            <w:r>
              <w:rPr>
                <w:b/>
                <w:color w:val="FFFFFF"/>
                <w:sz w:val="16"/>
              </w:rPr>
              <w:t>Index (2025=1.000)</w:t>
            </w:r>
          </w:p>
        </w:tc>
      </w:tr>
      <w:tr>
        <w:tc>
          <w:tcPr>
            <w:tcW w:type="dxa" w:w="2880"/>
          </w:tcPr>
          <w:p>
            <w:r>
              <w:rPr>
                <w:sz w:val="16"/>
              </w:rPr>
              <w:t>2025</w:t>
            </w:r>
          </w:p>
        </w:tc>
        <w:tc>
          <w:tcPr>
            <w:tcW w:type="dxa" w:w="2880"/>
          </w:tcPr>
          <w:p>
            <w:r>
              <w:rPr>
                <w:sz w:val="16"/>
              </w:rPr>
              <w:t>6,100</w:t>
            </w:r>
          </w:p>
        </w:tc>
        <w:tc>
          <w:tcPr>
            <w:tcW w:type="dxa" w:w="2880"/>
          </w:tcPr>
          <w:p>
            <w:r>
              <w:rPr>
                <w:sz w:val="16"/>
              </w:rPr>
              <w:t>1.0000</w:t>
            </w:r>
          </w:p>
        </w:tc>
      </w:tr>
      <w:tr>
        <w:tc>
          <w:tcPr>
            <w:tcW w:type="dxa" w:w="2880"/>
          </w:tcPr>
          <w:p>
            <w:r>
              <w:rPr>
                <w:sz w:val="16"/>
              </w:rPr>
              <w:t>2030</w:t>
            </w:r>
          </w:p>
        </w:tc>
        <w:tc>
          <w:tcPr>
            <w:tcW w:type="dxa" w:w="2880"/>
          </w:tcPr>
          <w:p>
            <w:r>
              <w:rPr>
                <w:sz w:val="16"/>
              </w:rPr>
              <w:t>5,799</w:t>
            </w:r>
          </w:p>
        </w:tc>
        <w:tc>
          <w:tcPr>
            <w:tcW w:type="dxa" w:w="2880"/>
          </w:tcPr>
          <w:p>
            <w:r>
              <w:rPr>
                <w:sz w:val="16"/>
              </w:rPr>
              <w:t>0.9507</w:t>
            </w:r>
          </w:p>
        </w:tc>
      </w:tr>
      <w:tr>
        <w:tc>
          <w:tcPr>
            <w:tcW w:type="dxa" w:w="2880"/>
          </w:tcPr>
          <w:p>
            <w:r>
              <w:rPr>
                <w:sz w:val="16"/>
              </w:rPr>
              <w:t>2035</w:t>
            </w:r>
          </w:p>
        </w:tc>
        <w:tc>
          <w:tcPr>
            <w:tcW w:type="dxa" w:w="2880"/>
          </w:tcPr>
          <w:p>
            <w:r>
              <w:rPr>
                <w:sz w:val="16"/>
              </w:rPr>
              <w:t>5,517</w:t>
            </w:r>
          </w:p>
        </w:tc>
        <w:tc>
          <w:tcPr>
            <w:tcW w:type="dxa" w:w="2880"/>
          </w:tcPr>
          <w:p>
            <w:r>
              <w:rPr>
                <w:sz w:val="16"/>
              </w:rPr>
              <w:t>0.9044</w:t>
            </w:r>
          </w:p>
        </w:tc>
      </w:tr>
      <w:tr>
        <w:tc>
          <w:tcPr>
            <w:tcW w:type="dxa" w:w="2880"/>
          </w:tcPr>
          <w:p>
            <w:r>
              <w:rPr>
                <w:sz w:val="16"/>
              </w:rPr>
              <w:t>2040</w:t>
            </w:r>
          </w:p>
        </w:tc>
        <w:tc>
          <w:tcPr>
            <w:tcW w:type="dxa" w:w="2880"/>
          </w:tcPr>
          <w:p>
            <w:r>
              <w:rPr>
                <w:sz w:val="16"/>
              </w:rPr>
              <w:t>5,247</w:t>
            </w:r>
          </w:p>
        </w:tc>
        <w:tc>
          <w:tcPr>
            <w:tcW w:type="dxa" w:w="2880"/>
          </w:tcPr>
          <w:p>
            <w:r>
              <w:rPr>
                <w:sz w:val="16"/>
              </w:rPr>
              <w:t>0.8602</w:t>
            </w:r>
          </w:p>
        </w:tc>
      </w:tr>
      <w:tr>
        <w:tc>
          <w:tcPr>
            <w:tcW w:type="dxa" w:w="2880"/>
          </w:tcPr>
          <w:p>
            <w:r>
              <w:rPr>
                <w:sz w:val="16"/>
              </w:rPr>
              <w:t>2045</w:t>
            </w:r>
          </w:p>
        </w:tc>
        <w:tc>
          <w:tcPr>
            <w:tcW w:type="dxa" w:w="2880"/>
          </w:tcPr>
          <w:p>
            <w:r>
              <w:rPr>
                <w:sz w:val="16"/>
              </w:rPr>
              <w:t>4,990</w:t>
            </w:r>
          </w:p>
        </w:tc>
        <w:tc>
          <w:tcPr>
            <w:tcW w:type="dxa" w:w="2880"/>
          </w:tcPr>
          <w:p>
            <w:r>
              <w:rPr>
                <w:sz w:val="16"/>
              </w:rPr>
              <w:t>0.8180</w:t>
            </w:r>
          </w:p>
        </w:tc>
      </w:tr>
      <w:tr>
        <w:tc>
          <w:tcPr>
            <w:tcW w:type="dxa" w:w="2880"/>
          </w:tcPr>
          <w:p>
            <w:r>
              <w:rPr>
                <w:sz w:val="16"/>
              </w:rPr>
              <w:t>2050</w:t>
            </w:r>
          </w:p>
        </w:tc>
        <w:tc>
          <w:tcPr>
            <w:tcW w:type="dxa" w:w="2880"/>
          </w:tcPr>
          <w:p>
            <w:r>
              <w:rPr>
                <w:sz w:val="16"/>
              </w:rPr>
              <w:t>4,745</w:t>
            </w:r>
          </w:p>
        </w:tc>
        <w:tc>
          <w:tcPr>
            <w:tcW w:type="dxa" w:w="2880"/>
          </w:tcPr>
          <w:p>
            <w:r>
              <w:rPr>
                <w:sz w:val="16"/>
              </w:rPr>
              <w:t>0.7779</w:t>
            </w:r>
          </w:p>
        </w:tc>
      </w:tr>
    </w:tbl>
    <w:p/>
    <w:p>
      <w:pPr>
        <w:pStyle w:val="Heading1"/>
      </w:pPr>
      <w:r>
        <w:t>7. Sources and Assumptions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864" w:val="clear"/>
          </w:tcPr>
          <w:p>
            <w:r>
              <w:rPr>
                <w:b/>
                <w:color w:val="FFFFFF"/>
                <w:sz w:val="16"/>
              </w:rPr>
              <w:t>ID</w:t>
            </w:r>
          </w:p>
        </w:tc>
        <w:tc>
          <w:tcPr>
            <w:tcW w:type="dxa" w:w="2160"/>
            <w:shd w:fill="1F3864" w:val="clear"/>
          </w:tcPr>
          <w:p>
            <w:r>
              <w:rPr>
                <w:b/>
                <w:color w:val="FFFFFF"/>
                <w:sz w:val="16"/>
              </w:rPr>
              <w:t>Reference</w:t>
            </w:r>
          </w:p>
        </w:tc>
        <w:tc>
          <w:tcPr>
            <w:tcW w:type="dxa" w:w="2160"/>
            <w:shd w:fill="1F3864" w:val="clear"/>
          </w:tcPr>
          <w:p>
            <w:r>
              <w:rPr>
                <w:b/>
                <w:color w:val="FFFFFF"/>
                <w:sz w:val="16"/>
              </w:rPr>
              <w:t>Publisher</w:t>
            </w:r>
          </w:p>
        </w:tc>
        <w:tc>
          <w:tcPr>
            <w:tcW w:type="dxa" w:w="2160"/>
            <w:shd w:fill="1F3864" w:val="clear"/>
          </w:tcPr>
          <w:p>
            <w:r>
              <w:rPr>
                <w:b/>
                <w:color w:val="FFFFFF"/>
                <w:sz w:val="16"/>
              </w:rPr>
              <w:t>Used for</w:t>
            </w:r>
          </w:p>
        </w:tc>
      </w:tr>
      <w:tr>
        <w:tc>
          <w:tcPr>
            <w:tcW w:type="dxa" w:w="2160"/>
          </w:tcPr>
          <w:p>
            <w:r>
              <w:rPr>
                <w:sz w:val="16"/>
              </w:rPr>
              <w:t>S001</w:t>
            </w:r>
          </w:p>
        </w:tc>
        <w:tc>
          <w:tcPr>
            <w:tcW w:type="dxa" w:w="2160"/>
          </w:tcPr>
          <w:p>
            <w:r>
              <w:rPr>
                <w:sz w:val="16"/>
              </w:rPr>
              <w:t>AES 2023-24 Table F</w:t>
            </w:r>
          </w:p>
        </w:tc>
        <w:tc>
          <w:tcPr>
            <w:tcW w:type="dxa" w:w="2160"/>
          </w:tcPr>
          <w:p>
            <w:r>
              <w:rPr>
                <w:sz w:val="16"/>
              </w:rPr>
              <w:t>DCCEEW</w:t>
            </w:r>
          </w:p>
        </w:tc>
        <w:tc>
          <w:tcPr>
            <w:tcW w:type="dxa" w:w="2160"/>
          </w:tcPr>
          <w:p>
            <w:r>
              <w:rPr>
                <w:sz w:val="16"/>
              </w:rPr>
              <w:t>Final energy 471 PJ for oil and gas extraction (ANZSIC 0700). Excludes LNG liquefaction own-use.</w:t>
            </w:r>
          </w:p>
        </w:tc>
      </w:tr>
      <w:tr>
        <w:tc>
          <w:tcPr>
            <w:tcW w:type="dxa" w:w="2160"/>
          </w:tcPr>
          <w:p>
            <w:r>
              <w:rPr>
                <w:sz w:val="16"/>
              </w:rPr>
              <w:t>S002</w:t>
            </w:r>
          </w:p>
        </w:tc>
        <w:tc>
          <w:tcPr>
            <w:tcW w:type="dxa" w:w="2160"/>
          </w:tcPr>
          <w:p>
            <w:r>
              <w:rPr>
                <w:sz w:val="16"/>
              </w:rPr>
              <w:t>NGGI 2023-24 Cat 1A2 and 1B2b</w:t>
            </w:r>
          </w:p>
        </w:tc>
        <w:tc>
          <w:tcPr>
            <w:tcW w:type="dxa" w:w="2160"/>
          </w:tcPr>
          <w:p>
            <w:r>
              <w:rPr>
                <w:sz w:val="16"/>
              </w:rPr>
              <w:t>DCCEEW</w:t>
            </w:r>
          </w:p>
        </w:tc>
        <w:tc>
          <w:tcPr>
            <w:tcW w:type="dxa" w:w="2160"/>
          </w:tcPr>
          <w:p>
            <w:r>
              <w:rPr>
                <w:sz w:val="16"/>
              </w:rPr>
              <w:t>Energy emissions 22 MtCO2e (Cat 1A2); fugitive 22 MtCO2e (Cat 1B2b). Both calibration targets.</w:t>
            </w:r>
          </w:p>
        </w:tc>
      </w:tr>
      <w:tr>
        <w:tc>
          <w:tcPr>
            <w:tcW w:type="dxa" w:w="2160"/>
          </w:tcPr>
          <w:p>
            <w:r>
              <w:rPr>
                <w:sz w:val="16"/>
              </w:rPr>
              <w:t>S022</w:t>
            </w:r>
          </w:p>
        </w:tc>
        <w:tc>
          <w:tcPr>
            <w:tcW w:type="dxa" w:w="2160"/>
          </w:tcPr>
          <w:p>
            <w:r>
              <w:rPr>
                <w:sz w:val="16"/>
              </w:rPr>
              <w:t>AECR 2025</w:t>
            </w:r>
          </w:p>
        </w:tc>
        <w:tc>
          <w:tcPr>
            <w:tcW w:type="dxa" w:w="2160"/>
          </w:tcPr>
          <w:p>
            <w:r>
              <w:rPr>
                <w:sz w:val="16"/>
              </w:rPr>
              <w:t>Geoscience Australia</w:t>
            </w:r>
          </w:p>
        </w:tc>
        <w:tc>
          <w:tcPr>
            <w:tcW w:type="dxa" w:w="2160"/>
          </w:tcPr>
          <w:p>
            <w:r>
              <w:rPr>
                <w:sz w:val="16"/>
              </w:rPr>
              <w:t>Total gas production 6,100 PJ; LNG exports 4,509 PJ; domestic 1,591 PJ.</w:t>
            </w:r>
          </w:p>
        </w:tc>
      </w:tr>
      <w:tr>
        <w:tc>
          <w:tcPr>
            <w:tcW w:type="dxa" w:w="2160"/>
          </w:tcPr>
          <w:p>
            <w:r>
              <w:rPr>
                <w:sz w:val="16"/>
              </w:rPr>
              <w:t>S023</w:t>
            </w:r>
          </w:p>
        </w:tc>
        <w:tc>
          <w:tcPr>
            <w:tcW w:type="dxa" w:w="2160"/>
          </w:tcPr>
          <w:p>
            <w:r>
              <w:rPr>
                <w:sz w:val="16"/>
              </w:rPr>
              <w:t>NGER data 2022-23</w:t>
            </w:r>
          </w:p>
        </w:tc>
        <w:tc>
          <w:tcPr>
            <w:tcW w:type="dxa" w:w="2160"/>
          </w:tcPr>
          <w:p>
            <w:r>
              <w:rPr>
                <w:sz w:val="16"/>
              </w:rPr>
              <w:t>Clean Energy Regulator</w:t>
            </w:r>
          </w:p>
        </w:tc>
        <w:tc>
          <w:tcPr>
            <w:tcW w:type="dxa" w:w="2160"/>
          </w:tcPr>
          <w:p>
            <w:r>
              <w:rPr>
                <w:sz w:val="16"/>
              </w:rPr>
              <w:t>Facility-level energy and emissions, upstream gas operators (Santos, Woodside, Beach, Origin).</w:t>
            </w:r>
          </w:p>
        </w:tc>
      </w:tr>
      <w:tr>
        <w:tc>
          <w:tcPr>
            <w:tcW w:type="dxa" w:w="2160"/>
          </w:tcPr>
          <w:p>
            <w:r>
              <w:rPr>
                <w:sz w:val="16"/>
              </w:rPr>
              <w:t>S024</w:t>
            </w:r>
          </w:p>
        </w:tc>
        <w:tc>
          <w:tcPr>
            <w:tcW w:type="dxa" w:w="2160"/>
          </w:tcPr>
          <w:p>
            <w:r>
              <w:rPr>
                <w:sz w:val="16"/>
              </w:rPr>
              <w:t>NGA 2024 Emission Factors</w:t>
            </w:r>
          </w:p>
        </w:tc>
        <w:tc>
          <w:tcPr>
            <w:tcW w:type="dxa" w:w="2160"/>
          </w:tcPr>
          <w:p>
            <w:r>
              <w:rPr>
                <w:sz w:val="16"/>
              </w:rPr>
              <w:t>DCCEEW</w:t>
            </w:r>
          </w:p>
        </w:tc>
        <w:tc>
          <w:tcPr>
            <w:tcW w:type="dxa" w:w="2160"/>
          </w:tcPr>
          <w:p>
            <w:r>
              <w:rPr>
                <w:sz w:val="16"/>
              </w:rPr>
              <w:t>Gas 51.4, diesel 69.9 kgCO2e/GJ (AR5 GWP100).</w:t>
            </w:r>
          </w:p>
        </w:tc>
      </w:tr>
      <w:tr>
        <w:tc>
          <w:tcPr>
            <w:tcW w:type="dxa" w:w="2160"/>
          </w:tcPr>
          <w:p>
            <w:r>
              <w:rPr>
                <w:sz w:val="16"/>
              </w:rPr>
              <w:t>S025</w:t>
            </w:r>
          </w:p>
        </w:tc>
        <w:tc>
          <w:tcPr>
            <w:tcW w:type="dxa" w:w="2160"/>
          </w:tcPr>
          <w:p>
            <w:r>
              <w:rPr>
                <w:sz w:val="16"/>
              </w:rPr>
              <w:t>IEA Natural Gas Decarbonisation 2022; Global Methane Tracker 2024</w:t>
            </w:r>
          </w:p>
        </w:tc>
        <w:tc>
          <w:tcPr>
            <w:tcW w:type="dxa" w:w="2160"/>
          </w:tcPr>
          <w:p>
            <w:r>
              <w:rPr>
                <w:sz w:val="16"/>
              </w:rPr>
              <w:t>IEA</w:t>
            </w:r>
          </w:p>
        </w:tc>
        <w:tc>
          <w:tcPr>
            <w:tcW w:type="dxa" w:w="2160"/>
          </w:tcPr>
          <w:p>
            <w:r>
              <w:rPr>
                <w:sz w:val="16"/>
              </w:rPr>
              <w:t>LDAR potential, electric compression costs, methane abatement benchmarks.</w:t>
            </w:r>
          </w:p>
        </w:tc>
      </w:tr>
      <w:tr>
        <w:tc>
          <w:tcPr>
            <w:tcW w:type="dxa" w:w="2160"/>
          </w:tcPr>
          <w:p>
            <w:r>
              <w:rPr>
                <w:sz w:val="16"/>
              </w:rPr>
              <w:t>S026</w:t>
            </w:r>
          </w:p>
        </w:tc>
        <w:tc>
          <w:tcPr>
            <w:tcW w:type="dxa" w:w="2160"/>
          </w:tcPr>
          <w:p>
            <w:r>
              <w:rPr>
                <w:sz w:val="16"/>
              </w:rPr>
              <w:t>AEMO ISP 2024 Step Change</w:t>
            </w:r>
          </w:p>
        </w:tc>
        <w:tc>
          <w:tcPr>
            <w:tcW w:type="dxa" w:w="2160"/>
          </w:tcPr>
          <w:p>
            <w:r>
              <w:rPr>
                <w:sz w:val="16"/>
              </w:rPr>
              <w:t>AEMO</w:t>
            </w:r>
          </w:p>
        </w:tc>
        <w:tc>
          <w:tcPr>
            <w:tcW w:type="dxa" w:w="2160"/>
          </w:tcPr>
          <w:p>
            <w:r>
              <w:rPr>
                <w:sz w:val="16"/>
              </w:rPr>
              <w:t>Gas demand trajectory −1.0%/yr; domestic decline assumptions.</w:t>
            </w:r>
          </w:p>
        </w:tc>
      </w:tr>
      <w:tr>
        <w:tc>
          <w:tcPr>
            <w:tcW w:type="dxa" w:w="2160"/>
          </w:tcPr>
          <w:p>
            <w:r>
              <w:rPr>
                <w:sz w:val="16"/>
              </w:rPr>
              <w:t>A002</w:t>
            </w:r>
          </w:p>
        </w:tc>
        <w:tc>
          <w:tcPr>
            <w:tcW w:type="dxa" w:w="2160"/>
          </w:tcPr>
          <w:p>
            <w:r>
              <w:rPr>
                <w:sz w:val="16"/>
              </w:rPr>
              <w:t>AES boundary assumption</w:t>
            </w:r>
          </w:p>
        </w:tc>
        <w:tc>
          <w:tcPr>
            <w:tcW w:type="dxa" w:w="2160"/>
          </w:tcPr>
          <w:p>
            <w:r>
              <w:rPr>
                <w:sz w:val="16"/>
              </w:rPr>
              <w:t>—</w:t>
            </w:r>
          </w:p>
        </w:tc>
        <w:tc>
          <w:tcPr>
            <w:tcW w:type="dxa" w:w="2160"/>
          </w:tcPr>
          <w:p>
            <w:r>
              <w:rPr>
                <w:sz w:val="16"/>
              </w:rPr>
              <w:t>AES final energy (471 PJ) covers upstream ANZSIC 0700 only. LNG liquefaction classified under 'energy transformation'. This boundary correction accounts for the 595→471 PJ change.</w:t>
            </w:r>
          </w:p>
        </w:tc>
      </w:tr>
      <w:tr>
        <w:tc>
          <w:tcPr>
            <w:tcW w:type="dxa" w:w="2160"/>
          </w:tcPr>
          <w:p>
            <w:r>
              <w:rPr>
                <w:sz w:val="16"/>
              </w:rPr>
              <w:t>A003</w:t>
            </w:r>
          </w:p>
        </w:tc>
        <w:tc>
          <w:tcPr>
            <w:tcW w:type="dxa" w:w="2160"/>
          </w:tcPr>
          <w:p>
            <w:r>
              <w:rPr>
                <w:sz w:val="16"/>
              </w:rPr>
              <w:t>NGGI 1A2 / 1B2b boundary</w:t>
            </w:r>
          </w:p>
        </w:tc>
        <w:tc>
          <w:tcPr>
            <w:tcW w:type="dxa" w:w="2160"/>
          </w:tcPr>
          <w:p>
            <w:r>
              <w:rPr>
                <w:sz w:val="16"/>
              </w:rPr>
              <w:t>—</w:t>
            </w:r>
          </w:p>
        </w:tc>
        <w:tc>
          <w:tcPr>
            <w:tcW w:type="dxa" w:w="2160"/>
          </w:tcPr>
          <w:p>
            <w:r>
              <w:rPr>
                <w:sz w:val="16"/>
              </w:rPr>
              <w:t>Flaring/venting gas combustion is 1B2b (fugitive), not 1A2 (energy). The 1.7 MtCO2e gap between AES-derived combustion and NGGI 1A2 is explained by this.</w:t>
            </w:r>
          </w:p>
        </w:tc>
      </w:tr>
      <w:tr>
        <w:tc>
          <w:tcPr>
            <w:tcW w:type="dxa" w:w="2160"/>
          </w:tcPr>
          <w:p>
            <w:r>
              <w:rPr>
                <w:sz w:val="16"/>
              </w:rPr>
              <w:t>A010</w:t>
            </w:r>
          </w:p>
        </w:tc>
        <w:tc>
          <w:tcPr>
            <w:tcW w:type="dxa" w:w="2160"/>
          </w:tcPr>
          <w:p>
            <w:r>
              <w:rPr>
                <w:sz w:val="16"/>
              </w:rPr>
              <w:t>National average coefficients</w:t>
            </w:r>
          </w:p>
        </w:tc>
        <w:tc>
          <w:tcPr>
            <w:tcW w:type="dxa" w:w="2160"/>
          </w:tcPr>
          <w:p>
            <w:r>
              <w:rPr>
                <w:sz w:val="16"/>
              </w:rPr>
              <w:t>—</w:t>
            </w:r>
          </w:p>
        </w:tc>
        <w:tc>
          <w:tcPr>
            <w:tcW w:type="dxa" w:w="2160"/>
          </w:tcPr>
          <w:p>
            <w:r>
              <w:rPr>
                <w:sz w:val="16"/>
              </w:rPr>
              <w:t>Phase 1: national average mixing onshore CSG, conventional, and offshore LNG. Phase 2: disaggregate sub-families.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