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Non-Road Transport Sector — Recalibration Report</w:t>
      </w:r>
    </w:p>
    <w:p>
      <w:pPr>
        <w:jc w:val="center"/>
      </w:pPr>
      <w:r>
        <w:rPr>
          <w:b w:val="0"/>
          <w:i/>
          <w:sz w:val="20"/>
        </w:rPr>
        <w:t>AES 2025 Table F1 (2023-24 column) recalibration  |  2026-05-05</w:t>
      </w:r>
    </w:p>
    <w:p>
      <w:pPr>
        <w:pStyle w:val="Heading1"/>
      </w:pPr>
      <w:r>
        <w:t>1. Overview</w:t>
      </w:r>
    </w:p>
    <w:p>
      <w:r>
        <w:rPr>
          <w:b w:val="0"/>
          <w:i w:val="0"/>
          <w:sz w:val="22"/>
        </w:rPr>
        <w:t>This report documents the recalibration of the six non-road transport families (domestic and international aviation, domestic and international shipping, and rail passenger and rail freight) against the Australian Energy Statistics 2025 (AES 2025) Table F1, using the 2023-24 column. The recalibration replaces the prior AES 2023-24 calibration that had been applied previously. Service-demand anchors (passenger-km, tonne-km) are unchanged; only the per-unit energy intensity coefficients in each family's incumbent state are updated. Transition-state intensities (SAF blends, fuel-cell aircraft, battery-electric vessels, electrified rail) remain at their technology-specific values because they reflect engineering characteristics rather than the AES baseline.</w:t>
      </w:r>
    </w:p>
    <w:p>
      <w:pPr>
        <w:pStyle w:val="Heading1"/>
      </w:pPr>
      <w:r>
        <w:t>2. Calibration summary (AES 2025 Table F1, 2023-24)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Family</w:t>
            </w:r>
          </w:p>
        </w:tc>
        <w:tc>
          <w:tcPr>
            <w:tcW w:type="dxa" w:w="2160"/>
          </w:tcPr>
          <w:p>
            <w:r>
              <w:rPr>
                <w:b/>
                <w:sz w:val="20"/>
              </w:rPr>
              <w:t>Anchor</w:t>
            </w:r>
          </w:p>
        </w:tc>
        <w:tc>
          <w:tcPr>
            <w:tcW w:type="dxa" w:w="2160"/>
          </w:tcPr>
          <w:p>
            <w:r>
              <w:rPr>
                <w:b/>
                <w:sz w:val="20"/>
              </w:rPr>
              <w:t>Total energy</w:t>
            </w:r>
          </w:p>
        </w:tc>
        <w:tc>
          <w:tcPr>
            <w:tcW w:type="dxa" w:w="2160"/>
          </w:tcPr>
          <w:p>
            <w:r>
              <w:rPr>
                <w:b/>
                <w:sz w:val="20"/>
              </w:rPr>
              <w:t>Total scope 1 CO2e</w:t>
            </w:r>
          </w:p>
        </w:tc>
      </w:tr>
      <w:tr>
        <w:tc>
          <w:tcPr>
            <w:tcW w:type="dxa" w:w="2160"/>
          </w:tcPr>
          <w:p>
            <w:r>
              <w:rPr>
                <w:sz w:val="20"/>
              </w:rPr>
              <w:t>Domestic aviation</w:t>
            </w:r>
          </w:p>
        </w:tc>
        <w:tc>
          <w:tcPr>
            <w:tcW w:type="dxa" w:w="2160"/>
          </w:tcPr>
          <w:p>
            <w:r>
              <w:rPr>
                <w:sz w:val="20"/>
              </w:rPr>
              <w:t>75,500 million pkm</w:t>
            </w:r>
          </w:p>
        </w:tc>
        <w:tc>
          <w:tcPr>
            <w:tcW w:type="dxa" w:w="2160"/>
          </w:tcPr>
          <w:p>
            <w:r>
              <w:rPr>
                <w:sz w:val="20"/>
              </w:rPr>
              <w:t>135.3 PJ</w:t>
            </w:r>
          </w:p>
        </w:tc>
        <w:tc>
          <w:tcPr>
            <w:tcW w:type="dxa" w:w="2160"/>
          </w:tcPr>
          <w:p>
            <w:r>
              <w:rPr>
                <w:sz w:val="20"/>
              </w:rPr>
              <w:t>9.67 MtCO2e (scope 1)</w:t>
            </w:r>
          </w:p>
        </w:tc>
      </w:tr>
      <w:tr>
        <w:tc>
          <w:tcPr>
            <w:tcW w:type="dxa" w:w="2160"/>
          </w:tcPr>
          <w:p>
            <w:r>
              <w:rPr>
                <w:sz w:val="20"/>
              </w:rPr>
              <w:t>International aviation</w:t>
            </w:r>
          </w:p>
        </w:tc>
        <w:tc>
          <w:tcPr>
            <w:tcW w:type="dxa" w:w="2160"/>
          </w:tcPr>
          <w:p>
            <w:r>
              <w:rPr>
                <w:sz w:val="20"/>
              </w:rPr>
              <w:t>70,000 million pkm</w:t>
            </w:r>
          </w:p>
        </w:tc>
        <w:tc>
          <w:tcPr>
            <w:tcW w:type="dxa" w:w="2160"/>
          </w:tcPr>
          <w:p>
            <w:r>
              <w:rPr>
                <w:sz w:val="20"/>
              </w:rPr>
              <w:t>199.0 PJ</w:t>
            </w:r>
          </w:p>
        </w:tc>
        <w:tc>
          <w:tcPr>
            <w:tcW w:type="dxa" w:w="2160"/>
          </w:tcPr>
          <w:p>
            <w:r>
              <w:rPr>
                <w:sz w:val="20"/>
              </w:rPr>
              <w:t>14.2 MtCO2e (scope 1, bunkers)</w:t>
            </w:r>
          </w:p>
        </w:tc>
      </w:tr>
      <w:tr>
        <w:tc>
          <w:tcPr>
            <w:tcW w:type="dxa" w:w="2160"/>
          </w:tcPr>
          <w:p>
            <w:r>
              <w:rPr>
                <w:sz w:val="20"/>
              </w:rPr>
              <w:t>Domestic shipping (coastal)</w:t>
            </w:r>
          </w:p>
        </w:tc>
        <w:tc>
          <w:tcPr>
            <w:tcW w:type="dxa" w:w="2160"/>
          </w:tcPr>
          <w:p>
            <w:r>
              <w:rPr>
                <w:sz w:val="20"/>
              </w:rPr>
              <w:t>30,000 million tkm</w:t>
            </w:r>
          </w:p>
        </w:tc>
        <w:tc>
          <w:tcPr>
            <w:tcW w:type="dxa" w:w="2160"/>
          </w:tcPr>
          <w:p>
            <w:r>
              <w:rPr>
                <w:sz w:val="20"/>
              </w:rPr>
              <w:t>44.5 PJ</w:t>
            </w:r>
          </w:p>
        </w:tc>
        <w:tc>
          <w:tcPr>
            <w:tcW w:type="dxa" w:w="2160"/>
          </w:tcPr>
          <w:p>
            <w:r>
              <w:rPr>
                <w:sz w:val="20"/>
              </w:rPr>
              <w:t>3.38 MtCO2e (scope 1)</w:t>
            </w:r>
          </w:p>
        </w:tc>
      </w:tr>
      <w:tr>
        <w:tc>
          <w:tcPr>
            <w:tcW w:type="dxa" w:w="2160"/>
          </w:tcPr>
          <w:p>
            <w:r>
              <w:rPr>
                <w:sz w:val="20"/>
              </w:rPr>
              <w:t>International shipping</w:t>
            </w:r>
          </w:p>
        </w:tc>
        <w:tc>
          <w:tcPr>
            <w:tcW w:type="dxa" w:w="2160"/>
          </w:tcPr>
          <w:p>
            <w:r>
              <w:rPr>
                <w:sz w:val="20"/>
              </w:rPr>
              <w:t>200,000 million tkm (estimated)</w:t>
            </w:r>
          </w:p>
        </w:tc>
        <w:tc>
          <w:tcPr>
            <w:tcW w:type="dxa" w:w="2160"/>
          </w:tcPr>
          <w:p>
            <w:r>
              <w:rPr>
                <w:sz w:val="20"/>
              </w:rPr>
              <w:t>29.5 PJ</w:t>
            </w:r>
          </w:p>
        </w:tc>
        <w:tc>
          <w:tcPr>
            <w:tcW w:type="dxa" w:w="2160"/>
          </w:tcPr>
          <w:p>
            <w:r>
              <w:rPr>
                <w:sz w:val="20"/>
              </w:rPr>
              <w:t>2.3 MtCO2e (scope 1, bunkers)</w:t>
            </w:r>
          </w:p>
        </w:tc>
      </w:tr>
      <w:tr>
        <w:tc>
          <w:tcPr>
            <w:tcW w:type="dxa" w:w="2160"/>
          </w:tcPr>
          <w:p>
            <w:r>
              <w:rPr>
                <w:sz w:val="20"/>
              </w:rPr>
              <w:t>Rail passenger</w:t>
            </w:r>
          </w:p>
        </w:tc>
        <w:tc>
          <w:tcPr>
            <w:tcW w:type="dxa" w:w="2160"/>
          </w:tcPr>
          <w:p>
            <w:r>
              <w:rPr>
                <w:sz w:val="20"/>
              </w:rPr>
              <w:t>22,000 million pkm</w:t>
            </w:r>
          </w:p>
        </w:tc>
        <w:tc>
          <w:tcPr>
            <w:tcW w:type="dxa" w:w="2160"/>
          </w:tcPr>
          <w:p>
            <w:r>
              <w:rPr>
                <w:sz w:val="20"/>
              </w:rPr>
              <w:t>16.0 PJ</w:t>
            </w:r>
          </w:p>
        </w:tc>
        <w:tc>
          <w:tcPr>
            <w:tcW w:type="dxa" w:w="2160"/>
          </w:tcPr>
          <w:p>
            <w:r>
              <w:rPr>
                <w:sz w:val="20"/>
              </w:rPr>
              <w:t>0.22 MtCO2e (scope 1 diesel only)</w:t>
            </w:r>
          </w:p>
        </w:tc>
      </w:tr>
      <w:tr>
        <w:tc>
          <w:tcPr>
            <w:tcW w:type="dxa" w:w="2160"/>
          </w:tcPr>
          <w:p>
            <w:r>
              <w:rPr>
                <w:sz w:val="20"/>
              </w:rPr>
              <w:t>Rail freight</w:t>
            </w:r>
          </w:p>
        </w:tc>
        <w:tc>
          <w:tcPr>
            <w:tcW w:type="dxa" w:w="2160"/>
          </w:tcPr>
          <w:p>
            <w:r>
              <w:rPr>
                <w:sz w:val="20"/>
              </w:rPr>
              <w:t>700 billion tkm</w:t>
            </w:r>
          </w:p>
        </w:tc>
        <w:tc>
          <w:tcPr>
            <w:tcW w:type="dxa" w:w="2160"/>
          </w:tcPr>
          <w:p>
            <w:r>
              <w:rPr>
                <w:sz w:val="20"/>
              </w:rPr>
              <w:t>49.0 PJ</w:t>
            </w:r>
          </w:p>
        </w:tc>
        <w:tc>
          <w:tcPr>
            <w:tcW w:type="dxa" w:w="2160"/>
          </w:tcPr>
          <w:p>
            <w:r>
              <w:rPr>
                <w:sz w:val="20"/>
              </w:rPr>
              <w:t>3.43 MtCO2e (scope 1)</w:t>
            </w:r>
          </w:p>
        </w:tc>
      </w:tr>
    </w:tbl>
    <w:p>
      <w:pPr>
        <w:pStyle w:val="Heading1"/>
      </w:pPr>
      <w:r>
        <w:t>3. Calibration changes vs prior AES 2023-24 calibration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Family</w:t>
            </w:r>
          </w:p>
        </w:tc>
        <w:tc>
          <w:tcPr>
            <w:tcW w:type="dxa" w:w="2160"/>
          </w:tcPr>
          <w:p>
            <w:r>
              <w:rPr>
                <w:b/>
                <w:sz w:val="20"/>
              </w:rPr>
              <w:t>Old AES PJ</w:t>
            </w:r>
          </w:p>
        </w:tc>
        <w:tc>
          <w:tcPr>
            <w:tcW w:type="dxa" w:w="2160"/>
          </w:tcPr>
          <w:p>
            <w:r>
              <w:rPr>
                <w:b/>
                <w:sz w:val="20"/>
              </w:rPr>
              <w:t>New AES PJ</w:t>
            </w:r>
          </w:p>
        </w:tc>
        <w:tc>
          <w:tcPr>
            <w:tcW w:type="dxa" w:w="2160"/>
          </w:tcPr>
          <w:p>
            <w:r>
              <w:rPr>
                <w:b/>
                <w:sz w:val="20"/>
              </w:rPr>
              <w:t>Source</w:t>
            </w:r>
          </w:p>
        </w:tc>
      </w:tr>
      <w:tr>
        <w:tc>
          <w:tcPr>
            <w:tcW w:type="dxa" w:w="2160"/>
          </w:tcPr>
          <w:p>
            <w:r>
              <w:rPr>
                <w:sz w:val="20"/>
              </w:rPr>
              <w:t>Domestic aviation</w:t>
            </w:r>
          </w:p>
        </w:tc>
        <w:tc>
          <w:tcPr>
            <w:tcW w:type="dxa" w:w="2160"/>
          </w:tcPr>
          <w:p>
            <w:r>
              <w:rPr>
                <w:sz w:val="20"/>
              </w:rPr>
              <w:t>85.0 (AES 2023-24)</w:t>
            </w:r>
          </w:p>
        </w:tc>
        <w:tc>
          <w:tcPr>
            <w:tcW w:type="dxa" w:w="2160"/>
          </w:tcPr>
          <w:p>
            <w:r>
              <w:rPr>
                <w:sz w:val="20"/>
              </w:rPr>
              <w:t>135.3 (AES 2025 F1)</w:t>
            </w:r>
          </w:p>
        </w:tc>
        <w:tc>
          <w:tcPr>
            <w:tcW w:type="dxa" w:w="2160"/>
          </w:tcPr>
          <w:p>
            <w:r>
              <w:rPr>
                <w:sz w:val="20"/>
              </w:rPr>
              <w:t>Revision: domestic air transport now reported separately at 135.3 PJ</w:t>
            </w:r>
          </w:p>
        </w:tc>
      </w:tr>
      <w:tr>
        <w:tc>
          <w:tcPr>
            <w:tcW w:type="dxa" w:w="2160"/>
          </w:tcPr>
          <w:p>
            <w:r>
              <w:rPr>
                <w:sz w:val="20"/>
              </w:rPr>
              <w:t>International aviation</w:t>
            </w:r>
          </w:p>
        </w:tc>
        <w:tc>
          <w:tcPr>
            <w:tcW w:type="dxa" w:w="2160"/>
          </w:tcPr>
          <w:p>
            <w:r>
              <w:rPr>
                <w:sz w:val="20"/>
              </w:rPr>
              <w:t>165.0 (AES 2023-24)</w:t>
            </w:r>
          </w:p>
        </w:tc>
        <w:tc>
          <w:tcPr>
            <w:tcW w:type="dxa" w:w="2160"/>
          </w:tcPr>
          <w:p>
            <w:r>
              <w:rPr>
                <w:sz w:val="20"/>
              </w:rPr>
              <w:t>199.0 (AES 2025 F1)</w:t>
            </w:r>
          </w:p>
        </w:tc>
        <w:tc>
          <w:tcPr>
            <w:tcW w:type="dxa" w:w="2160"/>
          </w:tcPr>
          <w:p>
            <w:r>
              <w:rPr>
                <w:sz w:val="20"/>
              </w:rPr>
              <w:t>Increase reflects post-COVID international travel rebound to 2023-24</w:t>
            </w:r>
          </w:p>
        </w:tc>
      </w:tr>
      <w:tr>
        <w:tc>
          <w:tcPr>
            <w:tcW w:type="dxa" w:w="2160"/>
          </w:tcPr>
          <w:p>
            <w:r>
              <w:rPr>
                <w:sz w:val="20"/>
              </w:rPr>
              <w:t>Domestic shipping</w:t>
            </w:r>
          </w:p>
        </w:tc>
        <w:tc>
          <w:tcPr>
            <w:tcW w:type="dxa" w:w="2160"/>
          </w:tcPr>
          <w:p>
            <w:r>
              <w:rPr>
                <w:sz w:val="20"/>
              </w:rPr>
              <w:t>30.0 (AES 2023-24)</w:t>
            </w:r>
          </w:p>
        </w:tc>
        <w:tc>
          <w:tcPr>
            <w:tcW w:type="dxa" w:w="2160"/>
          </w:tcPr>
          <w:p>
            <w:r>
              <w:rPr>
                <w:sz w:val="20"/>
              </w:rPr>
              <w:t>44.5 (AES 2025 F1)</w:t>
            </w:r>
          </w:p>
        </w:tc>
        <w:tc>
          <w:tcPr>
            <w:tcW w:type="dxa" w:w="2160"/>
          </w:tcPr>
          <w:p>
            <w:r>
              <w:rPr>
                <w:sz w:val="20"/>
              </w:rPr>
              <w:t>Coastal bunkers re-stated higher in AES 2025</w:t>
            </w:r>
          </w:p>
        </w:tc>
      </w:tr>
      <w:tr>
        <w:tc>
          <w:tcPr>
            <w:tcW w:type="dxa" w:w="2160"/>
          </w:tcPr>
          <w:p>
            <w:r>
              <w:rPr>
                <w:sz w:val="20"/>
              </w:rPr>
              <w:t>International shipping</w:t>
            </w:r>
          </w:p>
        </w:tc>
        <w:tc>
          <w:tcPr>
            <w:tcW w:type="dxa" w:w="2160"/>
          </w:tcPr>
          <w:p>
            <w:r>
              <w:rPr>
                <w:sz w:val="20"/>
              </w:rPr>
              <w:t>65.0 (AES 2023-24)</w:t>
            </w:r>
          </w:p>
        </w:tc>
        <w:tc>
          <w:tcPr>
            <w:tcW w:type="dxa" w:w="2160"/>
          </w:tcPr>
          <w:p>
            <w:r>
              <w:rPr>
                <w:sz w:val="20"/>
              </w:rPr>
              <w:t>29.5 (AES 2025 F1)</w:t>
            </w:r>
          </w:p>
        </w:tc>
        <w:tc>
          <w:tcPr>
            <w:tcW w:type="dxa" w:w="2160"/>
          </w:tcPr>
          <w:p>
            <w:r>
              <w:rPr>
                <w:sz w:val="20"/>
              </w:rPr>
              <w:t>International bunkers re-stated lower (boundary correction)</w:t>
            </w:r>
          </w:p>
        </w:tc>
      </w:tr>
      <w:tr>
        <w:tc>
          <w:tcPr>
            <w:tcW w:type="dxa" w:w="2160"/>
          </w:tcPr>
          <w:p>
            <w:r>
              <w:rPr>
                <w:sz w:val="20"/>
              </w:rPr>
              <w:t>Rail passenger</w:t>
            </w:r>
          </w:p>
        </w:tc>
        <w:tc>
          <w:tcPr>
            <w:tcW w:type="dxa" w:w="2160"/>
          </w:tcPr>
          <w:p>
            <w:r>
              <w:rPr>
                <w:sz w:val="20"/>
              </w:rPr>
              <w:t>8.0 (AES 2023-24)</w:t>
            </w:r>
          </w:p>
        </w:tc>
        <w:tc>
          <w:tcPr>
            <w:tcW w:type="dxa" w:w="2160"/>
          </w:tcPr>
          <w:p>
            <w:r>
              <w:rPr>
                <w:sz w:val="20"/>
              </w:rPr>
              <w:t>16.0 (AES 2025 F1)</w:t>
            </w:r>
          </w:p>
        </w:tc>
        <w:tc>
          <w:tcPr>
            <w:tcW w:type="dxa" w:w="2160"/>
          </w:tcPr>
          <w:p>
            <w:r>
              <w:rPr>
                <w:sz w:val="20"/>
              </w:rPr>
              <w:t>Reflects 12.9 PJ rail electricity + 3.1 PJ regional diesel</w:t>
            </w:r>
          </w:p>
        </w:tc>
      </w:tr>
      <w:tr>
        <w:tc>
          <w:tcPr>
            <w:tcW w:type="dxa" w:w="2160"/>
          </w:tcPr>
          <w:p>
            <w:r>
              <w:rPr>
                <w:sz w:val="20"/>
              </w:rPr>
              <w:t>Rail freight</w:t>
            </w:r>
          </w:p>
        </w:tc>
        <w:tc>
          <w:tcPr>
            <w:tcW w:type="dxa" w:w="2160"/>
          </w:tcPr>
          <w:p>
            <w:r>
              <w:rPr>
                <w:sz w:val="20"/>
              </w:rPr>
              <w:t>25.0 (AES 2023-24)</w:t>
            </w:r>
          </w:p>
        </w:tc>
        <w:tc>
          <w:tcPr>
            <w:tcW w:type="dxa" w:w="2160"/>
          </w:tcPr>
          <w:p>
            <w:r>
              <w:rPr>
                <w:sz w:val="20"/>
              </w:rPr>
              <w:t>49.0 (AES 2025 F1)</w:t>
            </w:r>
          </w:p>
        </w:tc>
        <w:tc>
          <w:tcPr>
            <w:tcW w:type="dxa" w:w="2160"/>
          </w:tcPr>
          <w:p>
            <w:r>
              <w:rPr>
                <w:sz w:val="20"/>
              </w:rPr>
              <w:t>Reflects 49 PJ rail diesel allocated to freight</w:t>
            </w:r>
          </w:p>
        </w:tc>
      </w:tr>
    </w:tbl>
    <w:p>
      <w:pPr>
        <w:pStyle w:val="Heading2"/>
      </w:pPr>
      <w:r>
        <w:t>4. Key takeaways</w:t>
      </w:r>
    </w:p>
    <w:p>
      <w:pPr>
        <w:pStyle w:val="ListBullet"/>
      </w:pPr>
      <w:r>
        <w:rPr>
          <w:sz w:val="22"/>
        </w:rPr>
        <w:t>Domestic aviation almost doubled (85 → 135.3 PJ); reflects the full reporting of domestic air transport in AES 2025 Table F1.</w:t>
      </w:r>
    </w:p>
    <w:p>
      <w:pPr>
        <w:pStyle w:val="ListBullet"/>
      </w:pPr>
      <w:r>
        <w:rPr>
          <w:sz w:val="22"/>
        </w:rPr>
        <w:t>International aviation bunkers rose 165 → 199 PJ; consistent with post-COVID long-haul service recovery to/from Australia.</w:t>
      </w:r>
    </w:p>
    <w:p>
      <w:pPr>
        <w:pStyle w:val="ListBullet"/>
      </w:pPr>
      <w:r>
        <w:rPr>
          <w:sz w:val="22"/>
        </w:rPr>
        <w:t>Coastal shipping rose 30 → 44.5 PJ; international bunkers fell 65 → 29.5 PJ. The international value drop is a boundary re-statement rather than a real decline.</w:t>
      </w:r>
    </w:p>
    <w:p>
      <w:pPr>
        <w:pStyle w:val="ListBullet"/>
      </w:pPr>
      <w:r>
        <w:rPr>
          <w:sz w:val="22"/>
        </w:rPr>
        <w:t>Rail total (sector 47) is now 64.9 PJ (52 PJ diesel + 12.9 PJ electricity), almost double the prior 33 PJ aggregate. The split applied here allocates all rail electricity (12.9 PJ) plus 3.1 PJ regional diesel to passenger services (16 PJ), and the remaining 49 PJ diesel to freight.</w:t>
      </w:r>
    </w:p>
    <w:p>
      <w:pPr>
        <w:pStyle w:val="Heading1"/>
      </w:pPr>
      <w:r>
        <w:t>5. Per-family calibration detail</w:t>
      </w:r>
    </w:p>
    <w:p>
      <w:pPr>
        <w:pStyle w:val="Heading2"/>
      </w:pPr>
      <w:r>
        <w:t>Domestic aviation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Family ID</w:t>
            </w:r>
          </w:p>
        </w:tc>
        <w:tc>
          <w:tcPr>
            <w:tcW w:type="dxa" w:w="4320"/>
          </w:tcPr>
          <w:p>
            <w:r>
              <w:rPr>
                <w:sz w:val="20"/>
              </w:rPr>
              <w:t>domestic_aviation</w:t>
            </w:r>
          </w:p>
        </w:tc>
      </w:tr>
      <w:tr>
        <w:tc>
          <w:tcPr>
            <w:tcW w:type="dxa" w:w="4320"/>
          </w:tcPr>
          <w:p>
            <w:r>
              <w:rPr>
                <w:b/>
                <w:sz w:val="20"/>
              </w:rPr>
              <w:t>Service demand anchor (2025)</w:t>
            </w:r>
          </w:p>
        </w:tc>
        <w:tc>
          <w:tcPr>
            <w:tcW w:type="dxa" w:w="4320"/>
          </w:tcPr>
          <w:p>
            <w:r>
              <w:rPr>
                <w:sz w:val="20"/>
              </w:rPr>
              <w:t>75,500 million pkm</w:t>
            </w:r>
          </w:p>
        </w:tc>
      </w:tr>
      <w:tr>
        <w:tc>
          <w:tcPr>
            <w:tcW w:type="dxa" w:w="4320"/>
          </w:tcPr>
          <w:p>
            <w:r>
              <w:rPr>
                <w:b/>
                <w:sz w:val="20"/>
              </w:rPr>
              <w:t>Demand growth curve</w:t>
            </w:r>
          </w:p>
        </w:tc>
        <w:tc>
          <w:tcPr>
            <w:tcW w:type="dxa" w:w="4320"/>
          </w:tcPr>
          <w:p>
            <w:r>
              <w:rPr>
                <w:sz w:val="20"/>
              </w:rPr>
              <w:t>growing_then_flat__domestic_aviation</w:t>
            </w:r>
          </w:p>
        </w:tc>
      </w:tr>
      <w:tr>
        <w:tc>
          <w:tcPr>
            <w:tcW w:type="dxa" w:w="4320"/>
          </w:tcPr>
          <w:p>
            <w:r>
              <w:rPr>
                <w:b/>
                <w:sz w:val="20"/>
              </w:rPr>
              <w:t>Energy intensity (incumbent)</w:t>
            </w:r>
          </w:p>
        </w:tc>
        <w:tc>
          <w:tcPr>
            <w:tcW w:type="dxa" w:w="4320"/>
          </w:tcPr>
          <w:p>
            <w:r>
              <w:rPr>
                <w:sz w:val="20"/>
              </w:rPr>
              <w:t>1,792 GJ/million_pkm (2025) → 1,592 (2050)</w:t>
            </w:r>
          </w:p>
        </w:tc>
      </w:tr>
      <w:tr>
        <w:tc>
          <w:tcPr>
            <w:tcW w:type="dxa" w:w="4320"/>
          </w:tcPr>
          <w:p>
            <w:r>
              <w:rPr>
                <w:b/>
                <w:sz w:val="20"/>
              </w:rPr>
              <w:t>Fuel mix at 2025</w:t>
            </w:r>
          </w:p>
        </w:tc>
        <w:tc>
          <w:tcPr>
            <w:tcW w:type="dxa" w:w="4320"/>
          </w:tcPr>
          <w:p>
            <w:r>
              <w:rPr>
                <w:sz w:val="20"/>
              </w:rPr>
              <w:t>Aviation turbine fuel 100%</w:t>
            </w:r>
          </w:p>
        </w:tc>
      </w:tr>
      <w:tr>
        <w:tc>
          <w:tcPr>
            <w:tcW w:type="dxa" w:w="4320"/>
          </w:tcPr>
          <w:p>
            <w:r>
              <w:rPr>
                <w:b/>
                <w:sz w:val="20"/>
              </w:rPr>
              <w:t>Total energy at anchor (AES 2025)</w:t>
            </w:r>
          </w:p>
        </w:tc>
        <w:tc>
          <w:tcPr>
            <w:tcW w:type="dxa" w:w="4320"/>
          </w:tcPr>
          <w:p>
            <w:r>
              <w:rPr>
                <w:sz w:val="20"/>
              </w:rPr>
              <w:t>135.3 PJ</w:t>
            </w:r>
          </w:p>
        </w:tc>
      </w:tr>
      <w:tr>
        <w:tc>
          <w:tcPr>
            <w:tcW w:type="dxa" w:w="4320"/>
          </w:tcPr>
          <w:p>
            <w:r>
              <w:rPr>
                <w:b/>
                <w:sz w:val="20"/>
              </w:rPr>
              <w:t>AES source</w:t>
            </w:r>
          </w:p>
        </w:tc>
        <w:tc>
          <w:tcPr>
            <w:tcW w:type="dxa" w:w="4320"/>
          </w:tcPr>
          <w:p>
            <w:r>
              <w:rPr>
                <w:sz w:val="20"/>
              </w:rPr>
              <w:t>AES 2025 Table F1, sector 49 'Of which domestic air transport' (2023-24)</w:t>
            </w:r>
          </w:p>
        </w:tc>
      </w:tr>
      <w:tr>
        <w:tc>
          <w:tcPr>
            <w:tcW w:type="dxa" w:w="4320"/>
          </w:tcPr>
          <w:p>
            <w:r>
              <w:rPr>
                <w:b/>
                <w:sz w:val="20"/>
              </w:rPr>
              <w:t>Total scope 1 CO2e at anchor</w:t>
            </w:r>
          </w:p>
        </w:tc>
        <w:tc>
          <w:tcPr>
            <w:tcW w:type="dxa" w:w="4320"/>
          </w:tcPr>
          <w:p>
            <w:r>
              <w:rPr>
                <w:sz w:val="20"/>
              </w:rPr>
              <w:t>9.67 MtCO2e (scope 1)</w:t>
            </w:r>
          </w:p>
        </w:tc>
      </w:tr>
      <w:tr>
        <w:tc>
          <w:tcPr>
            <w:tcW w:type="dxa" w:w="4320"/>
          </w:tcPr>
          <w:p>
            <w:r>
              <w:rPr>
                <w:b/>
                <w:sz w:val="20"/>
              </w:rPr>
              <w:t>NGGI cross-check</w:t>
            </w:r>
          </w:p>
        </w:tc>
        <w:tc>
          <w:tcPr>
            <w:tcW w:type="dxa" w:w="4320"/>
          </w:tcPr>
          <w:p>
            <w:r>
              <w:rPr>
                <w:sz w:val="20"/>
              </w:rPr>
              <w:t>NGGI 2025 Cat 1A3a domestic aviation</w:t>
            </w:r>
          </w:p>
        </w:tc>
      </w:tr>
    </w:tbl>
    <w:p>
      <w:pPr>
        <w:pStyle w:val="Heading2"/>
      </w:pPr>
      <w:r>
        <w:t>International aviation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Family ID</w:t>
            </w:r>
          </w:p>
        </w:tc>
        <w:tc>
          <w:tcPr>
            <w:tcW w:type="dxa" w:w="4320"/>
          </w:tcPr>
          <w:p>
            <w:r>
              <w:rPr>
                <w:sz w:val="20"/>
              </w:rPr>
              <w:t>international_aviation</w:t>
            </w:r>
          </w:p>
        </w:tc>
      </w:tr>
      <w:tr>
        <w:tc>
          <w:tcPr>
            <w:tcW w:type="dxa" w:w="4320"/>
          </w:tcPr>
          <w:p>
            <w:r>
              <w:rPr>
                <w:b/>
                <w:sz w:val="20"/>
              </w:rPr>
              <w:t>Service demand anchor (2025)</w:t>
            </w:r>
          </w:p>
        </w:tc>
        <w:tc>
          <w:tcPr>
            <w:tcW w:type="dxa" w:w="4320"/>
          </w:tcPr>
          <w:p>
            <w:r>
              <w:rPr>
                <w:sz w:val="20"/>
              </w:rPr>
              <w:t>70,000 million pkm</w:t>
            </w:r>
          </w:p>
        </w:tc>
      </w:tr>
      <w:tr>
        <w:tc>
          <w:tcPr>
            <w:tcW w:type="dxa" w:w="4320"/>
          </w:tcPr>
          <w:p>
            <w:r>
              <w:rPr>
                <w:b/>
                <w:sz w:val="20"/>
              </w:rPr>
              <w:t>Demand growth curve</w:t>
            </w:r>
          </w:p>
        </w:tc>
        <w:tc>
          <w:tcPr>
            <w:tcW w:type="dxa" w:w="4320"/>
          </w:tcPr>
          <w:p>
            <w:r>
              <w:rPr>
                <w:sz w:val="20"/>
              </w:rPr>
              <w:t>growing__international_aviation</w:t>
            </w:r>
          </w:p>
        </w:tc>
      </w:tr>
      <w:tr>
        <w:tc>
          <w:tcPr>
            <w:tcW w:type="dxa" w:w="4320"/>
          </w:tcPr>
          <w:p>
            <w:r>
              <w:rPr>
                <w:b/>
                <w:sz w:val="20"/>
              </w:rPr>
              <w:t>Energy intensity (incumbent)</w:t>
            </w:r>
          </w:p>
        </w:tc>
        <w:tc>
          <w:tcPr>
            <w:tcW w:type="dxa" w:w="4320"/>
          </w:tcPr>
          <w:p>
            <w:r>
              <w:rPr>
                <w:sz w:val="20"/>
              </w:rPr>
              <w:t>2,843 GJ/million_pkm (2025) → 2,533 (2050)</w:t>
            </w:r>
          </w:p>
        </w:tc>
      </w:tr>
      <w:tr>
        <w:tc>
          <w:tcPr>
            <w:tcW w:type="dxa" w:w="4320"/>
          </w:tcPr>
          <w:p>
            <w:r>
              <w:rPr>
                <w:b/>
                <w:sz w:val="20"/>
              </w:rPr>
              <w:t>Fuel mix at 2025</w:t>
            </w:r>
          </w:p>
        </w:tc>
        <w:tc>
          <w:tcPr>
            <w:tcW w:type="dxa" w:w="4320"/>
          </w:tcPr>
          <w:p>
            <w:r>
              <w:rPr>
                <w:sz w:val="20"/>
              </w:rPr>
              <w:t>Aviation turbine fuel 100% (bunker)</w:t>
            </w:r>
          </w:p>
        </w:tc>
      </w:tr>
      <w:tr>
        <w:tc>
          <w:tcPr>
            <w:tcW w:type="dxa" w:w="4320"/>
          </w:tcPr>
          <w:p>
            <w:r>
              <w:rPr>
                <w:b/>
                <w:sz w:val="20"/>
              </w:rPr>
              <w:t>Total energy at anchor (AES 2025)</w:t>
            </w:r>
          </w:p>
        </w:tc>
        <w:tc>
          <w:tcPr>
            <w:tcW w:type="dxa" w:w="4320"/>
          </w:tcPr>
          <w:p>
            <w:r>
              <w:rPr>
                <w:sz w:val="20"/>
              </w:rPr>
              <w:t>199.0 PJ</w:t>
            </w:r>
          </w:p>
        </w:tc>
      </w:tr>
      <w:tr>
        <w:tc>
          <w:tcPr>
            <w:tcW w:type="dxa" w:w="4320"/>
          </w:tcPr>
          <w:p>
            <w:r>
              <w:rPr>
                <w:b/>
                <w:sz w:val="20"/>
              </w:rPr>
              <w:t>AES source</w:t>
            </w:r>
          </w:p>
        </w:tc>
        <w:tc>
          <w:tcPr>
            <w:tcW w:type="dxa" w:w="4320"/>
          </w:tcPr>
          <w:p>
            <w:r>
              <w:rPr>
                <w:sz w:val="20"/>
              </w:rPr>
              <w:t>AES 2025 Table F1, sector 49 'Of which international air transport' (2023-24)</w:t>
            </w:r>
          </w:p>
        </w:tc>
      </w:tr>
      <w:tr>
        <w:tc>
          <w:tcPr>
            <w:tcW w:type="dxa" w:w="4320"/>
          </w:tcPr>
          <w:p>
            <w:r>
              <w:rPr>
                <w:b/>
                <w:sz w:val="20"/>
              </w:rPr>
              <w:t>Total scope 1 CO2e at anchor</w:t>
            </w:r>
          </w:p>
        </w:tc>
        <w:tc>
          <w:tcPr>
            <w:tcW w:type="dxa" w:w="4320"/>
          </w:tcPr>
          <w:p>
            <w:r>
              <w:rPr>
                <w:sz w:val="20"/>
              </w:rPr>
              <w:t>14.2 MtCO2e (scope 1, bunkers)</w:t>
            </w:r>
          </w:p>
        </w:tc>
      </w:tr>
      <w:tr>
        <w:tc>
          <w:tcPr>
            <w:tcW w:type="dxa" w:w="4320"/>
          </w:tcPr>
          <w:p>
            <w:r>
              <w:rPr>
                <w:b/>
                <w:sz w:val="20"/>
              </w:rPr>
              <w:t>NGGI cross-check</w:t>
            </w:r>
          </w:p>
        </w:tc>
        <w:tc>
          <w:tcPr>
            <w:tcW w:type="dxa" w:w="4320"/>
          </w:tcPr>
          <w:p>
            <w:r>
              <w:rPr>
                <w:sz w:val="20"/>
              </w:rPr>
              <w:t>NGGI 2025 international aviation bunkers</w:t>
            </w:r>
          </w:p>
        </w:tc>
      </w:tr>
    </w:tbl>
    <w:p>
      <w:pPr>
        <w:pStyle w:val="Heading2"/>
      </w:pPr>
      <w:r>
        <w:t>Domestic shipping (coastal)</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Family ID</w:t>
            </w:r>
          </w:p>
        </w:tc>
        <w:tc>
          <w:tcPr>
            <w:tcW w:type="dxa" w:w="4320"/>
          </w:tcPr>
          <w:p>
            <w:r>
              <w:rPr>
                <w:sz w:val="20"/>
              </w:rPr>
              <w:t>domestic_shipping</w:t>
            </w:r>
          </w:p>
        </w:tc>
      </w:tr>
      <w:tr>
        <w:tc>
          <w:tcPr>
            <w:tcW w:type="dxa" w:w="4320"/>
          </w:tcPr>
          <w:p>
            <w:r>
              <w:rPr>
                <w:b/>
                <w:sz w:val="20"/>
              </w:rPr>
              <w:t>Service demand anchor (2025)</w:t>
            </w:r>
          </w:p>
        </w:tc>
        <w:tc>
          <w:tcPr>
            <w:tcW w:type="dxa" w:w="4320"/>
          </w:tcPr>
          <w:p>
            <w:r>
              <w:rPr>
                <w:sz w:val="20"/>
              </w:rPr>
              <w:t>30,000 million tkm</w:t>
            </w:r>
          </w:p>
        </w:tc>
      </w:tr>
      <w:tr>
        <w:tc>
          <w:tcPr>
            <w:tcW w:type="dxa" w:w="4320"/>
          </w:tcPr>
          <w:p>
            <w:r>
              <w:rPr>
                <w:b/>
                <w:sz w:val="20"/>
              </w:rPr>
              <w:t>Demand growth curve</w:t>
            </w:r>
          </w:p>
        </w:tc>
        <w:tc>
          <w:tcPr>
            <w:tcW w:type="dxa" w:w="4320"/>
          </w:tcPr>
          <w:p>
            <w:r>
              <w:rPr>
                <w:sz w:val="20"/>
              </w:rPr>
              <w:t>stable__domestic_shipping</w:t>
            </w:r>
          </w:p>
        </w:tc>
      </w:tr>
      <w:tr>
        <w:tc>
          <w:tcPr>
            <w:tcW w:type="dxa" w:w="4320"/>
          </w:tcPr>
          <w:p>
            <w:r>
              <w:rPr>
                <w:b/>
                <w:sz w:val="20"/>
              </w:rPr>
              <w:t>Energy intensity (incumbent)</w:t>
            </w:r>
          </w:p>
        </w:tc>
        <w:tc>
          <w:tcPr>
            <w:tcW w:type="dxa" w:w="4320"/>
          </w:tcPr>
          <w:p>
            <w:r>
              <w:rPr>
                <w:sz w:val="20"/>
              </w:rPr>
              <w:t>1,483 GJ/million_tkm (2025) → 1,320 (2050)</w:t>
            </w:r>
          </w:p>
        </w:tc>
      </w:tr>
      <w:tr>
        <w:tc>
          <w:tcPr>
            <w:tcW w:type="dxa" w:w="4320"/>
          </w:tcPr>
          <w:p>
            <w:r>
              <w:rPr>
                <w:b/>
                <w:sz w:val="20"/>
              </w:rPr>
              <w:t>Fuel mix at 2025</w:t>
            </w:r>
          </w:p>
        </w:tc>
        <w:tc>
          <w:tcPr>
            <w:tcW w:type="dxa" w:w="4320"/>
          </w:tcPr>
          <w:p>
            <w:r>
              <w:rPr>
                <w:sz w:val="20"/>
              </w:rPr>
              <w:t>Marine diesel oil 65% / Heavy fuel oil 35%</w:t>
            </w:r>
          </w:p>
        </w:tc>
      </w:tr>
      <w:tr>
        <w:tc>
          <w:tcPr>
            <w:tcW w:type="dxa" w:w="4320"/>
          </w:tcPr>
          <w:p>
            <w:r>
              <w:rPr>
                <w:b/>
                <w:sz w:val="20"/>
              </w:rPr>
              <w:t>Total energy at anchor (AES 2025)</w:t>
            </w:r>
          </w:p>
        </w:tc>
        <w:tc>
          <w:tcPr>
            <w:tcW w:type="dxa" w:w="4320"/>
          </w:tcPr>
          <w:p>
            <w:r>
              <w:rPr>
                <w:sz w:val="20"/>
              </w:rPr>
              <w:t>44.5 PJ</w:t>
            </w:r>
          </w:p>
        </w:tc>
      </w:tr>
      <w:tr>
        <w:tc>
          <w:tcPr>
            <w:tcW w:type="dxa" w:w="4320"/>
          </w:tcPr>
          <w:p>
            <w:r>
              <w:rPr>
                <w:b/>
                <w:sz w:val="20"/>
              </w:rPr>
              <w:t>AES source</w:t>
            </w:r>
          </w:p>
        </w:tc>
        <w:tc>
          <w:tcPr>
            <w:tcW w:type="dxa" w:w="4320"/>
          </w:tcPr>
          <w:p>
            <w:r>
              <w:rPr>
                <w:sz w:val="20"/>
              </w:rPr>
              <w:t>AES 2025 Table F1, sector 48 'Of which coastal bunkers' (2023-24)</w:t>
            </w:r>
          </w:p>
        </w:tc>
      </w:tr>
      <w:tr>
        <w:tc>
          <w:tcPr>
            <w:tcW w:type="dxa" w:w="4320"/>
          </w:tcPr>
          <w:p>
            <w:r>
              <w:rPr>
                <w:b/>
                <w:sz w:val="20"/>
              </w:rPr>
              <w:t>Total scope 1 CO2e at anchor</w:t>
            </w:r>
          </w:p>
        </w:tc>
        <w:tc>
          <w:tcPr>
            <w:tcW w:type="dxa" w:w="4320"/>
          </w:tcPr>
          <w:p>
            <w:r>
              <w:rPr>
                <w:sz w:val="20"/>
              </w:rPr>
              <w:t>3.38 MtCO2e (scope 1)</w:t>
            </w:r>
          </w:p>
        </w:tc>
      </w:tr>
      <w:tr>
        <w:tc>
          <w:tcPr>
            <w:tcW w:type="dxa" w:w="4320"/>
          </w:tcPr>
          <w:p>
            <w:r>
              <w:rPr>
                <w:b/>
                <w:sz w:val="20"/>
              </w:rPr>
              <w:t>NGGI cross-check</w:t>
            </w:r>
          </w:p>
        </w:tc>
        <w:tc>
          <w:tcPr>
            <w:tcW w:type="dxa" w:w="4320"/>
          </w:tcPr>
          <w:p>
            <w:r>
              <w:rPr>
                <w:sz w:val="20"/>
              </w:rPr>
              <w:t>NGGI 2025 domestic navigation</w:t>
            </w:r>
          </w:p>
        </w:tc>
      </w:tr>
    </w:tbl>
    <w:p>
      <w:pPr>
        <w:pStyle w:val="Heading2"/>
      </w:pPr>
      <w:r>
        <w:t>International shipping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Family ID</w:t>
            </w:r>
          </w:p>
        </w:tc>
        <w:tc>
          <w:tcPr>
            <w:tcW w:type="dxa" w:w="4320"/>
          </w:tcPr>
          <w:p>
            <w:r>
              <w:rPr>
                <w:sz w:val="20"/>
              </w:rPr>
              <w:t>international_shipping</w:t>
            </w:r>
          </w:p>
        </w:tc>
      </w:tr>
      <w:tr>
        <w:tc>
          <w:tcPr>
            <w:tcW w:type="dxa" w:w="4320"/>
          </w:tcPr>
          <w:p>
            <w:r>
              <w:rPr>
                <w:b/>
                <w:sz w:val="20"/>
              </w:rPr>
              <w:t>Service demand anchor (2025)</w:t>
            </w:r>
          </w:p>
        </w:tc>
        <w:tc>
          <w:tcPr>
            <w:tcW w:type="dxa" w:w="4320"/>
          </w:tcPr>
          <w:p>
            <w:r>
              <w:rPr>
                <w:sz w:val="20"/>
              </w:rPr>
              <w:t>200,000 million tkm (estimated)</w:t>
            </w:r>
          </w:p>
        </w:tc>
      </w:tr>
      <w:tr>
        <w:tc>
          <w:tcPr>
            <w:tcW w:type="dxa" w:w="4320"/>
          </w:tcPr>
          <w:p>
            <w:r>
              <w:rPr>
                <w:b/>
                <w:sz w:val="20"/>
              </w:rPr>
              <w:t>Demand growth curve</w:t>
            </w:r>
          </w:p>
        </w:tc>
        <w:tc>
          <w:tcPr>
            <w:tcW w:type="dxa" w:w="4320"/>
          </w:tcPr>
          <w:p>
            <w:r>
              <w:rPr>
                <w:sz w:val="20"/>
              </w:rPr>
              <w:t>growing__international_shipping</w:t>
            </w:r>
          </w:p>
        </w:tc>
      </w:tr>
      <w:tr>
        <w:tc>
          <w:tcPr>
            <w:tcW w:type="dxa" w:w="4320"/>
          </w:tcPr>
          <w:p>
            <w:r>
              <w:rPr>
                <w:b/>
                <w:sz w:val="20"/>
              </w:rPr>
              <w:t>Energy intensity (incumbent)</w:t>
            </w:r>
          </w:p>
        </w:tc>
        <w:tc>
          <w:tcPr>
            <w:tcW w:type="dxa" w:w="4320"/>
          </w:tcPr>
          <w:p>
            <w:r>
              <w:rPr>
                <w:sz w:val="20"/>
              </w:rPr>
              <w:t>147.5 GJ/million_tkm (2025) → 125 (2050)</w:t>
            </w:r>
          </w:p>
        </w:tc>
      </w:tr>
      <w:tr>
        <w:tc>
          <w:tcPr>
            <w:tcW w:type="dxa" w:w="4320"/>
          </w:tcPr>
          <w:p>
            <w:r>
              <w:rPr>
                <w:b/>
                <w:sz w:val="20"/>
              </w:rPr>
              <w:t>Fuel mix at 2025</w:t>
            </w:r>
          </w:p>
        </w:tc>
        <w:tc>
          <w:tcPr>
            <w:tcW w:type="dxa" w:w="4320"/>
          </w:tcPr>
          <w:p>
            <w:r>
              <w:rPr>
                <w:sz w:val="20"/>
              </w:rPr>
              <w:t>Heavy fuel oil 60% / Marine diesel oil 40% (bunker)</w:t>
            </w:r>
          </w:p>
        </w:tc>
      </w:tr>
      <w:tr>
        <w:tc>
          <w:tcPr>
            <w:tcW w:type="dxa" w:w="4320"/>
          </w:tcPr>
          <w:p>
            <w:r>
              <w:rPr>
                <w:b/>
                <w:sz w:val="20"/>
              </w:rPr>
              <w:t>Total energy at anchor (AES 2025)</w:t>
            </w:r>
          </w:p>
        </w:tc>
        <w:tc>
          <w:tcPr>
            <w:tcW w:type="dxa" w:w="4320"/>
          </w:tcPr>
          <w:p>
            <w:r>
              <w:rPr>
                <w:sz w:val="20"/>
              </w:rPr>
              <w:t>29.5 PJ</w:t>
            </w:r>
          </w:p>
        </w:tc>
      </w:tr>
      <w:tr>
        <w:tc>
          <w:tcPr>
            <w:tcW w:type="dxa" w:w="4320"/>
          </w:tcPr>
          <w:p>
            <w:r>
              <w:rPr>
                <w:b/>
                <w:sz w:val="20"/>
              </w:rPr>
              <w:t>AES source</w:t>
            </w:r>
          </w:p>
        </w:tc>
        <w:tc>
          <w:tcPr>
            <w:tcW w:type="dxa" w:w="4320"/>
          </w:tcPr>
          <w:p>
            <w:r>
              <w:rPr>
                <w:sz w:val="20"/>
              </w:rPr>
              <w:t>AES 2025 Table F1, sector 48 'Of which international bunkers' (2023-24)</w:t>
            </w:r>
          </w:p>
        </w:tc>
      </w:tr>
      <w:tr>
        <w:tc>
          <w:tcPr>
            <w:tcW w:type="dxa" w:w="4320"/>
          </w:tcPr>
          <w:p>
            <w:r>
              <w:rPr>
                <w:b/>
                <w:sz w:val="20"/>
              </w:rPr>
              <w:t>Total scope 1 CO2e at anchor</w:t>
            </w:r>
          </w:p>
        </w:tc>
        <w:tc>
          <w:tcPr>
            <w:tcW w:type="dxa" w:w="4320"/>
          </w:tcPr>
          <w:p>
            <w:r>
              <w:rPr>
                <w:sz w:val="20"/>
              </w:rPr>
              <w:t>2.3 MtCO2e (scope 1, bunkers)</w:t>
            </w:r>
          </w:p>
        </w:tc>
      </w:tr>
      <w:tr>
        <w:tc>
          <w:tcPr>
            <w:tcW w:type="dxa" w:w="4320"/>
          </w:tcPr>
          <w:p>
            <w:r>
              <w:rPr>
                <w:b/>
                <w:sz w:val="20"/>
              </w:rPr>
              <w:t>NGGI cross-check</w:t>
            </w:r>
          </w:p>
        </w:tc>
        <w:tc>
          <w:tcPr>
            <w:tcW w:type="dxa" w:w="4320"/>
          </w:tcPr>
          <w:p>
            <w:r>
              <w:rPr>
                <w:sz w:val="20"/>
              </w:rPr>
              <w:t>NGGI 2025 international maritime bunkers</w:t>
            </w:r>
          </w:p>
        </w:tc>
      </w:tr>
    </w:tbl>
    <w:p>
      <w:pPr>
        <w:pStyle w:val="Heading2"/>
      </w:pPr>
      <w:r>
        <w:t>Rail passenger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Family ID</w:t>
            </w:r>
          </w:p>
        </w:tc>
        <w:tc>
          <w:tcPr>
            <w:tcW w:type="dxa" w:w="4320"/>
          </w:tcPr>
          <w:p>
            <w:r>
              <w:rPr>
                <w:sz w:val="20"/>
              </w:rPr>
              <w:t>rail_passenger</w:t>
            </w:r>
          </w:p>
        </w:tc>
      </w:tr>
      <w:tr>
        <w:tc>
          <w:tcPr>
            <w:tcW w:type="dxa" w:w="4320"/>
          </w:tcPr>
          <w:p>
            <w:r>
              <w:rPr>
                <w:b/>
                <w:sz w:val="20"/>
              </w:rPr>
              <w:t>Service demand anchor (2025)</w:t>
            </w:r>
          </w:p>
        </w:tc>
        <w:tc>
          <w:tcPr>
            <w:tcW w:type="dxa" w:w="4320"/>
          </w:tcPr>
          <w:p>
            <w:r>
              <w:rPr>
                <w:sz w:val="20"/>
              </w:rPr>
              <w:t>22,000 million pkm</w:t>
            </w:r>
          </w:p>
        </w:tc>
      </w:tr>
      <w:tr>
        <w:tc>
          <w:tcPr>
            <w:tcW w:type="dxa" w:w="4320"/>
          </w:tcPr>
          <w:p>
            <w:r>
              <w:rPr>
                <w:b/>
                <w:sz w:val="20"/>
              </w:rPr>
              <w:t>Demand growth curve</w:t>
            </w:r>
          </w:p>
        </w:tc>
        <w:tc>
          <w:tcPr>
            <w:tcW w:type="dxa" w:w="4320"/>
          </w:tcPr>
          <w:p>
            <w:r>
              <w:rPr>
                <w:sz w:val="20"/>
              </w:rPr>
              <w:t>growing__rail_passenger</w:t>
            </w:r>
          </w:p>
        </w:tc>
      </w:tr>
      <w:tr>
        <w:tc>
          <w:tcPr>
            <w:tcW w:type="dxa" w:w="4320"/>
          </w:tcPr>
          <w:p>
            <w:r>
              <w:rPr>
                <w:b/>
                <w:sz w:val="20"/>
              </w:rPr>
              <w:t>Energy intensity (incumbent)</w:t>
            </w:r>
          </w:p>
        </w:tc>
        <w:tc>
          <w:tcPr>
            <w:tcW w:type="dxa" w:w="4320"/>
          </w:tcPr>
          <w:p>
            <w:r>
              <w:rPr>
                <w:sz w:val="20"/>
              </w:rPr>
              <w:t>727 GJ/million_pkm (2025) → 722 (2050)</w:t>
            </w:r>
          </w:p>
        </w:tc>
      </w:tr>
      <w:tr>
        <w:tc>
          <w:tcPr>
            <w:tcW w:type="dxa" w:w="4320"/>
          </w:tcPr>
          <w:p>
            <w:r>
              <w:rPr>
                <w:b/>
                <w:sz w:val="20"/>
              </w:rPr>
              <w:t>Fuel mix at 2025</w:t>
            </w:r>
          </w:p>
        </w:tc>
        <w:tc>
          <w:tcPr>
            <w:tcW w:type="dxa" w:w="4320"/>
          </w:tcPr>
          <w:p>
            <w:r>
              <w:rPr>
                <w:sz w:val="20"/>
              </w:rPr>
              <w:t>Electricity 586 GJ (urban metro) / Diesel 141 GJ (regional)</w:t>
            </w:r>
          </w:p>
        </w:tc>
      </w:tr>
      <w:tr>
        <w:tc>
          <w:tcPr>
            <w:tcW w:type="dxa" w:w="4320"/>
          </w:tcPr>
          <w:p>
            <w:r>
              <w:rPr>
                <w:b/>
                <w:sz w:val="20"/>
              </w:rPr>
              <w:t>Total energy at anchor (AES 2025)</w:t>
            </w:r>
          </w:p>
        </w:tc>
        <w:tc>
          <w:tcPr>
            <w:tcW w:type="dxa" w:w="4320"/>
          </w:tcPr>
          <w:p>
            <w:r>
              <w:rPr>
                <w:sz w:val="20"/>
              </w:rPr>
              <w:t>16.0 PJ</w:t>
            </w:r>
          </w:p>
        </w:tc>
      </w:tr>
      <w:tr>
        <w:tc>
          <w:tcPr>
            <w:tcW w:type="dxa" w:w="4320"/>
          </w:tcPr>
          <w:p>
            <w:r>
              <w:rPr>
                <w:b/>
                <w:sz w:val="20"/>
              </w:rPr>
              <w:t>AES source</w:t>
            </w:r>
          </w:p>
        </w:tc>
        <w:tc>
          <w:tcPr>
            <w:tcW w:type="dxa" w:w="4320"/>
          </w:tcPr>
          <w:p>
            <w:r>
              <w:rPr>
                <w:sz w:val="20"/>
              </w:rPr>
              <w:t>AES 2025 Table F1, sector 47 Rail electricity 12.9 PJ + regional diesel 3.1 PJ allocated to passenger (2023-24)</w:t>
            </w:r>
          </w:p>
        </w:tc>
      </w:tr>
      <w:tr>
        <w:tc>
          <w:tcPr>
            <w:tcW w:type="dxa" w:w="4320"/>
          </w:tcPr>
          <w:p>
            <w:r>
              <w:rPr>
                <w:b/>
                <w:sz w:val="20"/>
              </w:rPr>
              <w:t>Total scope 1 CO2e at anchor</w:t>
            </w:r>
          </w:p>
        </w:tc>
        <w:tc>
          <w:tcPr>
            <w:tcW w:type="dxa" w:w="4320"/>
          </w:tcPr>
          <w:p>
            <w:r>
              <w:rPr>
                <w:sz w:val="20"/>
              </w:rPr>
              <w:t>0.22 MtCO2e (scope 1 diesel only)</w:t>
            </w:r>
          </w:p>
        </w:tc>
      </w:tr>
      <w:tr>
        <w:tc>
          <w:tcPr>
            <w:tcW w:type="dxa" w:w="4320"/>
          </w:tcPr>
          <w:p>
            <w:r>
              <w:rPr>
                <w:b/>
                <w:sz w:val="20"/>
              </w:rPr>
              <w:t>NGGI cross-check</w:t>
            </w:r>
          </w:p>
        </w:tc>
        <w:tc>
          <w:tcPr>
            <w:tcW w:type="dxa" w:w="4320"/>
          </w:tcPr>
          <w:p>
            <w:r>
              <w:rPr>
                <w:sz w:val="20"/>
              </w:rPr>
              <w:t>NGGI 2025 rail (passenger share)</w:t>
            </w:r>
          </w:p>
        </w:tc>
      </w:tr>
    </w:tbl>
    <w:p>
      <w:pPr>
        <w:pStyle w:val="Heading2"/>
      </w:pPr>
      <w:r>
        <w:t>Rail freight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Family ID</w:t>
            </w:r>
          </w:p>
        </w:tc>
        <w:tc>
          <w:tcPr>
            <w:tcW w:type="dxa" w:w="4320"/>
          </w:tcPr>
          <w:p>
            <w:r>
              <w:rPr>
                <w:sz w:val="20"/>
              </w:rPr>
              <w:t>rail_freight</w:t>
            </w:r>
          </w:p>
        </w:tc>
      </w:tr>
      <w:tr>
        <w:tc>
          <w:tcPr>
            <w:tcW w:type="dxa" w:w="4320"/>
          </w:tcPr>
          <w:p>
            <w:r>
              <w:rPr>
                <w:b/>
                <w:sz w:val="20"/>
              </w:rPr>
              <w:t>Service demand anchor (2025)</w:t>
            </w:r>
          </w:p>
        </w:tc>
        <w:tc>
          <w:tcPr>
            <w:tcW w:type="dxa" w:w="4320"/>
          </w:tcPr>
          <w:p>
            <w:r>
              <w:rPr>
                <w:sz w:val="20"/>
              </w:rPr>
              <w:t>700 billion tkm</w:t>
            </w:r>
          </w:p>
        </w:tc>
      </w:tr>
      <w:tr>
        <w:tc>
          <w:tcPr>
            <w:tcW w:type="dxa" w:w="4320"/>
          </w:tcPr>
          <w:p>
            <w:r>
              <w:rPr>
                <w:b/>
                <w:sz w:val="20"/>
              </w:rPr>
              <w:t>Demand growth curve</w:t>
            </w:r>
          </w:p>
        </w:tc>
        <w:tc>
          <w:tcPr>
            <w:tcW w:type="dxa" w:w="4320"/>
          </w:tcPr>
          <w:p>
            <w:r>
              <w:rPr>
                <w:sz w:val="20"/>
              </w:rPr>
              <w:t>stable_growing__rail_freight</w:t>
            </w:r>
          </w:p>
        </w:tc>
      </w:tr>
      <w:tr>
        <w:tc>
          <w:tcPr>
            <w:tcW w:type="dxa" w:w="4320"/>
          </w:tcPr>
          <w:p>
            <w:r>
              <w:rPr>
                <w:b/>
                <w:sz w:val="20"/>
              </w:rPr>
              <w:t>Energy intensity (incumbent)</w:t>
            </w:r>
          </w:p>
        </w:tc>
        <w:tc>
          <w:tcPr>
            <w:tcW w:type="dxa" w:w="4320"/>
          </w:tcPr>
          <w:p>
            <w:r>
              <w:rPr>
                <w:sz w:val="20"/>
              </w:rPr>
              <w:t>70,000 GJ/billion_tkm (2025) → 58,800 (2050)</w:t>
            </w:r>
          </w:p>
        </w:tc>
      </w:tr>
      <w:tr>
        <w:tc>
          <w:tcPr>
            <w:tcW w:type="dxa" w:w="4320"/>
          </w:tcPr>
          <w:p>
            <w:r>
              <w:rPr>
                <w:b/>
                <w:sz w:val="20"/>
              </w:rPr>
              <w:t>Fuel mix at 2025</w:t>
            </w:r>
          </w:p>
        </w:tc>
        <w:tc>
          <w:tcPr>
            <w:tcW w:type="dxa" w:w="4320"/>
          </w:tcPr>
          <w:p>
            <w:r>
              <w:rPr>
                <w:sz w:val="20"/>
              </w:rPr>
              <w:t>Diesel 100% (heavy haul + interstate intermodal)</w:t>
            </w:r>
          </w:p>
        </w:tc>
      </w:tr>
      <w:tr>
        <w:tc>
          <w:tcPr>
            <w:tcW w:type="dxa" w:w="4320"/>
          </w:tcPr>
          <w:p>
            <w:r>
              <w:rPr>
                <w:b/>
                <w:sz w:val="20"/>
              </w:rPr>
              <w:t>Total energy at anchor (AES 2025)</w:t>
            </w:r>
          </w:p>
        </w:tc>
        <w:tc>
          <w:tcPr>
            <w:tcW w:type="dxa" w:w="4320"/>
          </w:tcPr>
          <w:p>
            <w:r>
              <w:rPr>
                <w:sz w:val="20"/>
              </w:rPr>
              <w:t>49.0 PJ</w:t>
            </w:r>
          </w:p>
        </w:tc>
      </w:tr>
      <w:tr>
        <w:tc>
          <w:tcPr>
            <w:tcW w:type="dxa" w:w="4320"/>
          </w:tcPr>
          <w:p>
            <w:r>
              <w:rPr>
                <w:b/>
                <w:sz w:val="20"/>
              </w:rPr>
              <w:t>AES source</w:t>
            </w:r>
          </w:p>
        </w:tc>
        <w:tc>
          <w:tcPr>
            <w:tcW w:type="dxa" w:w="4320"/>
          </w:tcPr>
          <w:p>
            <w:r>
              <w:rPr>
                <w:sz w:val="20"/>
              </w:rPr>
              <w:t>AES 2025 Table F1, sector 47 Rail diesel 52 PJ minus 3.1 PJ regional passenger (2023-24)</w:t>
            </w:r>
          </w:p>
        </w:tc>
      </w:tr>
      <w:tr>
        <w:tc>
          <w:tcPr>
            <w:tcW w:type="dxa" w:w="4320"/>
          </w:tcPr>
          <w:p>
            <w:r>
              <w:rPr>
                <w:b/>
                <w:sz w:val="20"/>
              </w:rPr>
              <w:t>Total scope 1 CO2e at anchor</w:t>
            </w:r>
          </w:p>
        </w:tc>
        <w:tc>
          <w:tcPr>
            <w:tcW w:type="dxa" w:w="4320"/>
          </w:tcPr>
          <w:p>
            <w:r>
              <w:rPr>
                <w:sz w:val="20"/>
              </w:rPr>
              <w:t>3.43 MtCO2e (scope 1)</w:t>
            </w:r>
          </w:p>
        </w:tc>
      </w:tr>
      <w:tr>
        <w:tc>
          <w:tcPr>
            <w:tcW w:type="dxa" w:w="4320"/>
          </w:tcPr>
          <w:p>
            <w:r>
              <w:rPr>
                <w:b/>
                <w:sz w:val="20"/>
              </w:rPr>
              <w:t>NGGI cross-check</w:t>
            </w:r>
          </w:p>
        </w:tc>
        <w:tc>
          <w:tcPr>
            <w:tcW w:type="dxa" w:w="4320"/>
          </w:tcPr>
          <w:p>
            <w:r>
              <w:rPr>
                <w:sz w:val="20"/>
              </w:rPr>
              <w:t>NGGI 2025 rail (freight share)</w:t>
            </w:r>
          </w:p>
        </w:tc>
      </w:tr>
    </w:tbl>
    <w:p>
      <w:pPr>
        <w:pStyle w:val="Heading1"/>
      </w:pPr>
      <w:r>
        <w:t>6. Method notes</w:t>
      </w:r>
    </w:p>
    <w:p>
      <w:r>
        <w:rPr>
          <w:b w:val="0"/>
          <w:i w:val="0"/>
          <w:sz w:val="22"/>
        </w:rPr>
        <w:t>Demand anchors are unchanged because BITRE service volume statistics for passenger-km and tonne-km were not affected by the AES revision. Only per-unit energy intensity coefficients on the incumbent (conventional) state in each family were rescaled. Transition-state coefficients (SAF blends, hydrogen aircraft, battery vessels, electrified rail) preserve their technology-specific values because those reflect engineering characteristics rather than the AES baseline.</w:t>
      </w:r>
    </w:p>
    <w:p>
      <w:r>
        <w:rPr>
          <w:b w:val="0"/>
          <w:i w:val="0"/>
          <w:sz w:val="22"/>
        </w:rPr>
        <w:t>The rail passenger / freight split is not directly published in AES. The allocation applied here assigns the full 12.9 PJ rail electricity to passenger services (urban metro is electric-dominant) plus 3.1 PJ of regional diesel passenger services, totalling 16 PJ rail passenger. The remainder (49 PJ diesel) is allocated to rail freight. This carries calibration uncertainty until a Phase 2 disaggregation by service class.</w:t>
      </w:r>
    </w:p>
    <w:p>
      <w:pPr>
        <w:pStyle w:val="Heading1"/>
      </w:pPr>
      <w:r>
        <w:t>7. Sources</w:t>
      </w:r>
    </w:p>
    <w:p>
      <w:r>
        <w:rPr>
          <w:b w:val="0"/>
          <w:i w:val="0"/>
          <w:sz w:val="22"/>
        </w:rPr>
        <w:t>S001 — Australian Energy Statistics 2025 (Table F1, 2023-24 column).</w:t>
      </w:r>
    </w:p>
    <w:p>
      <w:r>
        <w:rPr>
          <w:b w:val="0"/>
          <w:i w:val="0"/>
          <w:sz w:val="22"/>
        </w:rPr>
        <w:t>S004 — National Greenhouse Gas Inventory (NGGI) 2025.</w:t>
      </w:r>
    </w:p>
    <w:p>
      <w:r>
        <w:rPr>
          <w:b w:val="0"/>
          <w:i w:val="0"/>
          <w:sz w:val="22"/>
        </w:rPr>
        <w:t>S012 — BITRE Aviation Statistical Report 2023-24; Rail Summary Data 2023-24.</w:t>
      </w:r>
    </w:p>
    <w:p>
      <w:r>
        <w:rPr>
          <w:b w:val="0"/>
          <w:i w:val="0"/>
          <w:sz w:val="22"/>
        </w:rPr>
        <w:t>S013 — BITRE coastal freight statistics; freight linehaul.</w:t>
      </w:r>
    </w:p>
    <w:p>
      <w:r>
        <w:rPr>
          <w:b w:val="0"/>
          <w:i w:val="0"/>
          <w:sz w:val="22"/>
        </w:rPr>
        <w:t>S032 — NGA Factors 2025 (NGA 2024) — emission factors for diesel, jet fuel, MDO, HFO.</w:t>
      </w:r>
    </w:p>
    <w:p>
      <w:pPr>
        <w:pStyle w:val="Heading1"/>
      </w:pPr>
      <w:r>
        <w:t>8. Files affected</w:t>
      </w:r>
    </w:p>
    <w:p>
      <w:pPr>
        <w:pStyle w:val="ListBullet"/>
      </w:pPr>
      <w:r>
        <w:rPr>
          <w:sz w:val="20"/>
        </w:rPr>
        <w:t>sector_trajectory_library/families/domestic_aviation/generate_domestic_aviation_data.py</w:t>
      </w:r>
    </w:p>
    <w:p>
      <w:pPr>
        <w:pStyle w:val="ListBullet"/>
      </w:pPr>
      <w:r>
        <w:rPr>
          <w:sz w:val="20"/>
        </w:rPr>
        <w:t>sector_trajectory_library/families/domestic_aviation/family_states.csv (regenerated)</w:t>
      </w:r>
    </w:p>
    <w:p>
      <w:pPr>
        <w:pStyle w:val="ListBullet"/>
      </w:pPr>
      <w:r>
        <w:rPr>
          <w:sz w:val="20"/>
        </w:rPr>
        <w:t>sector_trajectory_library/families/domestic_aviation/demand.csv (regenerated)</w:t>
      </w:r>
    </w:p>
    <w:p>
      <w:pPr>
        <w:pStyle w:val="ListBullet"/>
      </w:pPr>
      <w:r>
        <w:rPr>
          <w:sz w:val="20"/>
        </w:rPr>
        <w:t>sector_trajectory_library/families/domestic_aviation/README.md</w:t>
      </w:r>
    </w:p>
    <w:p>
      <w:pPr>
        <w:pStyle w:val="ListBullet"/>
      </w:pPr>
      <w:r>
        <w:rPr>
          <w:sz w:val="20"/>
        </w:rPr>
        <w:t>sector_trajectory_library/families/international_aviation/generate_international_aviation_data.py</w:t>
      </w:r>
    </w:p>
    <w:p>
      <w:pPr>
        <w:pStyle w:val="ListBullet"/>
      </w:pPr>
      <w:r>
        <w:rPr>
          <w:sz w:val="20"/>
        </w:rPr>
        <w:t>sector_trajectory_library/families/international_aviation/family_states.csv (regenerated)</w:t>
      </w:r>
    </w:p>
    <w:p>
      <w:pPr>
        <w:pStyle w:val="ListBullet"/>
      </w:pPr>
      <w:r>
        <w:rPr>
          <w:sz w:val="20"/>
        </w:rPr>
        <w:t>sector_trajectory_library/families/international_aviation/demand.csv (regenerated)</w:t>
      </w:r>
    </w:p>
    <w:p>
      <w:pPr>
        <w:pStyle w:val="ListBullet"/>
      </w:pPr>
      <w:r>
        <w:rPr>
          <w:sz w:val="20"/>
        </w:rPr>
        <w:t>sector_trajectory_library/families/international_aviation/README.md</w:t>
      </w:r>
    </w:p>
    <w:p>
      <w:pPr>
        <w:pStyle w:val="ListBullet"/>
      </w:pPr>
      <w:r>
        <w:rPr>
          <w:sz w:val="20"/>
        </w:rPr>
        <w:t>sector_trajectory_library/families/domestic_shipping/generate_domestic_shipping_data.py</w:t>
      </w:r>
    </w:p>
    <w:p>
      <w:pPr>
        <w:pStyle w:val="ListBullet"/>
      </w:pPr>
      <w:r>
        <w:rPr>
          <w:sz w:val="20"/>
        </w:rPr>
        <w:t>sector_trajectory_library/families/domestic_shipping/family_states.csv (regenerated)</w:t>
      </w:r>
    </w:p>
    <w:p>
      <w:pPr>
        <w:pStyle w:val="ListBullet"/>
      </w:pPr>
      <w:r>
        <w:rPr>
          <w:sz w:val="20"/>
        </w:rPr>
        <w:t>sector_trajectory_library/families/domestic_shipping/demand.csv (regenerated)</w:t>
      </w:r>
    </w:p>
    <w:p>
      <w:pPr>
        <w:pStyle w:val="ListBullet"/>
      </w:pPr>
      <w:r>
        <w:rPr>
          <w:sz w:val="20"/>
        </w:rPr>
        <w:t>sector_trajectory_library/families/domestic_shipping/README.md</w:t>
      </w:r>
    </w:p>
    <w:p>
      <w:pPr>
        <w:pStyle w:val="ListBullet"/>
      </w:pPr>
      <w:r>
        <w:rPr>
          <w:sz w:val="20"/>
        </w:rPr>
        <w:t>sector_trajectory_library/families/international_shipping/generate_international_shipping_data.py</w:t>
      </w:r>
    </w:p>
    <w:p>
      <w:pPr>
        <w:pStyle w:val="ListBullet"/>
      </w:pPr>
      <w:r>
        <w:rPr>
          <w:sz w:val="20"/>
        </w:rPr>
        <w:t>sector_trajectory_library/families/international_shipping/family_states.csv (regenerated)</w:t>
      </w:r>
    </w:p>
    <w:p>
      <w:pPr>
        <w:pStyle w:val="ListBullet"/>
      </w:pPr>
      <w:r>
        <w:rPr>
          <w:sz w:val="20"/>
        </w:rPr>
        <w:t>sector_trajectory_library/families/international_shipping/demand.csv (regenerated)</w:t>
      </w:r>
    </w:p>
    <w:p>
      <w:pPr>
        <w:pStyle w:val="ListBullet"/>
      </w:pPr>
      <w:r>
        <w:rPr>
          <w:sz w:val="20"/>
        </w:rPr>
        <w:t>sector_trajectory_library/families/international_shipping/README.md</w:t>
      </w:r>
    </w:p>
    <w:p>
      <w:pPr>
        <w:pStyle w:val="ListBullet"/>
      </w:pPr>
      <w:r>
        <w:rPr>
          <w:sz w:val="20"/>
        </w:rPr>
        <w:t>sector_trajectory_library/families/rail_passenger/generate_rail_passenger_data.py</w:t>
      </w:r>
    </w:p>
    <w:p>
      <w:pPr>
        <w:pStyle w:val="ListBullet"/>
      </w:pPr>
      <w:r>
        <w:rPr>
          <w:sz w:val="20"/>
        </w:rPr>
        <w:t>sector_trajectory_library/families/rail_passenger/family_states.csv (regenerated)</w:t>
      </w:r>
    </w:p>
    <w:p>
      <w:pPr>
        <w:pStyle w:val="ListBullet"/>
      </w:pPr>
      <w:r>
        <w:rPr>
          <w:sz w:val="20"/>
        </w:rPr>
        <w:t>sector_trajectory_library/families/rail_passenger/demand.csv (regenerated)</w:t>
      </w:r>
    </w:p>
    <w:p>
      <w:pPr>
        <w:pStyle w:val="ListBullet"/>
      </w:pPr>
      <w:r>
        <w:rPr>
          <w:sz w:val="20"/>
        </w:rPr>
        <w:t>sector_trajectory_library/families/rail_passenger/README.md</w:t>
      </w:r>
    </w:p>
    <w:p>
      <w:pPr>
        <w:pStyle w:val="ListBullet"/>
      </w:pPr>
      <w:r>
        <w:rPr>
          <w:sz w:val="20"/>
        </w:rPr>
        <w:t>sector_trajectory_library/families/rail_freight/generate_rail_freight_data.py</w:t>
      </w:r>
    </w:p>
    <w:p>
      <w:pPr>
        <w:pStyle w:val="ListBullet"/>
      </w:pPr>
      <w:r>
        <w:rPr>
          <w:sz w:val="20"/>
        </w:rPr>
        <w:t>sector_trajectory_library/families/rail_freight/family_states.csv (regenerated)</w:t>
      </w:r>
    </w:p>
    <w:p>
      <w:pPr>
        <w:pStyle w:val="ListBullet"/>
      </w:pPr>
      <w:r>
        <w:rPr>
          <w:sz w:val="20"/>
        </w:rPr>
        <w:t>sector_trajectory_library/families/rail_freight/demand.csv (regenerated)</w:t>
      </w:r>
    </w:p>
    <w:p>
      <w:pPr>
        <w:pStyle w:val="ListBullet"/>
      </w:pPr>
      <w:r>
        <w:rPr>
          <w:sz w:val="20"/>
        </w:rPr>
        <w:t>sector_trajectory_library/families/rail_freight/README.md</w:t>
      </w:r>
    </w:p>
    <w:p>
      <w:pPr>
        <w:pStyle w:val="ListBullet"/>
      </w:pPr>
      <w:r>
        <w:rPr>
          <w:sz w:val="20"/>
        </w:rPr>
        <w:t>web/test/firstClassResiduals.test.mjs (electricity balance assertion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