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12C7" w14:textId="77777777" w:rsidR="006E469B" w:rsidRDefault="00000000">
      <w:pPr>
        <w:spacing w:before="480" w:after="480" w:line="288" w:lineRule="auto"/>
      </w:pPr>
      <w:r>
        <w:rPr>
          <w:rFonts w:ascii="Arial" w:eastAsia="DengXian" w:hAnsi="Arial" w:cs="Arial"/>
          <w:b/>
          <w:sz w:val="52"/>
        </w:rPr>
        <w:t>学校</w:t>
      </w:r>
      <w:r>
        <w:rPr>
          <w:rFonts w:ascii="Arial" w:eastAsia="DengXian" w:hAnsi="Arial" w:cs="Arial"/>
          <w:b/>
          <w:sz w:val="52"/>
        </w:rPr>
        <w:t>“</w:t>
      </w:r>
      <w:r>
        <w:rPr>
          <w:rFonts w:ascii="Arial" w:eastAsia="DengXian" w:hAnsi="Arial" w:cs="Arial"/>
          <w:b/>
          <w:sz w:val="52"/>
        </w:rPr>
        <w:t>十五五</w:t>
      </w:r>
      <w:r>
        <w:rPr>
          <w:rFonts w:ascii="Arial" w:eastAsia="DengXian" w:hAnsi="Arial" w:cs="Arial"/>
          <w:b/>
          <w:sz w:val="52"/>
        </w:rPr>
        <w:t>”</w:t>
      </w:r>
      <w:r>
        <w:rPr>
          <w:rFonts w:ascii="Arial" w:eastAsia="DengXian" w:hAnsi="Arial" w:cs="Arial"/>
          <w:b/>
          <w:sz w:val="52"/>
        </w:rPr>
        <w:t>数智化转型专项调研报告</w:t>
      </w:r>
    </w:p>
    <w:p w14:paraId="78FC5526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为深入落实学校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十五五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规划委托课题数智化转型专项研究任务，全面摸清校内数智化建设底数，精准识别核心需求、突出问题及发展瓶颈，信息处作为牵头部门，以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现状清、问题准、需求实、建议可行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为目标，通过问卷调研、部门座谈、实地走访等多种形式，对全校各教学单位、职能部门开展了全覆盖数智化转型专项调研。本次调研紧扣学校核心业务，结合《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十五五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数智化专项调研提纲》，聚焦系统建设、数据治理、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应用、队伍建设等关键领域，广泛征集意见建议，现将调研情况报告如下：</w:t>
      </w:r>
    </w:p>
    <w:p w14:paraId="035B9290" w14:textId="77777777" w:rsidR="006E469B" w:rsidRDefault="0000000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DengXian" w:hAnsi="Arial" w:cs="Arial"/>
          <w:b/>
          <w:sz w:val="32"/>
        </w:rPr>
        <w:t>一、学校数智化建设现状</w:t>
      </w:r>
      <w:bookmarkEnd w:id="0"/>
    </w:p>
    <w:p w14:paraId="6B12463F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十四五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期间，学校围绕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智慧校园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建设目标，在数智化基础设施、业务系统搭建、基础数据积累等方面取得阶段性成效，为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十五五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转型奠定了一定基础。</w:t>
      </w:r>
    </w:p>
    <w:p w14:paraId="371DD7F9" w14:textId="77777777" w:rsidR="006E469B" w:rsidRDefault="00000000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DengXian" w:hAnsi="Arial" w:cs="Arial"/>
          <w:b/>
          <w:sz w:val="30"/>
        </w:rPr>
        <w:t>（一）基础设施逐步完善，硬件支撑能力提升</w:t>
      </w:r>
      <w:bookmarkEnd w:id="1"/>
    </w:p>
    <w:p w14:paraId="0EF33351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已建成校园光纤网络全覆盖体系，核心区域</w:t>
      </w:r>
      <w:r>
        <w:rPr>
          <w:rFonts w:ascii="Arial" w:eastAsia="DengXian" w:hAnsi="Arial" w:cs="Arial"/>
          <w:sz w:val="22"/>
        </w:rPr>
        <w:t>5G</w:t>
      </w:r>
      <w:r>
        <w:rPr>
          <w:rFonts w:ascii="Arial" w:eastAsia="DengXian" w:hAnsi="Arial" w:cs="Arial"/>
          <w:sz w:val="22"/>
        </w:rPr>
        <w:t>信号无缝衔接，搭建了统一的校园数据中心，配备了基础服务器、存储设备及安全防护系统，满足日常业务数据存储与系统运行需求。同时，推进多媒体教室、虚拟仿真实训室等智能化教学空间建设，累计完成</w:t>
      </w:r>
      <w:r>
        <w:rPr>
          <w:rFonts w:ascii="Arial" w:eastAsia="DengXian" w:hAnsi="Arial" w:cs="Arial"/>
          <w:sz w:val="22"/>
        </w:rPr>
        <w:t>80</w:t>
      </w:r>
      <w:r>
        <w:rPr>
          <w:rFonts w:ascii="Arial" w:eastAsia="DengXian" w:hAnsi="Arial" w:cs="Arial"/>
          <w:sz w:val="22"/>
        </w:rPr>
        <w:t>余间教室的智能改造，支撑线上线下混合式教学开展。</w:t>
      </w:r>
    </w:p>
    <w:p w14:paraId="23046552" w14:textId="77777777" w:rsidR="006E469B" w:rsidRDefault="0000000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DengXian" w:hAnsi="Arial" w:cs="Arial"/>
          <w:b/>
          <w:sz w:val="30"/>
        </w:rPr>
        <w:t>（二）业务系统初步覆盖，数字化应用场景拓展</w:t>
      </w:r>
      <w:bookmarkEnd w:id="2"/>
    </w:p>
    <w:p w14:paraId="7AAFCBC9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围绕教学、科研、管理、服务四大核心业务，先后上线教务管理系统、学生管理系统、科研管理系统、财务管理系统、资产管理系统等</w:t>
      </w:r>
      <w:r>
        <w:rPr>
          <w:rFonts w:ascii="Arial" w:eastAsia="DengXian" w:hAnsi="Arial" w:cs="Arial"/>
          <w:sz w:val="22"/>
        </w:rPr>
        <w:t>10</w:t>
      </w:r>
      <w:r>
        <w:rPr>
          <w:rFonts w:ascii="Arial" w:eastAsia="DengXian" w:hAnsi="Arial" w:cs="Arial"/>
          <w:sz w:val="22"/>
        </w:rPr>
        <w:t>余套业务系统，实现招生录取、课程安排、成绩管理、经费报销、资产登记等基础业务的数字化办理，部分部门通过简易办公软件实现流程线上化，提升了基础工作效率。</w:t>
      </w:r>
    </w:p>
    <w:p w14:paraId="4529C56C" w14:textId="77777777" w:rsidR="006E469B" w:rsidRDefault="00000000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DengXian" w:hAnsi="Arial" w:cs="Arial"/>
          <w:b/>
          <w:sz w:val="30"/>
        </w:rPr>
        <w:t>（三）数据资源初步积累，治理意识逐步觉醒</w:t>
      </w:r>
      <w:bookmarkEnd w:id="3"/>
    </w:p>
    <w:p w14:paraId="6E878D2F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各业务系统运行过程中积累了海量基础数据，涵盖学生信息、教职工信息、课程数据、科研成果、财务流水等核心数据资源。信息处牵头制定了初步的数据管理规范，推动部分跨部门数据共享试点，如学生基础信息在教务、学工、财务部门间的有限共享，为数据驱动管理奠定了基础。</w:t>
      </w:r>
    </w:p>
    <w:p w14:paraId="614032D1" w14:textId="77777777" w:rsidR="006E469B" w:rsidRDefault="0000000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DengXian" w:hAnsi="Arial" w:cs="Arial"/>
          <w:b/>
          <w:sz w:val="30"/>
        </w:rPr>
        <w:lastRenderedPageBreak/>
        <w:t>（四）数智化认知普遍提升，应用需求日益迫切</w:t>
      </w:r>
      <w:bookmarkEnd w:id="4"/>
    </w:p>
    <w:p w14:paraId="76EA6798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各部门对数字技术赋能业务发展的认知逐步深化，尤其是教学单位对智能教学工具、科研单位对数据智能分析、职能部门对流程自动化的需求日益强烈。部分部门已开展初步探索，如教务处利用数据统计功能优化课程设置，图书馆推出智能检索与推荐服务，体现了数智化应用的良好发展态势。</w:t>
      </w:r>
    </w:p>
    <w:p w14:paraId="19953319" w14:textId="77777777" w:rsidR="006E469B" w:rsidRDefault="00000000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DengXian" w:hAnsi="Arial" w:cs="Arial"/>
          <w:b/>
          <w:sz w:val="32"/>
        </w:rPr>
        <w:t>二、数智化建设现存堵点难点</w:t>
      </w:r>
      <w:bookmarkEnd w:id="5"/>
    </w:p>
    <w:p w14:paraId="0BD609BF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调研发现，尽管学校数智化建设取得一定进展，但对照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十五五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数智化转型的高标准、高要求，仍存在系统协同不足、数据治理薄弱、技术应用不深、队伍支撑乏力等突出问题，成为制约转型发展的核心瓶颈。</w:t>
      </w:r>
    </w:p>
    <w:p w14:paraId="2D4098B0" w14:textId="77777777" w:rsidR="006E469B" w:rsidRDefault="00000000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DengXian" w:hAnsi="Arial" w:cs="Arial"/>
          <w:b/>
          <w:sz w:val="30"/>
        </w:rPr>
        <w:t>（一）系统碎片化严重，跨部门协同壁垒突出</w:t>
      </w:r>
      <w:bookmarkEnd w:id="6"/>
    </w:p>
    <w:p w14:paraId="222E6989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各业务系统多为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十四五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期间分阶段、分部门建设，缺乏统一规划设计，存在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各自为战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现象。不同系统技术架构不一、数据标准各异，形成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信息孤岛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跨部门业务办理需在多个系统间切换操作，如学生毕业流程需在教务、学工、财务、图书馆等多个系统中分别办理审核，流程繁琐且易出现数据不一致。部分老旧系统功能滞后，与新增系统无法兼容，难以支撑复杂业务协同需求。</w:t>
      </w:r>
    </w:p>
    <w:p w14:paraId="69937F30" w14:textId="77777777" w:rsidR="006E469B" w:rsidRDefault="00000000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DengXian" w:hAnsi="Arial" w:cs="Arial"/>
          <w:b/>
          <w:sz w:val="30"/>
        </w:rPr>
        <w:t>（二）数据治理体系不完善，数据质量难以保障</w:t>
      </w:r>
      <w:bookmarkEnd w:id="7"/>
    </w:p>
    <w:p w14:paraId="5A834D25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一是数据标准不统一，各部门对同一类数据的定义、口径、格式不一致，如教职工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工作年限</w:t>
      </w:r>
      <w:r>
        <w:rPr>
          <w:rFonts w:ascii="Arial" w:eastAsia="DengXian" w:hAnsi="Arial" w:cs="Arial"/>
          <w:sz w:val="22"/>
        </w:rPr>
        <w:t>”“</w:t>
      </w:r>
      <w:r>
        <w:rPr>
          <w:rFonts w:ascii="Arial" w:eastAsia="DengXian" w:hAnsi="Arial" w:cs="Arial"/>
          <w:sz w:val="22"/>
        </w:rPr>
        <w:t>科研成果分类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等数据存在多头录入、口径混乱问题，导致数据比对、共享困难。二是数据采集不规范，缺乏统一的采集入口，存在人工重复录入、漏录现象，部分数据更新不及时，如学生联系方式、资产变动信息等无法实时同步，影响数据可用性。三是数据治理责任不清晰，未明确各部门数据治理主体责任，缺乏专业数据治理团队，数据清洗、校验、脱敏等工作难以常态化开展，数据质量参差不齐。四是数据共享机制不健全，跨部门数据共享缺乏明确的流程规范和安全保障，部分部门存在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数据壁垒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意识，主动共享意愿不足。</w:t>
      </w:r>
    </w:p>
    <w:p w14:paraId="7A33762E" w14:textId="77777777" w:rsidR="006E469B" w:rsidRDefault="00000000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DengXian" w:hAnsi="Arial" w:cs="Arial"/>
          <w:b/>
          <w:sz w:val="30"/>
        </w:rPr>
        <w:t>（三）</w:t>
      </w:r>
      <w:r>
        <w:rPr>
          <w:rFonts w:ascii="Arial" w:eastAsia="DengXian" w:hAnsi="Arial" w:cs="Arial"/>
          <w:b/>
          <w:sz w:val="30"/>
        </w:rPr>
        <w:t>AI</w:t>
      </w:r>
      <w:r>
        <w:rPr>
          <w:rFonts w:ascii="Arial" w:eastAsia="DengXian" w:hAnsi="Arial" w:cs="Arial"/>
          <w:b/>
          <w:sz w:val="30"/>
        </w:rPr>
        <w:t>技术应用深度不足，场景赋能成效有限</w:t>
      </w:r>
      <w:bookmarkEnd w:id="8"/>
    </w:p>
    <w:p w14:paraId="2349B893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当前学校数智化应用多停留在基础数字化层面，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技术的深度融合与场景化赋能不足。一方面，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应用场景覆盖面窄，主要集中在简单的智能检索、数据统计等基础场景，在智能教学答疑、业务风险预警、科研数据智能分析、流程自动化处理等核心场景的应用几乎空白。另一方面，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应用落地面临多重阻碍，一是数据质量不足，缺乏高质量、标准化的数据支撑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模型训练；二是技术适配难度大，现有系统无法与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技术有效对接，且缺乏针对性的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工具与解决方案；三是部分教职工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应用能力不足，对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技术的认知和使用熟练度有限，制约了技术落地。此外，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应用的伦理与隐私保</w:t>
      </w:r>
      <w:r>
        <w:rPr>
          <w:rFonts w:ascii="Arial" w:eastAsia="DengXian" w:hAnsi="Arial" w:cs="Arial"/>
          <w:sz w:val="22"/>
        </w:rPr>
        <w:lastRenderedPageBreak/>
        <w:t>护机制尚未建立，存在数据安全风险隐患。</w:t>
      </w:r>
    </w:p>
    <w:p w14:paraId="5E3AAE9A" w14:textId="77777777" w:rsidR="006E469B" w:rsidRDefault="00000000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DengXian" w:hAnsi="Arial" w:cs="Arial"/>
          <w:b/>
          <w:sz w:val="30"/>
        </w:rPr>
        <w:t>（四）数智化队伍支撑薄弱，能力建设滞后</w:t>
      </w:r>
      <w:bookmarkEnd w:id="9"/>
    </w:p>
    <w:p w14:paraId="0C492390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一是专业人才短缺，信息处现有人员多聚焦于系统运维、网络保障等基础工作，缺乏兼具数智化技术能力、业务理解能力和项目管理能力的复合型人才，难以牵头推进复杂数智化项目建设。二是部门信息员队伍缺失，各部门未明确专人负责数智化需求对接、系统使用指导、数据质量监督等工作，导致信息处与各部门的沟通对接不顺畅，需求收集不精准、问题反馈不及时。三是全员数智化素养有待提升，部分教职工尤其是中老年教职工数字化操作能力不足，对新型数智化工具的接受度和应用能力有限，缺乏系统性培训，影响数智化应用的全面推广。</w:t>
      </w:r>
    </w:p>
    <w:p w14:paraId="6CE60814" w14:textId="77777777" w:rsidR="006E469B" w:rsidRDefault="00000000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DengXian" w:hAnsi="Arial" w:cs="Arial"/>
          <w:b/>
          <w:sz w:val="30"/>
        </w:rPr>
        <w:t>（五）建设规划与保障机制不健全，转型动力不足</w:t>
      </w:r>
      <w:bookmarkEnd w:id="10"/>
    </w:p>
    <w:p w14:paraId="4FD0CD05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一是缺乏统筹规划，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十五五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数智化转型尚未形成明确的顶层设计和实施方案，各部门建设方向分散，难以形成工作合力。二是经费保障不足，数智化建设投入主要依赖专项经费，常态化经费保障机制不健全，难以支撑系统升级、数据治理、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应用研发等长期任务。三是考核激励机制缺失，未将数智化建设成效纳入部门和教职工考核体系，各部门推进数智化转型的主动性和积极性不足。</w:t>
      </w:r>
    </w:p>
    <w:p w14:paraId="185605EC" w14:textId="77777777" w:rsidR="006E469B" w:rsidRDefault="00000000">
      <w:pPr>
        <w:spacing w:before="320" w:after="120" w:line="288" w:lineRule="auto"/>
        <w:jc w:val="left"/>
        <w:outlineLvl w:val="1"/>
      </w:pPr>
      <w:bookmarkStart w:id="11" w:name="heading_11"/>
      <w:r>
        <w:rPr>
          <w:rFonts w:ascii="Arial" w:eastAsia="DengXian" w:hAnsi="Arial" w:cs="Arial"/>
          <w:b/>
          <w:sz w:val="32"/>
        </w:rPr>
        <w:t>三、数智化转型核心需求</w:t>
      </w:r>
      <w:bookmarkEnd w:id="11"/>
    </w:p>
    <w:p w14:paraId="372DDEB0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结合调研情况，各部门对数智化转型的需求聚焦于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打破壁垒、提升质量、深化应用、强化支撑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，具体可归纳为以下四类核心需求：</w:t>
      </w:r>
    </w:p>
    <w:p w14:paraId="75C4E95D" w14:textId="77777777" w:rsidR="006E469B" w:rsidRDefault="00000000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DengXian" w:hAnsi="Arial" w:cs="Arial"/>
          <w:b/>
          <w:sz w:val="30"/>
        </w:rPr>
        <w:t>（一）系统整合需求：构建统一协同平台，优化业务流程</w:t>
      </w:r>
      <w:bookmarkEnd w:id="12"/>
    </w:p>
    <w:p w14:paraId="1E39966A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各部门普遍需求整合现有碎片化系统，搭建统一的校园数智化协同平台，实现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一网通办、一屏统管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。核心需求包括：建立统一的登录入口，实现各业务系统单点登录；优化跨部门业务流程，将毕业审核、经费报销、项目审批等复杂流程线上化、自动化，减少人工干预；对老旧系统进行升级改造或替换，确保系统兼容性与功能适配性，支撑业务协同发展。</w:t>
      </w:r>
    </w:p>
    <w:p w14:paraId="224C1D20" w14:textId="77777777" w:rsidR="006E469B" w:rsidRDefault="00000000">
      <w:pPr>
        <w:spacing w:before="300" w:after="120" w:line="288" w:lineRule="auto"/>
        <w:jc w:val="left"/>
        <w:outlineLvl w:val="2"/>
      </w:pPr>
      <w:bookmarkStart w:id="13" w:name="heading_13"/>
      <w:r>
        <w:rPr>
          <w:rFonts w:ascii="Arial" w:eastAsia="DengXian" w:hAnsi="Arial" w:cs="Arial"/>
          <w:b/>
          <w:sz w:val="30"/>
        </w:rPr>
        <w:t>（二）数据治理需求：建立标准体系，提升数据价值</w:t>
      </w:r>
      <w:bookmarkEnd w:id="13"/>
    </w:p>
    <w:p w14:paraId="5D062C71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亟需建立统一的业务基础数据库和数据治理体系，核心需求包括：明确各部门数据治理主体责任，制定统一的数据标准、采集规范和共享机制；搭建权威、动态更新的业务基础数据库，涵盖学生、教职工、教学、科研、财务、资产等核心数据域，实现数据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一次采集、多方复用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；提供数据清洗、校验、分析等工具，提升数据质量，支撑数据驱动决策；建立数据安全保障机制，在数据共享的同时防范隐私泄露和数据滥用风险。</w:t>
      </w:r>
    </w:p>
    <w:p w14:paraId="50E3C065" w14:textId="77777777" w:rsidR="006E469B" w:rsidRDefault="00000000">
      <w:pPr>
        <w:spacing w:before="300" w:after="120" w:line="288" w:lineRule="auto"/>
        <w:jc w:val="left"/>
        <w:outlineLvl w:val="2"/>
      </w:pPr>
      <w:bookmarkStart w:id="14" w:name="heading_14"/>
      <w:r>
        <w:rPr>
          <w:rFonts w:ascii="Arial" w:eastAsia="DengXian" w:hAnsi="Arial" w:cs="Arial"/>
          <w:b/>
          <w:sz w:val="30"/>
        </w:rPr>
        <w:lastRenderedPageBreak/>
        <w:t>（三）</w:t>
      </w:r>
      <w:r>
        <w:rPr>
          <w:rFonts w:ascii="Arial" w:eastAsia="DengXian" w:hAnsi="Arial" w:cs="Arial"/>
          <w:b/>
          <w:sz w:val="30"/>
        </w:rPr>
        <w:t>AI</w:t>
      </w:r>
      <w:r>
        <w:rPr>
          <w:rFonts w:ascii="Arial" w:eastAsia="DengXian" w:hAnsi="Arial" w:cs="Arial"/>
          <w:b/>
          <w:sz w:val="30"/>
        </w:rPr>
        <w:t>场景应用需求：深化技术融合，赋能核心业务</w:t>
      </w:r>
      <w:bookmarkEnd w:id="14"/>
    </w:p>
    <w:p w14:paraId="4C58B842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各部门对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技术应用的需求具体且迫切，教学领域需求智能备课工具、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答疑助手、个性化学习推荐、实训场景智能评估等功能；科研领域需求科研数据智能分析、文献精准检索、成果转化风险预警等工具；管理服务领域需求流程自动化审批、智能咨询答疑、财务风险预警、资产智能盘点等应用；学生工作领域需求学生行为异常预警、心理健康智能评估、就业精准推荐等服务。</w:t>
      </w:r>
    </w:p>
    <w:p w14:paraId="02A1A674" w14:textId="77777777" w:rsidR="006E469B" w:rsidRDefault="00000000">
      <w:pPr>
        <w:spacing w:before="300" w:after="120" w:line="288" w:lineRule="auto"/>
        <w:jc w:val="left"/>
        <w:outlineLvl w:val="2"/>
      </w:pPr>
      <w:bookmarkStart w:id="15" w:name="heading_15"/>
      <w:r>
        <w:rPr>
          <w:rFonts w:ascii="Arial" w:eastAsia="DengXian" w:hAnsi="Arial" w:cs="Arial"/>
          <w:b/>
          <w:sz w:val="30"/>
        </w:rPr>
        <w:t>（四）队伍与保障需求：强化人才支撑，完善机制保障</w:t>
      </w:r>
      <w:bookmarkEnd w:id="15"/>
    </w:p>
    <w:p w14:paraId="0E7B67E4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核心需求包括：组建专业数智化人才队伍，补充复合型技术人才和数据治理人才；建立部门信息员队伍，明确岗位职责，加强业务培训；开展全员数智化素养培训，提升教职工对新型技术和工具的应用能力；健全经费保障机制，设立数智化转型专项经费，保障项目建设、系统运维和技术研发；建立考核激励机制，将数智化建设成效纳入部门和个人考核，激发转型动力。</w:t>
      </w:r>
    </w:p>
    <w:p w14:paraId="2F4D4EB4" w14:textId="77777777" w:rsidR="006E469B" w:rsidRDefault="00000000">
      <w:pPr>
        <w:spacing w:before="320" w:after="120" w:line="288" w:lineRule="auto"/>
        <w:jc w:val="left"/>
        <w:outlineLvl w:val="1"/>
      </w:pPr>
      <w:bookmarkStart w:id="16" w:name="heading_16"/>
      <w:r>
        <w:rPr>
          <w:rFonts w:ascii="Arial" w:eastAsia="DengXian" w:hAnsi="Arial" w:cs="Arial"/>
          <w:b/>
          <w:sz w:val="32"/>
        </w:rPr>
        <w:t>四、</w:t>
      </w:r>
      <w:r>
        <w:rPr>
          <w:rFonts w:ascii="Arial" w:eastAsia="DengXian" w:hAnsi="Arial" w:cs="Arial"/>
          <w:b/>
          <w:sz w:val="32"/>
        </w:rPr>
        <w:t>“</w:t>
      </w:r>
      <w:r>
        <w:rPr>
          <w:rFonts w:ascii="Arial" w:eastAsia="DengXian" w:hAnsi="Arial" w:cs="Arial"/>
          <w:b/>
          <w:sz w:val="32"/>
        </w:rPr>
        <w:t>十五五</w:t>
      </w:r>
      <w:r>
        <w:rPr>
          <w:rFonts w:ascii="Arial" w:eastAsia="DengXian" w:hAnsi="Arial" w:cs="Arial"/>
          <w:b/>
          <w:sz w:val="32"/>
        </w:rPr>
        <w:t>”</w:t>
      </w:r>
      <w:r>
        <w:rPr>
          <w:rFonts w:ascii="Arial" w:eastAsia="DengXian" w:hAnsi="Arial" w:cs="Arial"/>
          <w:b/>
          <w:sz w:val="32"/>
        </w:rPr>
        <w:t>数智化转型优化建议</w:t>
      </w:r>
      <w:bookmarkEnd w:id="16"/>
    </w:p>
    <w:p w14:paraId="43D114B3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结合调研发现的问题和核心需求，立足学校发展实际，围绕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统筹规划、夯实基础、深化应用、强化支撑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的总体思路，提出以下具体优化建议，助力学校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十五五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数智化转型高质量推进。</w:t>
      </w:r>
    </w:p>
    <w:p w14:paraId="4713F18A" w14:textId="77777777" w:rsidR="006E469B" w:rsidRDefault="00000000">
      <w:pPr>
        <w:spacing w:before="300" w:after="120" w:line="288" w:lineRule="auto"/>
        <w:jc w:val="left"/>
        <w:outlineLvl w:val="2"/>
      </w:pPr>
      <w:bookmarkStart w:id="17" w:name="heading_17"/>
      <w:r>
        <w:rPr>
          <w:rFonts w:ascii="Arial" w:eastAsia="DengXian" w:hAnsi="Arial" w:cs="Arial"/>
          <w:b/>
          <w:sz w:val="30"/>
        </w:rPr>
        <w:t>（一）做好顶层设计，强化统筹推进</w:t>
      </w:r>
      <w:bookmarkEnd w:id="17"/>
    </w:p>
    <w:p w14:paraId="63262528" w14:textId="77777777" w:rsidR="006E469B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制定专项规划方案：牵头编制《学校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十五五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数智化转型发展规划》，明确转型目标、重点任务、实施步骤和责任分工，形成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顶层设计</w:t>
      </w:r>
      <w:r>
        <w:rPr>
          <w:rFonts w:ascii="Arial" w:eastAsia="DengXian" w:hAnsi="Arial" w:cs="Arial"/>
          <w:sz w:val="22"/>
        </w:rPr>
        <w:t>—</w:t>
      </w:r>
      <w:r>
        <w:rPr>
          <w:rFonts w:ascii="Arial" w:eastAsia="DengXian" w:hAnsi="Arial" w:cs="Arial"/>
          <w:sz w:val="22"/>
        </w:rPr>
        <w:t>部门落实</w:t>
      </w:r>
      <w:r>
        <w:rPr>
          <w:rFonts w:ascii="Arial" w:eastAsia="DengXian" w:hAnsi="Arial" w:cs="Arial"/>
          <w:sz w:val="22"/>
        </w:rPr>
        <w:t>—</w:t>
      </w:r>
      <w:r>
        <w:rPr>
          <w:rFonts w:ascii="Arial" w:eastAsia="DengXian" w:hAnsi="Arial" w:cs="Arial"/>
          <w:sz w:val="22"/>
        </w:rPr>
        <w:t>闭环评估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的工作体系。成立数智化转型工作领导小组，由校领导牵头，统筹协调各部门工作，打破部门壁垒，形成工作合力。</w:t>
      </w:r>
    </w:p>
    <w:p w14:paraId="496C4A32" w14:textId="77777777" w:rsidR="006E469B" w:rsidRDefault="00000000">
      <w:pPr>
        <w:numPr>
          <w:ilvl w:val="0"/>
          <w:numId w:val="2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优化项目管理机制：建立数智化建设项目立项、评审、验收全流程管理机制，所有新建、升级项目需纳入规划统一审批，确保与学校整体转型方向一致，避免重复建设和碎片化发展。定期开展项目成效评估，根据评估结果优化调整建设内容。</w:t>
      </w:r>
    </w:p>
    <w:p w14:paraId="5A6731C2" w14:textId="77777777" w:rsidR="006E469B" w:rsidRDefault="00000000">
      <w:pPr>
        <w:spacing w:before="300" w:after="120" w:line="288" w:lineRule="auto"/>
        <w:jc w:val="left"/>
        <w:outlineLvl w:val="2"/>
      </w:pPr>
      <w:bookmarkStart w:id="18" w:name="heading_18"/>
      <w:r>
        <w:rPr>
          <w:rFonts w:ascii="Arial" w:eastAsia="DengXian" w:hAnsi="Arial" w:cs="Arial"/>
          <w:b/>
          <w:sz w:val="30"/>
        </w:rPr>
        <w:t>（二）夯实数据基础，提升治理能力</w:t>
      </w:r>
      <w:bookmarkEnd w:id="18"/>
    </w:p>
    <w:p w14:paraId="43ECD843" w14:textId="77777777" w:rsidR="006E469B" w:rsidRDefault="00000000">
      <w:pPr>
        <w:numPr>
          <w:ilvl w:val="0"/>
          <w:numId w:val="3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构建统一数据体系：搭建学校业务基础数据库，涵盖基础信息域、教学业务域、科研业务域、财务管理域、资产管理域、学生管理域等核心数据域，明确各数据域的核心字段、责任部门和更新频率。制定统一的数据标准和采集规范，实现数据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同源、同标、同步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，从源头解决数据口径不一、重复录入问题。</w:t>
      </w:r>
    </w:p>
    <w:p w14:paraId="703154AF" w14:textId="77777777" w:rsidR="006E469B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完善数据治理机制：明确各部门数据治理第一责任人，设立数据管理员岗位，负责本部门数据的采集、审核、更新和质量管控。信息处组建专业数据治理团队，负责</w:t>
      </w:r>
      <w:r>
        <w:rPr>
          <w:rFonts w:ascii="Arial" w:eastAsia="DengXian" w:hAnsi="Arial" w:cs="Arial"/>
          <w:sz w:val="22"/>
        </w:rPr>
        <w:lastRenderedPageBreak/>
        <w:t>数据标准制定、数据清洗、数据脱敏和跨部门数据共享协调。建立数据质量考核机制，将数据质量纳入部门绩效考核，倒逼数据质量提升。</w:t>
      </w:r>
    </w:p>
    <w:p w14:paraId="2F8AAF51" w14:textId="77777777" w:rsidR="006E469B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搭建数据服务平台：建设统一的数据服务平台，提供数据查询、统计分析、可视化展示等功能，支撑各部门数据应用需求。建立安全可控的数据共享机制，通过数据接口、数据脱敏等技术手段，实现跨部门数据精准共享，同时加强数据安全监管，防范数据泄露风险。</w:t>
      </w:r>
    </w:p>
    <w:p w14:paraId="767485EC" w14:textId="77777777" w:rsidR="006E469B" w:rsidRDefault="00000000">
      <w:pPr>
        <w:spacing w:before="300" w:after="120" w:line="288" w:lineRule="auto"/>
        <w:jc w:val="left"/>
        <w:outlineLvl w:val="2"/>
      </w:pPr>
      <w:bookmarkStart w:id="19" w:name="heading_19"/>
      <w:r>
        <w:rPr>
          <w:rFonts w:ascii="Arial" w:eastAsia="DengXian" w:hAnsi="Arial" w:cs="Arial"/>
          <w:b/>
          <w:sz w:val="30"/>
        </w:rPr>
        <w:t>（三）深化场景应用，赋能核心业务</w:t>
      </w:r>
      <w:bookmarkEnd w:id="19"/>
    </w:p>
    <w:p w14:paraId="6F42A438" w14:textId="77777777" w:rsidR="006E469B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推进系统整合与流程优化：以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一网通办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为目标，整合现有业务系统，搭建统一的校园数智化协同平台，实现单点登录、跨系统协同。梳理核心业务流程，对毕业审核、经费报销、项目审批等高频跨部门流程进行重构优化，引入流程自动化技术，减少人工干预，提升业务办理效率。</w:t>
      </w:r>
    </w:p>
    <w:p w14:paraId="6AA2F15A" w14:textId="77777777" w:rsidR="006E469B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分场景推进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技术落地：优先选择需求迫切、可行性高的场景开展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应用试点，逐步推广。教学场景：引入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备课工具、智能答疑机器人，建设个性化学习平台，实现精准教学；科研场景：开发科研数据智能分析系统，提供文献检索、成果分析、风险预警等服务；管理服务场景：部署智能审批系统、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咨询助手，实现流程自动化和服务智能化；学生工作场景：搭建学生行为分析平台，实现心理健康、学业风险等异常情况智能预警。</w:t>
      </w:r>
    </w:p>
    <w:p w14:paraId="0811F106" w14:textId="77777777" w:rsidR="006E469B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打造特色数智化品牌：结合学校办学特色，打造</w:t>
      </w:r>
      <w:r>
        <w:rPr>
          <w:rFonts w:ascii="Arial" w:eastAsia="DengXian" w:hAnsi="Arial" w:cs="Arial"/>
          <w:sz w:val="22"/>
        </w:rPr>
        <w:t>1-2</w:t>
      </w:r>
      <w:r>
        <w:rPr>
          <w:rFonts w:ascii="Arial" w:eastAsia="DengXian" w:hAnsi="Arial" w:cs="Arial"/>
          <w:sz w:val="22"/>
        </w:rPr>
        <w:t>个具有辨识度的数智化亮点项目，如智能实训教学平台、科研数据创新服务平台等，以点带面，推动数智化转型走深走实。</w:t>
      </w:r>
    </w:p>
    <w:p w14:paraId="3358392A" w14:textId="77777777" w:rsidR="006E469B" w:rsidRDefault="00000000">
      <w:pPr>
        <w:spacing w:before="300" w:after="120" w:line="288" w:lineRule="auto"/>
        <w:jc w:val="left"/>
        <w:outlineLvl w:val="2"/>
      </w:pPr>
      <w:bookmarkStart w:id="20" w:name="heading_20"/>
      <w:r>
        <w:rPr>
          <w:rFonts w:ascii="Arial" w:eastAsia="DengXian" w:hAnsi="Arial" w:cs="Arial"/>
          <w:b/>
          <w:sz w:val="30"/>
        </w:rPr>
        <w:t>（四）强化队伍建设，完善保障机制</w:t>
      </w:r>
      <w:bookmarkEnd w:id="20"/>
    </w:p>
    <w:p w14:paraId="5A95CCC2" w14:textId="77777777" w:rsidR="006E469B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健全人才队伍体系：信息处补充复合型数智化人才，重点引进数据治理、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应用开发、项目管理等领域专业人才；组建学校信息员队伍，从各部门选拔骨干人员，负责需求对接、系统运维、数据质量监督和数智化场景推广，定期开展业务培训，提升信息员专业能力。</w:t>
      </w:r>
    </w:p>
    <w:p w14:paraId="3FDD19C6" w14:textId="77777777" w:rsidR="006E469B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开展全员素养培训：制定数智化素养培训计划，分层次、分类型开展培训，针对教职工开展数字化工具、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应用技能培训，针对管理人员开展数据驱动决策能力培训，针对学生开展数字素养与技能教育，全面提升全员数智化应用能力。</w:t>
      </w:r>
    </w:p>
    <w:p w14:paraId="20329EF8" w14:textId="77777777" w:rsidR="006E469B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完善保障措施：设立数智化转型专项经费，纳入学校年度预算，保障系统建设、数据治理、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研发和人才培养等工作需求；建立考核激励机制，将数智化建设成效纳入部门绩效考核和教职工评优评先指标，对表现突出的部门和个人给予表彰奖励；加强与高校、企业的合作，引入先进技术和解决方案，借力外部资源推动转型发展。</w:t>
      </w:r>
    </w:p>
    <w:p w14:paraId="510941FF" w14:textId="77777777" w:rsidR="006E469B" w:rsidRDefault="00000000">
      <w:pPr>
        <w:spacing w:before="300" w:after="120" w:line="288" w:lineRule="auto"/>
        <w:jc w:val="left"/>
        <w:outlineLvl w:val="2"/>
      </w:pPr>
      <w:bookmarkStart w:id="21" w:name="heading_21"/>
      <w:r>
        <w:rPr>
          <w:rFonts w:ascii="Arial" w:eastAsia="DengXian" w:hAnsi="Arial" w:cs="Arial"/>
          <w:b/>
          <w:sz w:val="30"/>
        </w:rPr>
        <w:t>（五）健全安全体系，防范转型风险</w:t>
      </w:r>
      <w:bookmarkEnd w:id="21"/>
    </w:p>
    <w:p w14:paraId="6B35AC6D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lastRenderedPageBreak/>
        <w:t>构建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技术</w:t>
      </w:r>
      <w:r>
        <w:rPr>
          <w:rFonts w:ascii="Arial" w:eastAsia="DengXian" w:hAnsi="Arial" w:cs="Arial"/>
          <w:sz w:val="22"/>
        </w:rPr>
        <w:t>+</w:t>
      </w:r>
      <w:r>
        <w:rPr>
          <w:rFonts w:ascii="Arial" w:eastAsia="DengXian" w:hAnsi="Arial" w:cs="Arial"/>
          <w:sz w:val="22"/>
        </w:rPr>
        <w:t>管理</w:t>
      </w:r>
      <w:r>
        <w:rPr>
          <w:rFonts w:ascii="Arial" w:eastAsia="DengXian" w:hAnsi="Arial" w:cs="Arial"/>
          <w:sz w:val="22"/>
        </w:rPr>
        <w:t>+</w:t>
      </w:r>
      <w:r>
        <w:rPr>
          <w:rFonts w:ascii="Arial" w:eastAsia="DengXian" w:hAnsi="Arial" w:cs="Arial"/>
          <w:sz w:val="22"/>
        </w:rPr>
        <w:t>制度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三位一体的数智化安全保障体系，制定数据安全管理办法、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应用伦理规范等制度，明确安全责任边界。加强技术防护设施建设，升级网络安全、数据安全防护系统，定期开展安全漏洞检测和风险评估，防范网络攻击、数据泄露等安全风险。加强对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应用的伦理审查，确保</w:t>
      </w:r>
      <w:r>
        <w:rPr>
          <w:rFonts w:ascii="Arial" w:eastAsia="DengXian" w:hAnsi="Arial" w:cs="Arial"/>
          <w:sz w:val="22"/>
        </w:rPr>
        <w:t>AI</w:t>
      </w:r>
      <w:r>
        <w:rPr>
          <w:rFonts w:ascii="Arial" w:eastAsia="DengXian" w:hAnsi="Arial" w:cs="Arial"/>
          <w:sz w:val="22"/>
        </w:rPr>
        <w:t>技术应用合规、公平、透明，保护师生隐私和合法权益。</w:t>
      </w:r>
    </w:p>
    <w:p w14:paraId="0524B4CE" w14:textId="77777777" w:rsidR="006E469B" w:rsidRDefault="00000000">
      <w:pPr>
        <w:spacing w:before="320" w:after="120" w:line="288" w:lineRule="auto"/>
        <w:jc w:val="left"/>
        <w:outlineLvl w:val="1"/>
      </w:pPr>
      <w:bookmarkStart w:id="22" w:name="heading_22"/>
      <w:r>
        <w:rPr>
          <w:rFonts w:ascii="Arial" w:eastAsia="DengXian" w:hAnsi="Arial" w:cs="Arial"/>
          <w:b/>
          <w:sz w:val="32"/>
        </w:rPr>
        <w:t>五、结语</w:t>
      </w:r>
      <w:bookmarkEnd w:id="22"/>
    </w:p>
    <w:p w14:paraId="6C390931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本次调研全面梳理了学校数智化建设的现状、堵点难点和核心需求，为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十五五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数智化转型专项研究和规划制定提供了坚实支撑。数智化转型是推动学校高质量发展的必然选择，也是一项系统工程，需全校上下协同发力、久久为功。信息处将以此次调研为契机，牵头落实各项优化建议，协同各部门做好顶层设计、夯实基础支撑、深化场景应用，全力推进学校</w:t>
      </w:r>
      <w:r>
        <w:rPr>
          <w:rFonts w:ascii="Arial" w:eastAsia="DengXian" w:hAnsi="Arial" w:cs="Arial"/>
          <w:sz w:val="22"/>
        </w:rPr>
        <w:t>“</w:t>
      </w:r>
      <w:r>
        <w:rPr>
          <w:rFonts w:ascii="Arial" w:eastAsia="DengXian" w:hAnsi="Arial" w:cs="Arial"/>
          <w:sz w:val="22"/>
        </w:rPr>
        <w:t>十五五</w:t>
      </w:r>
      <w:r>
        <w:rPr>
          <w:rFonts w:ascii="Arial" w:eastAsia="DengXian" w:hAnsi="Arial" w:cs="Arial"/>
          <w:sz w:val="22"/>
        </w:rPr>
        <w:t>”</w:t>
      </w:r>
      <w:r>
        <w:rPr>
          <w:rFonts w:ascii="Arial" w:eastAsia="DengXian" w:hAnsi="Arial" w:cs="Arial"/>
          <w:sz w:val="22"/>
        </w:rPr>
        <w:t>数智化转型取得实效，为学校事业发展注入强劲数智动力。</w:t>
      </w:r>
    </w:p>
    <w:p w14:paraId="63228C24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调研单位：学校信息处</w:t>
      </w:r>
    </w:p>
    <w:p w14:paraId="3F673E22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调研日期：</w:t>
      </w:r>
      <w:r>
        <w:rPr>
          <w:rFonts w:ascii="Arial" w:eastAsia="DengXian" w:hAnsi="Arial" w:cs="Arial"/>
          <w:sz w:val="22"/>
        </w:rPr>
        <w:t>XXXX</w:t>
      </w:r>
      <w:r>
        <w:rPr>
          <w:rFonts w:ascii="Arial" w:eastAsia="DengXian" w:hAnsi="Arial" w:cs="Arial"/>
          <w:sz w:val="22"/>
        </w:rPr>
        <w:t>年</w:t>
      </w:r>
      <w:r>
        <w:rPr>
          <w:rFonts w:ascii="Arial" w:eastAsia="DengXian" w:hAnsi="Arial" w:cs="Arial"/>
          <w:sz w:val="22"/>
        </w:rPr>
        <w:t>XX</w:t>
      </w:r>
      <w:r>
        <w:rPr>
          <w:rFonts w:ascii="Arial" w:eastAsia="DengXian" w:hAnsi="Arial" w:cs="Arial"/>
          <w:sz w:val="22"/>
        </w:rPr>
        <w:t>月</w:t>
      </w:r>
      <w:r>
        <w:rPr>
          <w:rFonts w:ascii="Arial" w:eastAsia="DengXian" w:hAnsi="Arial" w:cs="Arial"/>
          <w:sz w:val="22"/>
        </w:rPr>
        <w:t>XX</w:t>
      </w:r>
      <w:r>
        <w:rPr>
          <w:rFonts w:ascii="Arial" w:eastAsia="DengXian" w:hAnsi="Arial" w:cs="Arial"/>
          <w:sz w:val="22"/>
        </w:rPr>
        <w:t>日</w:t>
      </w:r>
    </w:p>
    <w:p w14:paraId="76C77E42" w14:textId="77777777" w:rsidR="006E469B" w:rsidRDefault="00000000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|</w:t>
      </w:r>
      <w:r>
        <w:rPr>
          <w:rFonts w:ascii="Arial" w:eastAsia="DengXian" w:hAnsi="Arial" w:cs="Arial"/>
          <w:sz w:val="22"/>
        </w:rPr>
        <w:t>（注：文档部分内容可能由</w:t>
      </w:r>
      <w:r>
        <w:rPr>
          <w:rFonts w:ascii="Arial" w:eastAsia="DengXian" w:hAnsi="Arial" w:cs="Arial"/>
          <w:sz w:val="22"/>
        </w:rPr>
        <w:t xml:space="preserve"> AI </w:t>
      </w:r>
      <w:r>
        <w:rPr>
          <w:rFonts w:ascii="Arial" w:eastAsia="DengXian" w:hAnsi="Arial" w:cs="Arial"/>
          <w:sz w:val="22"/>
        </w:rPr>
        <w:t>生成</w:t>
      </w:r>
      <w:r>
        <w:rPr>
          <w:rFonts w:ascii="Arial" w:eastAsia="DengXian" w:hAnsi="Arial" w:cs="Arial"/>
          <w:sz w:val="22"/>
        </w:rPr>
        <w:t>)</w:t>
      </w:r>
    </w:p>
    <w:sectPr w:rsidR="006E469B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63107" w14:textId="77777777" w:rsidR="00425366" w:rsidRDefault="00425366">
      <w:pPr>
        <w:spacing w:line="240" w:lineRule="auto"/>
      </w:pPr>
      <w:r>
        <w:separator/>
      </w:r>
    </w:p>
  </w:endnote>
  <w:endnote w:type="continuationSeparator" w:id="0">
    <w:p w14:paraId="3CC7BA1B" w14:textId="77777777" w:rsidR="00425366" w:rsidRDefault="004253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1DDA7" w14:textId="77777777" w:rsidR="006E469B" w:rsidRDefault="006E469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4825" w14:textId="77777777" w:rsidR="00425366" w:rsidRDefault="00425366">
      <w:pPr>
        <w:spacing w:line="240" w:lineRule="auto"/>
      </w:pPr>
      <w:r>
        <w:separator/>
      </w:r>
    </w:p>
  </w:footnote>
  <w:footnote w:type="continuationSeparator" w:id="0">
    <w:p w14:paraId="7E2185F8" w14:textId="77777777" w:rsidR="00425366" w:rsidRDefault="004253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E293B" w14:textId="77777777" w:rsidR="006E469B" w:rsidRDefault="006E469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singleLevel"/>
    <w:tmpl w:val="9239341B"/>
    <w:lvl w:ilvl="0">
      <w:start w:val="2"/>
      <w:numFmt w:val="decimal"/>
      <w:lvlText w:val="%1."/>
      <w:lvlJc w:val="left"/>
      <w:rPr>
        <w:color w:val="3370FF"/>
      </w:rPr>
    </w:lvl>
  </w:abstractNum>
  <w:abstractNum w:abstractNumId="1" w15:restartNumberingAfterBreak="0">
    <w:nsid w:val="B5E306ED"/>
    <w:multiLevelType w:val="singleLevel"/>
    <w:tmpl w:val="B5E306ED"/>
    <w:lvl w:ilvl="0">
      <w:start w:val="3"/>
      <w:numFmt w:val="decimal"/>
      <w:lvlText w:val="%1."/>
      <w:lvlJc w:val="left"/>
      <w:rPr>
        <w:color w:val="3370FF"/>
      </w:rPr>
    </w:lvl>
  </w:abstractNum>
  <w:abstractNum w:abstractNumId="2" w15:restartNumberingAfterBreak="0">
    <w:nsid w:val="BF205925"/>
    <w:multiLevelType w:val="singleLevel"/>
    <w:tmpl w:val="BF205925"/>
    <w:lvl w:ilvl="0">
      <w:start w:val="2"/>
      <w:numFmt w:val="decimal"/>
      <w:lvlText w:val="%1."/>
      <w:lvlJc w:val="left"/>
      <w:rPr>
        <w:color w:val="3370FF"/>
      </w:rPr>
    </w:lvl>
  </w:abstractNum>
  <w:abstractNum w:abstractNumId="3" w15:restartNumberingAfterBreak="0">
    <w:nsid w:val="CF092B84"/>
    <w:multiLevelType w:val="singleLevel"/>
    <w:tmpl w:val="CF092B84"/>
    <w:lvl w:ilvl="0">
      <w:start w:val="2"/>
      <w:numFmt w:val="decimal"/>
      <w:lvlText w:val="%1."/>
      <w:lvlJc w:val="left"/>
      <w:rPr>
        <w:color w:val="3370FF"/>
      </w:rPr>
    </w:lvl>
  </w:abstractNum>
  <w:abstractNum w:abstractNumId="4" w15:restartNumberingAfterBreak="0">
    <w:nsid w:val="0053208E"/>
    <w:multiLevelType w:val="singleLevel"/>
    <w:tmpl w:val="0053208E"/>
    <w:lvl w:ilvl="0">
      <w:start w:val="1"/>
      <w:numFmt w:val="decimal"/>
      <w:lvlText w:val="%1."/>
      <w:lvlJc w:val="left"/>
      <w:rPr>
        <w:color w:val="3370FF"/>
      </w:rPr>
    </w:lvl>
  </w:abstractNum>
  <w:abstractNum w:abstractNumId="5" w15:restartNumberingAfterBreak="0">
    <w:nsid w:val="0248C179"/>
    <w:multiLevelType w:val="singleLevel"/>
    <w:tmpl w:val="0248C179"/>
    <w:lvl w:ilvl="0">
      <w:start w:val="1"/>
      <w:numFmt w:val="decimal"/>
      <w:lvlText w:val="%1."/>
      <w:lvlJc w:val="left"/>
      <w:rPr>
        <w:color w:val="3370FF"/>
      </w:rPr>
    </w:lvl>
  </w:abstractNum>
  <w:abstractNum w:abstractNumId="6" w15:restartNumberingAfterBreak="0">
    <w:nsid w:val="03D62ECE"/>
    <w:multiLevelType w:val="singleLevel"/>
    <w:tmpl w:val="03D62ECE"/>
    <w:lvl w:ilvl="0">
      <w:start w:val="1"/>
      <w:numFmt w:val="decimal"/>
      <w:lvlText w:val="%1."/>
      <w:lvlJc w:val="left"/>
      <w:rPr>
        <w:color w:val="3370FF"/>
      </w:rPr>
    </w:lvl>
  </w:abstractNum>
  <w:abstractNum w:abstractNumId="7" w15:restartNumberingAfterBreak="0">
    <w:nsid w:val="25B654F3"/>
    <w:multiLevelType w:val="singleLevel"/>
    <w:tmpl w:val="25B654F3"/>
    <w:lvl w:ilvl="0">
      <w:start w:val="2"/>
      <w:numFmt w:val="decimal"/>
      <w:lvlText w:val="%1."/>
      <w:lvlJc w:val="left"/>
      <w:rPr>
        <w:color w:val="3370FF"/>
      </w:rPr>
    </w:lvl>
  </w:abstractNum>
  <w:abstractNum w:abstractNumId="8" w15:restartNumberingAfterBreak="0">
    <w:nsid w:val="2A8F537B"/>
    <w:multiLevelType w:val="singleLevel"/>
    <w:tmpl w:val="2A8F537B"/>
    <w:lvl w:ilvl="0">
      <w:start w:val="3"/>
      <w:numFmt w:val="decimal"/>
      <w:lvlText w:val="%1."/>
      <w:lvlJc w:val="left"/>
      <w:rPr>
        <w:color w:val="3370FF"/>
      </w:rPr>
    </w:lvl>
  </w:abstractNum>
  <w:abstractNum w:abstractNumId="9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rPr>
        <w:color w:val="3370FF"/>
      </w:rPr>
    </w:lvl>
  </w:abstractNum>
  <w:abstractNum w:abstractNumId="10" w15:restartNumberingAfterBreak="0">
    <w:nsid w:val="72183CF9"/>
    <w:multiLevelType w:val="singleLevel"/>
    <w:tmpl w:val="72183CF9"/>
    <w:lvl w:ilvl="0">
      <w:start w:val="3"/>
      <w:numFmt w:val="decimal"/>
      <w:lvlText w:val="%1."/>
      <w:lvlJc w:val="left"/>
      <w:rPr>
        <w:color w:val="3370FF"/>
      </w:rPr>
    </w:lvl>
  </w:abstractNum>
  <w:num w:numId="1" w16cid:durableId="467404496">
    <w:abstractNumId w:val="4"/>
  </w:num>
  <w:num w:numId="2" w16cid:durableId="1534609111">
    <w:abstractNumId w:val="3"/>
  </w:num>
  <w:num w:numId="3" w16cid:durableId="1522548038">
    <w:abstractNumId w:val="9"/>
  </w:num>
  <w:num w:numId="4" w16cid:durableId="1807894468">
    <w:abstractNumId w:val="2"/>
  </w:num>
  <w:num w:numId="5" w16cid:durableId="1404765533">
    <w:abstractNumId w:val="1"/>
  </w:num>
  <w:num w:numId="6" w16cid:durableId="1481724782">
    <w:abstractNumId w:val="6"/>
  </w:num>
  <w:num w:numId="7" w16cid:durableId="587353627">
    <w:abstractNumId w:val="7"/>
  </w:num>
  <w:num w:numId="8" w16cid:durableId="847061812">
    <w:abstractNumId w:val="10"/>
  </w:num>
  <w:num w:numId="9" w16cid:durableId="28334665">
    <w:abstractNumId w:val="5"/>
  </w:num>
  <w:num w:numId="10" w16cid:durableId="1159006840">
    <w:abstractNumId w:val="0"/>
  </w:num>
  <w:num w:numId="11" w16cid:durableId="153121490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bordersDoNotSurroundHeader/>
  <w:bordersDoNotSurroundFooter/>
  <w:hideSpellingErrors/>
  <w:hideGrammaticalErrors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69B"/>
    <w:rsid w:val="00425366"/>
    <w:rsid w:val="006E469B"/>
    <w:rsid w:val="00A576D2"/>
    <w:rsid w:val="00FE4473"/>
    <w:rsid w:val="4D5B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51EC9"/>
  <w15:docId w15:val="{1A51F565-BABD-D749-B9CF-7819EE523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771</Words>
  <Characters>4398</Characters>
  <Application>Microsoft Office Word</Application>
  <DocSecurity>0</DocSecurity>
  <Lines>36</Lines>
  <Paragraphs>10</Paragraphs>
  <ScaleCrop>false</ScaleCrop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Austin Login</cp:lastModifiedBy>
  <cp:revision>2</cp:revision>
  <dcterms:created xsi:type="dcterms:W3CDTF">2026-01-24T16:26:00Z</dcterms:created>
  <dcterms:modified xsi:type="dcterms:W3CDTF">2026-01-24T16:26:00Z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22E7CF43C8C24C87882873FDA2DC4BA5_13</vt:lpwstr>
  </property>
</Properties>
</file>