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4834F3C1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447DEF">
        <w:rPr>
          <w:rFonts w:ascii="Arial" w:hAnsi="Arial" w:cs="Arial"/>
          <w:sz w:val="28"/>
          <w:bdr w:val="none" w:sz="0" w:space="0" w:color="auto" w:frame="1"/>
        </w:rPr>
        <w:t>3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TiRon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3577FE42" w:rsidR="00B71D33" w:rsidRPr="00627F31" w:rsidRDefault="00B71D33" w:rsidP="00524DEB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</w:t>
      </w:r>
      <w:r w:rsidR="0018705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character 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 navigating menus</w:t>
      </w:r>
    </w:p>
    <w:p w14:paraId="1B33A436" w14:textId="41B117D6" w:rsidR="00B71D33" w:rsidRPr="00627F31" w:rsidRDefault="00B71D33" w:rsidP="00524DEB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524DEB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524DEB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524DEB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524DEB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524DEB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524DEB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524DE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524DEB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C2CAEC9" w:rsidR="004352AB" w:rsidRDefault="001C7F3E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Performance: can load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scenes in 1 second. Should have negligible input lag (action should </w:t>
      </w:r>
      <w:r w:rsidR="00FA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execute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within 0.25 seconds of player entering input).</w:t>
      </w:r>
    </w:p>
    <w:p w14:paraId="5DD10BBC" w14:textId="55B0703B" w:rsidR="006D3FE0" w:rsidRDefault="006D3FE0">
      <w:pPr>
        <w:rPr>
          <w:rFonts w:ascii="Lucida Grande" w:hAnsi="Lucida Grande" w:cs="Lucida Grande"/>
          <w:color w:val="000000"/>
        </w:rPr>
      </w:pPr>
    </w:p>
    <w:p w14:paraId="5DEB66E3" w14:textId="77777777" w:rsidR="006D3FE0" w:rsidRPr="0007242D" w:rsidRDefault="006D3FE0" w:rsidP="00436C76">
      <w:pPr>
        <w:shd w:val="clear" w:color="auto" w:fill="FFFFFF"/>
        <w:rPr>
          <w:rFonts w:ascii="Lucida Grande" w:hAnsi="Lucida Grande" w:cs="Lucida Grande"/>
          <w:color w:val="000000"/>
        </w:rPr>
      </w:pPr>
    </w:p>
    <w:p w14:paraId="477F3E50" w14:textId="1E018268" w:rsidR="006D3FE0" w:rsidRPr="009B6658" w:rsidRDefault="000E2FED" w:rsidP="009B665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6FD89E57" w14:textId="77777777" w:rsidR="00524DEB" w:rsidRDefault="00524DEB" w:rsidP="00524DEB">
      <w:r>
        <w:rPr>
          <w:noProof/>
        </w:rPr>
        <w:drawing>
          <wp:inline distT="0" distB="0" distL="0" distR="0" wp14:anchorId="3E1EFB6C" wp14:editId="45A0372D">
            <wp:extent cx="5943600" cy="35280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623E" w14:textId="77777777" w:rsidR="00524DEB" w:rsidRDefault="00524DEB" w:rsidP="00524DEB"/>
    <w:p w14:paraId="6EA8E16D" w14:textId="77777777" w:rsidR="00524DEB" w:rsidRDefault="00524DEB" w:rsidP="00524DEB">
      <w:pPr>
        <w:spacing w:line="276" w:lineRule="auto"/>
        <w:ind w:right="20"/>
        <w:rPr>
          <w:rFonts w:eastAsia="Arial"/>
        </w:rPr>
      </w:pPr>
    </w:p>
    <w:tbl>
      <w:tblPr>
        <w:tblStyle w:val="PlainTable51"/>
        <w:tblW w:w="9017" w:type="dxa"/>
        <w:jc w:val="center"/>
        <w:tblInd w:w="0" w:type="dxa"/>
        <w:tblLook w:val="04A0" w:firstRow="1" w:lastRow="0" w:firstColumn="1" w:lastColumn="0" w:noHBand="0" w:noVBand="1"/>
      </w:tblPr>
      <w:tblGrid>
        <w:gridCol w:w="1676"/>
        <w:gridCol w:w="7341"/>
      </w:tblGrid>
      <w:tr w:rsidR="00524DEB" w14:paraId="3DF941E0" w14:textId="77777777" w:rsidTr="00C01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FDD0AEE" w14:textId="77777777" w:rsidR="00524DEB" w:rsidRDefault="00524DEB" w:rsidP="00C01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UML Use Case Specification</w:t>
            </w:r>
          </w:p>
        </w:tc>
      </w:tr>
      <w:tr w:rsidR="00524DEB" w14:paraId="1D216DB9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E60FA0E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Unique Name</w:t>
            </w:r>
          </w:p>
        </w:tc>
        <w:tc>
          <w:tcPr>
            <w:tcW w:w="731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65B019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Game</w:t>
            </w:r>
          </w:p>
        </w:tc>
      </w:tr>
      <w:tr w:rsidR="00524DEB" w14:paraId="581B8E9B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67B265A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731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5D7B23DC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Describes how a user will play the game</w:t>
            </w:r>
          </w:p>
        </w:tc>
      </w:tr>
      <w:tr w:rsidR="00524DEB" w14:paraId="6F88AF39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43AA86D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5C2873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524DEB" w14:paraId="17463F36" w14:textId="77777777" w:rsidTr="00C01991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9B709AD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FB2850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player’s device meets all the software requirements.</w:t>
            </w:r>
          </w:p>
        </w:tc>
      </w:tr>
      <w:tr w:rsidR="00524DEB" w14:paraId="5DFE087D" w14:textId="77777777" w:rsidTr="00C01991">
        <w:trPr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CF3AC4B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25A37F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is successfully exited, and user is returned to desktop.</w:t>
            </w:r>
          </w:p>
        </w:tc>
      </w:tr>
      <w:tr w:rsidR="00524DEB" w14:paraId="2379ED1E" w14:textId="77777777" w:rsidTr="00C01991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75989CF1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Flow of Events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7AC9BB37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hit the “play” button on the main menu</w:t>
            </w:r>
          </w:p>
          <w:p w14:paraId="28201BF3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player will navigate the map </w:t>
            </w:r>
          </w:p>
          <w:p w14:paraId="72DD1390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interact with the baby dinosaur</w:t>
            </w:r>
          </w:p>
          <w:p w14:paraId="264476CC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continue to navigate the rest of the map</w:t>
            </w:r>
          </w:p>
          <w:p w14:paraId="2B8E30C6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player will enter combat with the triceratops </w:t>
            </w:r>
          </w:p>
          <w:p w14:paraId="08F1EC68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map</w:t>
            </w:r>
          </w:p>
          <w:p w14:paraId="44070867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enter combat with the pterodactyl</w:t>
            </w:r>
          </w:p>
          <w:p w14:paraId="5CDA4137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map</w:t>
            </w:r>
          </w:p>
          <w:p w14:paraId="3C04C71A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player will enter combat with the tyrannosaurus rex </w:t>
            </w:r>
          </w:p>
          <w:p w14:paraId="1E570E68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player will navigate the map</w:t>
            </w:r>
          </w:p>
          <w:p w14:paraId="0CD07D15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enter the cave</w:t>
            </w:r>
          </w:p>
          <w:p w14:paraId="355B452D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cave</w:t>
            </w:r>
          </w:p>
          <w:p w14:paraId="0979B22F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interact with all levers in the cave</w:t>
            </w:r>
          </w:p>
          <w:p w14:paraId="1CB55898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cave</w:t>
            </w:r>
          </w:p>
          <w:p w14:paraId="74147670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enter the maze</w:t>
            </w:r>
          </w:p>
          <w:p w14:paraId="5010A1DE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maze</w:t>
            </w:r>
          </w:p>
          <w:p w14:paraId="291EB32B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find the toolbox</w:t>
            </w:r>
          </w:p>
          <w:p w14:paraId="19CC3338" w14:textId="77777777" w:rsidR="00524DEB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win the game</w:t>
            </w:r>
          </w:p>
          <w:p w14:paraId="49D5A078" w14:textId="77777777" w:rsidR="00524DEB" w:rsidRPr="00261D93" w:rsidRDefault="00524DEB" w:rsidP="00524DE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end the game</w:t>
            </w:r>
          </w:p>
        </w:tc>
      </w:tr>
      <w:tr w:rsidR="00524DEB" w14:paraId="52D1DEF1" w14:textId="77777777" w:rsidTr="00C01991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178A635B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33124A2A" w14:textId="77777777" w:rsidR="00524DEB" w:rsidRDefault="00524DEB" w:rsidP="00524D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coins in step 16</w:t>
            </w:r>
          </w:p>
          <w:p w14:paraId="5FB3F842" w14:textId="77777777" w:rsidR="00524DEB" w:rsidRDefault="00524DEB" w:rsidP="00524DEB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collect coins as they navigate the maze</w:t>
            </w:r>
          </w:p>
          <w:p w14:paraId="1647F55D" w14:textId="77777777" w:rsidR="00524DEB" w:rsidRDefault="00524DEB" w:rsidP="00524DEB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then continues to step 17.</w:t>
            </w:r>
          </w:p>
          <w:p w14:paraId="619CAE26" w14:textId="77777777" w:rsidR="00524DEB" w:rsidRPr="00135433" w:rsidRDefault="00524DEB" w:rsidP="00C0199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EB" w14:paraId="341C6B1B" w14:textId="77777777" w:rsidTr="00C01991">
        <w:trPr>
          <w:trHeight w:val="8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862960C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731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592323AC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145BAAF" w14:textId="77777777" w:rsidR="00524DEB" w:rsidRDefault="00524DEB" w:rsidP="00524DEB">
      <w:pPr>
        <w:spacing w:line="276" w:lineRule="auto"/>
        <w:ind w:right="20"/>
        <w:rPr>
          <w:rFonts w:eastAsia="Arial"/>
          <w:b/>
          <w:u w:val="single"/>
        </w:rPr>
      </w:pPr>
    </w:p>
    <w:p w14:paraId="2B17972E" w14:textId="77777777" w:rsidR="00524DEB" w:rsidRDefault="00524DEB" w:rsidP="00524DEB">
      <w:pPr>
        <w:spacing w:line="276" w:lineRule="auto"/>
        <w:ind w:right="20"/>
        <w:rPr>
          <w:rFonts w:eastAsia="Arial"/>
        </w:rPr>
      </w:pPr>
    </w:p>
    <w:tbl>
      <w:tblPr>
        <w:tblStyle w:val="PlainTable51"/>
        <w:tblW w:w="9017" w:type="dxa"/>
        <w:jc w:val="center"/>
        <w:tblInd w:w="0" w:type="dxa"/>
        <w:tblLook w:val="04A0" w:firstRow="1" w:lastRow="0" w:firstColumn="1" w:lastColumn="0" w:noHBand="0" w:noVBand="1"/>
      </w:tblPr>
      <w:tblGrid>
        <w:gridCol w:w="1676"/>
        <w:gridCol w:w="7341"/>
      </w:tblGrid>
      <w:tr w:rsidR="00524DEB" w14:paraId="445817E0" w14:textId="77777777" w:rsidTr="00C01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0F7DC0" w14:textId="77777777" w:rsidR="00524DEB" w:rsidRDefault="00524DEB" w:rsidP="00C01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UML Use Case Specification</w:t>
            </w:r>
          </w:p>
        </w:tc>
      </w:tr>
      <w:tr w:rsidR="00524DEB" w14:paraId="3BE047EB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298C026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Unique Name</w:t>
            </w:r>
          </w:p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102821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Controls</w:t>
            </w:r>
          </w:p>
        </w:tc>
      </w:tr>
      <w:tr w:rsidR="00524DEB" w14:paraId="7CD3AAEE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633C941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2BBC9603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Describes how a player will view the controls of the game.</w:t>
            </w:r>
          </w:p>
        </w:tc>
      </w:tr>
      <w:tr w:rsidR="00524DEB" w14:paraId="26BD3B8A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F51755A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0FF880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524DEB" w14:paraId="420D8EE7" w14:textId="77777777" w:rsidTr="00C01991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4A1EC55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F4527F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player’s device meets all the software requirements.</w:t>
            </w:r>
          </w:p>
        </w:tc>
      </w:tr>
      <w:tr w:rsidR="00524DEB" w14:paraId="463158CF" w14:textId="77777777" w:rsidTr="00C01991">
        <w:trPr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D3019AC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55A896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be back at the main menu of the game.</w:t>
            </w:r>
          </w:p>
        </w:tc>
      </w:tr>
      <w:tr w:rsidR="00524DEB" w14:paraId="439C75B1" w14:textId="77777777" w:rsidTr="00C01991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6E28E0A0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Flow of Events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313E5BC1" w14:textId="77777777" w:rsidR="00524DEB" w:rsidRDefault="00524DEB" w:rsidP="00524DE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5433">
              <w:t>The player will click the “how to play” button on the main menu</w:t>
            </w:r>
          </w:p>
          <w:p w14:paraId="4052B7E1" w14:textId="77777777" w:rsidR="00524DEB" w:rsidRDefault="00524DEB" w:rsidP="00524DE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text box with the controls will display on the screen</w:t>
            </w:r>
          </w:p>
          <w:p w14:paraId="4065187E" w14:textId="77777777" w:rsidR="00524DEB" w:rsidRPr="00135433" w:rsidRDefault="00524DEB" w:rsidP="00524DE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click the back button</w:t>
            </w:r>
          </w:p>
          <w:p w14:paraId="016966E1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EB" w14:paraId="49F8A45B" w14:textId="77777777" w:rsidTr="00C01991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645BEABB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3548EEA9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24DEB" w14:paraId="137BFED1" w14:textId="77777777" w:rsidTr="00C01991">
        <w:trPr>
          <w:trHeight w:val="8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2C62487" w14:textId="77777777" w:rsidR="00524DEB" w:rsidRDefault="00524DEB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66743757" w14:textId="77777777" w:rsidR="00524DEB" w:rsidRDefault="00524DEB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6EB5538" w14:textId="77777777" w:rsidR="00524DEB" w:rsidRDefault="00524DEB" w:rsidP="00524DEB">
      <w:pPr>
        <w:spacing w:line="276" w:lineRule="auto"/>
        <w:ind w:right="20"/>
        <w:rPr>
          <w:rFonts w:eastAsia="Arial"/>
          <w:b/>
          <w:u w:val="single"/>
        </w:rPr>
      </w:pPr>
    </w:p>
    <w:p w14:paraId="5D310F26" w14:textId="77777777" w:rsidR="00524DEB" w:rsidRDefault="00524DEB" w:rsidP="00524DEB"/>
    <w:p w14:paraId="7E580231" w14:textId="5FEEEFA9" w:rsidR="003C7512" w:rsidRPr="009B6658" w:rsidRDefault="00CA7680" w:rsidP="009B665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5970DFE3" w14:textId="3C138A13" w:rsidR="009C64F8" w:rsidRDefault="0077638B" w:rsidP="009C64F8">
      <w:pPr>
        <w:pStyle w:val="Heading1"/>
        <w:numPr>
          <w:ilvl w:val="0"/>
          <w:numId w:val="0"/>
        </w:numPr>
        <w:ind w:left="288"/>
      </w:pPr>
      <w:r>
        <w:rPr>
          <w:noProof/>
        </w:rPr>
        <w:drawing>
          <wp:inline distT="0" distB="0" distL="0" distR="0" wp14:anchorId="54A4DE55" wp14:editId="0F46CE10">
            <wp:extent cx="4737100" cy="730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22B" w14:textId="5E437A5A" w:rsidR="009C64F8" w:rsidRPr="009C64F8" w:rsidRDefault="009B6658" w:rsidP="009C64F8">
      <w:r>
        <w:rPr>
          <w:noProof/>
        </w:rPr>
        <w:lastRenderedPageBreak/>
        <w:drawing>
          <wp:inline distT="0" distB="0" distL="0" distR="0" wp14:anchorId="5DB9A5E9" wp14:editId="559D8B44">
            <wp:extent cx="4876800" cy="210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2470" w14:textId="5DE29B68" w:rsidR="00436C76" w:rsidRPr="00C80F39" w:rsidRDefault="00436C76" w:rsidP="00C80F39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416"/>
    <w:multiLevelType w:val="hybridMultilevel"/>
    <w:tmpl w:val="696C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03E1B"/>
    <w:multiLevelType w:val="hybridMultilevel"/>
    <w:tmpl w:val="A000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108E6"/>
    <w:multiLevelType w:val="hybridMultilevel"/>
    <w:tmpl w:val="2962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3sDQzMjA0NzQ1MTdR0lEKTi0uzszPAykwrAUAzeGQDywAAAA="/>
  </w:docVars>
  <w:rsids>
    <w:rsidRoot w:val="00C61132"/>
    <w:rsid w:val="0004036D"/>
    <w:rsid w:val="000515C1"/>
    <w:rsid w:val="000652A7"/>
    <w:rsid w:val="0007242D"/>
    <w:rsid w:val="000A54FB"/>
    <w:rsid w:val="000B1BF3"/>
    <w:rsid w:val="000D4F8B"/>
    <w:rsid w:val="000E2FED"/>
    <w:rsid w:val="000F0BBD"/>
    <w:rsid w:val="00127FFA"/>
    <w:rsid w:val="0014067A"/>
    <w:rsid w:val="001431C3"/>
    <w:rsid w:val="001568E4"/>
    <w:rsid w:val="0017578C"/>
    <w:rsid w:val="00180BC3"/>
    <w:rsid w:val="0018705F"/>
    <w:rsid w:val="001A0F28"/>
    <w:rsid w:val="001C42E4"/>
    <w:rsid w:val="001C7F3E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47DEF"/>
    <w:rsid w:val="004718D3"/>
    <w:rsid w:val="004A010C"/>
    <w:rsid w:val="004A223E"/>
    <w:rsid w:val="004A794E"/>
    <w:rsid w:val="004B38CB"/>
    <w:rsid w:val="004C36B3"/>
    <w:rsid w:val="004C500A"/>
    <w:rsid w:val="004D7591"/>
    <w:rsid w:val="004F551A"/>
    <w:rsid w:val="004F6B2B"/>
    <w:rsid w:val="00503B6C"/>
    <w:rsid w:val="00524DEB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418DA"/>
    <w:rsid w:val="00650780"/>
    <w:rsid w:val="00654B42"/>
    <w:rsid w:val="00691AFD"/>
    <w:rsid w:val="006B045A"/>
    <w:rsid w:val="006D3FE0"/>
    <w:rsid w:val="006D62DA"/>
    <w:rsid w:val="006E30FB"/>
    <w:rsid w:val="006E6A0C"/>
    <w:rsid w:val="007128BB"/>
    <w:rsid w:val="00726A3F"/>
    <w:rsid w:val="00727DE4"/>
    <w:rsid w:val="0073120A"/>
    <w:rsid w:val="00737860"/>
    <w:rsid w:val="007408E9"/>
    <w:rsid w:val="007465BB"/>
    <w:rsid w:val="0077638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B6658"/>
    <w:rsid w:val="009C64F8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1980"/>
    <w:rsid w:val="00F83805"/>
    <w:rsid w:val="00F9724E"/>
    <w:rsid w:val="00FA643A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table" w:customStyle="1" w:styleId="PlainTable51">
    <w:name w:val="Plain Table 51"/>
    <w:basedOn w:val="TableNormal"/>
    <w:uiPriority w:val="45"/>
    <w:rsid w:val="00524DEB"/>
    <w:rPr>
      <w:rFonts w:eastAsiaTheme="minorHAnsi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TiRon</cp:lastModifiedBy>
  <cp:revision>126</cp:revision>
  <dcterms:created xsi:type="dcterms:W3CDTF">2017-11-03T01:02:00Z</dcterms:created>
  <dcterms:modified xsi:type="dcterms:W3CDTF">2020-12-07T04:40:00Z</dcterms:modified>
</cp:coreProperties>
</file>