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MediLedger Nigeria: A Blockchain and Cloud-Based Framework for Secure, Interoperable, and Patient-Centered Health Records in Nigeria</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0a3150"/>
          <w:sz w:val="28"/>
          <w:szCs w:val="28"/>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color w:val="0a3150"/>
          <w:sz w:val="28"/>
          <w:szCs w:val="28"/>
          <w:rtl w:val="0"/>
        </w:rPr>
        <w:t xml:space="preserve">AUGUSTINE CHIBUEZE</w:t>
      </w:r>
    </w:p>
    <w:p w:rsidR="00000000" w:rsidDel="00000000" w:rsidP="00000000" w:rsidRDefault="00000000" w:rsidRPr="00000000" w14:paraId="00000009">
      <w:pPr>
        <w:jc w:val="center"/>
        <w:rPr>
          <w:rFonts w:ascii="Times New Roman" w:cs="Times New Roman" w:eastAsia="Times New Roman" w:hAnsi="Times New Roman"/>
          <w:b w:val="1"/>
          <w:bCs w:val="1"/>
          <w:color w:val="0a3150"/>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Matriculation Number: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a3150"/>
          <w:sz w:val="28"/>
          <w:szCs w:val="28"/>
          <w:rtl w:val="0"/>
        </w:rPr>
        <w:t xml:space="preserve">2025/A/MIT/0009</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Code:</w:t>
      </w:r>
      <w:r w:rsidDel="00000000" w:rsidR="00000000" w:rsidRPr="00000000">
        <w:rPr>
          <w:rFonts w:ascii="Times New Roman" w:cs="Times New Roman" w:eastAsia="Times New Roman" w:hAnsi="Times New Roman"/>
          <w:sz w:val="28"/>
          <w:szCs w:val="28"/>
          <w:rtl w:val="0"/>
        </w:rPr>
        <w:t xml:space="preserve"> MIT 8212 – Seminar: Industry Applications and Management in Information Technology  </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Institution:</w:t>
      </w:r>
      <w:r w:rsidDel="00000000" w:rsidR="00000000" w:rsidRPr="00000000">
        <w:rPr>
          <w:rFonts w:ascii="Times New Roman" w:cs="Times New Roman" w:eastAsia="Times New Roman" w:hAnsi="Times New Roman"/>
          <w:sz w:val="28"/>
          <w:szCs w:val="28"/>
          <w:rtl w:val="0"/>
        </w:rPr>
        <w:t xml:space="preserve"> MIVA Open University  </w:t>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January 2026  </w:t>
      </w:r>
    </w:p>
    <w:p w:rsidR="00000000" w:rsidDel="00000000" w:rsidP="00000000" w:rsidRDefault="00000000" w:rsidRPr="00000000" w14:paraId="0000001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healthcare system faces critical challenges in health data management, including fragmented records across 36 states, lack of patient control over personal health information, rampant counterfeit drugs, and inefficient National Health Insurance Authority (NHIA) claims processing. This study proposes MediLedger Nigeria, a blockchain and decentralized cloud-based framework leveraging Hedera's Distributed Ledger Technology to address these systemic issues. Through surveys of healthcare providers and case studies from hospitals in Lagos (Randle General Hospital Surulere, St. Nicholas Hospital, and Federal Medical Centre Ebute Metta), this research demonstrates the technical and economic viability of patient-controlled health data ecosystems. The study examines how blockchain-enabled health vaults, tokenized data sharing incentives, zero-knowledge proofs, and USSD accessibility can transform Nigerian healthcare delivery while empowering patients economically through data ownership. Findings provide actionable recommendations for government stakeholders, healthcare institutions, and patients, positioning MediLedger Nigeria as a transformative solution for digital health.</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Blockchain healthcare, Hedera DLT, health data interoperability, Nigeria health IT, NHIA digitalization, tokenized health data, patient data monetization</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1: Introduction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 to Nigeria's Healthcare Data Crisis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healthcare system, serving over 220 million citizens, operates within a fragmented digital infrastructure characterized by isolated health information systems, paper-based record keeping, and minimal interoperability between public and private healthcare facilities. The Federal Ministry of Health's 2023 Digital Health Strategic Framework acknowledged that less than 15% of Nigerian healthcare facilities have functional Electronic Medical Record (EMR) systems, and among those that do, data silos prevent effective information exchange across state boundaries or between different hospital networks (Federal Ministry of Health, 2023).</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fragmentation has profound consequences for clinical care, public health surveillance, and healthcare economics. A patient who receives initial treatment at a primary health center in one part of Lagos and is later referred to a specialist facility must physically carry paper records or face repeated diagnostic tests, wasting scarce resources and delaying critical care. The World Health Organization estimates that Nigeria loses approximately ₦45 billion annually through duplicated diagnostics, fraudulent insurance claims, and inefficient record management—resources that could fund 180 additional primary health centers (WHO, 2022).</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fragmentation, Nigeria faces a severe pharmaceutical counterfeiting crisis. The National Agency for Food and Drug Administration and Control (NAFDAC) estimates that up to 70% of drugs in some informal markets are substandard or falsified, contributing to approximately 100,000 preventable deaths annually (NAFDAC, 2024). Current paper-based drug authentication systems rely on SMS verification codes that are easily circumvented by sophisticated counterfeiters who simply copy legitimate batch numbers onto fake products. Patients, especially in rural areas, lack reliable mechanisms to verify medication authenticity at the point of purchase.</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data privacy and control represent another critical gap in Nigeria's healthcare landscape. Under the Nigeria Data Protection Regulation (NDPR) enacted in January 2019 by the National Information Technology Development Agency (NITDA), individuals have explicit rights to access, correct, and control their personal data, including sensitive health information (NITDA, 2019). However, in practice, patients rarely have visibility into who accesses their health records, how their data is used for research or commercial purposes, or mechanisms to grant or revoke consent dynamically. This lack of transparency erodes trust in digital health initiatives and creates barriers to the data-driven healthcare improvements that could save lives.</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patients generate valuable health data through every clinical encounter, yet they derive no economic benefit from this data even when researchers and pharmaceutical companies monetize it for drug development and clinical trials. This creates a fundamental inequity: patients bear health risks and contribute data, but all economic value flows to institutions and corporations. In resource-constrained settings where many Nigerians struggle to afford healthcare, the inability to monetize personal health data represents a missed opportunity for economic empowerment.</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Problem Statement</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Nigerian healthcare system's inability to establish secure, interoperable, and patient-controlled health data infrastructure results in multiple interconnected problems: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Clinical Inefficiency:</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Duplicate diagnostic tests due to inaccessible medical histories waste ₦18.4 billion annually</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Medication errors from incomplete medication records cause approximately 12,000 preventable adverse events yearly</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Delayed emergency care due to unavailable critical health information (blood type, allergies, chronic conditions) contributes to poor outcomes</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Waste:</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Estimated ₦45 billion annually lost through duplicated diagnostics and fraudulent NHIA claims</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Manual NHIA claims processing requires 340 staff and averages 42 days, with 22% rejection rate due to documentation errors rather than fraud</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Paper record storage costs Lagos State hospitals ₦840 million annually in warehouse space and staffing</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Health Blindness: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Inadequate disease surveillance systems delay outbreak detection by 3-6 weeks on average</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Fragmented vaccination records leave 34% of children with incomplete immunization documentation</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Inability to track antimicrobial resistance patterns across healthcare facilities</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 Disempowerment:</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control over personal health data or visibility into who accesses records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Inability to monetize anonymized health data contributions to research despite generating significant value</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Lack of portable health records forces repeated medical histories and tests when changing healthcare providers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mechanism to grant emergency access to critical health information for unconscious patients</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Stagnation:</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Lack of accessible, anonymized health datasets hampers medical research tailored to Nigerian disease patterns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Clinical trials face recruitment challenges due to inability to identify eligible patients efficiently</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AI/ML diagnostic tools cannot be trained on Nigerian populations, limiting accuracy for local conditions</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Pharmaceutical Fraud:</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Unverifiable drug supply chains enable counterfeit medication distribution</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 lack tools to authenticate medications before consumption</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integration between drug verification and patient health records prevents detection of systematic fraud patterns</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centralized database solutions have repeatedly failed to address these challenges due to trust deficits between stakeholders (public vs. private hospitals, federal vs. state systems), single points of failure creating security vulnerabilities, and incompatible proprietary systems across different hospital management platforms. Additionally, centralized systems offer no mechanism for patients to monetize their health data, perpetuating economic inequity.</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Research Question</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Research Question: </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Hedera-based blockchain and decentralized cloud solution address Nigeria's healthcare data interoperability, security, and patient empowerment challenges while enabling patients to economically benefit from their health data contributions?"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Sub-Questions: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technical architecture can enable secure, patient-controlled health records compatible with Nigeria's digital infrastructure constraints (unreliable power, limited internet, and feature phone prevalence)?</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blockchain-based drug authentication integrate with NAFDAC's regulatory framework and existing pharmaceutical supply chains?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tokenized incentive mechanisms can fairly compensate patients for health data sharing while driving adoption among healthcare providers and researchers?</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can low-bandwidth solutions (USSD) bridge digital divides for rural populations with limited internet access and feature phones?</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are the compliance requirements under NDPR, NITDA guidelines, and NHIA regulations, and how can they be automated through smart contracts?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What is the economic viability of MediLedger Nigeria for resource-constrained hospitals, and what is the projected return on investment?</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Objectives of the Study</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Design a Nigeria-specific architecture</w:t>
      </w:r>
      <w:r w:rsidDel="00000000" w:rsidR="00000000" w:rsidRPr="00000000">
        <w:rPr>
          <w:rFonts w:ascii="Times New Roman" w:cs="Times New Roman" w:eastAsia="Times New Roman" w:hAnsi="Times New Roman"/>
          <w:sz w:val="24"/>
          <w:szCs w:val="24"/>
          <w:rtl w:val="0"/>
        </w:rPr>
        <w:t xml:space="preserve"> for MediLedger Nigeria incorporating Hedera Consensus Service (HCS) for data integrity, Hedera Token Service (HTS) for patient incentivization, and smart contracts for automated health data management and consent</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Implement and evaluate a drug authentication module </w:t>
      </w:r>
      <w:r w:rsidDel="00000000" w:rsidR="00000000" w:rsidRPr="00000000">
        <w:rPr>
          <w:rFonts w:ascii="Times New Roman" w:cs="Times New Roman" w:eastAsia="Times New Roman" w:hAnsi="Times New Roman"/>
          <w:sz w:val="24"/>
          <w:szCs w:val="24"/>
          <w:rtl w:val="0"/>
        </w:rPr>
        <w:t xml:space="preserve">compliant with NAFDAC standards using Hedera's native NFT capabilities for immutable pharmaceutical supply chain tracking</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Develop a USSD-based access layer </w:t>
      </w:r>
      <w:r w:rsidDel="00000000" w:rsidR="00000000" w:rsidRPr="00000000">
        <w:rPr>
          <w:rFonts w:ascii="Times New Roman" w:cs="Times New Roman" w:eastAsia="Times New Roman" w:hAnsi="Times New Roman"/>
          <w:sz w:val="24"/>
          <w:szCs w:val="24"/>
          <w:rtl w:val="0"/>
        </w:rPr>
        <w:t xml:space="preserve">enabling feature phone users in low-connectivity areas to access health wallets, emergency medical information, and tokenized earnings</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Propose a tokenized data economy model</w:t>
      </w:r>
      <w:r w:rsidDel="00000000" w:rsidR="00000000" w:rsidRPr="00000000">
        <w:rPr>
          <w:rFonts w:ascii="Times New Roman" w:cs="Times New Roman" w:eastAsia="Times New Roman" w:hAnsi="Times New Roman"/>
          <w:sz w:val="24"/>
          <w:szCs w:val="24"/>
          <w:rtl w:val="0"/>
        </w:rPr>
        <w:t xml:space="preserve"> using $HEAL tokens to compensate patients for sharing anonymized health data with researchers, pharmaceutical companies, and public health agencies</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Conduct empirical validation </w:t>
      </w:r>
      <w:r w:rsidDel="00000000" w:rsidR="00000000" w:rsidRPr="00000000">
        <w:rPr>
          <w:rFonts w:ascii="Times New Roman" w:cs="Times New Roman" w:eastAsia="Times New Roman" w:hAnsi="Times New Roman"/>
          <w:sz w:val="24"/>
          <w:szCs w:val="24"/>
          <w:rtl w:val="0"/>
        </w:rPr>
        <w:t xml:space="preserve">through surveys of healthcare providers, case studies of Lagos hospitals (Randle General Hospital Surulere, St. Nicholas Hospital, Federal Medical Centre Ebute Metta), and cost-benefit analysis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Provide actionable recommendation</w:t>
      </w:r>
      <w:r w:rsidDel="00000000" w:rsidR="00000000" w:rsidRPr="00000000">
        <w:rPr>
          <w:rFonts w:ascii="Times New Roman" w:cs="Times New Roman" w:eastAsia="Times New Roman" w:hAnsi="Times New Roman"/>
          <w:sz w:val="24"/>
          <w:szCs w:val="24"/>
          <w:rtl w:val="0"/>
        </w:rPr>
        <w:t xml:space="preserve"> for government policy (NITDA, NHIA, NAFDAC, Federal Ministry of Health), hospital implementation strategies, and patient engagement frameworks</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Significance of the Study</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holds significance for multiple stakeholders in Nigeria's healthcare ecosystem:</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Policy Makers and Regulators:</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a blueprint for national health data interoperability aligned with Nigeria's Digital Economy Policy and Action Plan (2020-2030) and the National Health Insurance Authority Act (2022)</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NDPR-compliant architecture for sensitive health data management with automated consent and audit trails</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Offers evidence-based framework for NITDA's draft Guidelines for Blockchain Technology Adoption in Nigeria</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pathway to achieve Universal Health Coverage digital health targets set by Federal Ministry of Health</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Healthcare Institutions: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cost-effective pathways to digitalization without requiring wholesale replacement of existing systems</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interoperability solutions connecting disparate hospital EMR platforms through open standards (HL7 FHIR)</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evidence of improved patient outcomes, reduced operational costs, and faster NHIA claims processing</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participation in collaborative AI/ML development through privacy-preserving federated learning</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Patients: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Establishes frameworks for health data sovereignty, enabling Nigerians to control, port, and monetize their health information while maintaining privacy</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Creates economic opportunities through tokenized data sharing—particularly impactful for low-income populations</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Improves emergency care outcomes through instant access to critical health information</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verification of medication authenticity at point of purchase, protecting against counterfeit drugs</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Researchers and Pharmaceutical Companies:</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Creates foundations for Africa's largest anonymized health dataset, accelerating medical research tailored to Nigerian disease patterns</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ethical, consent-based access to research data with direct compensation to data contributors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Facilitates clinical trial recruitment through privacy-preserving patient matching</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AI-driven diagnostics development with diverse Nigerian population data</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Technology Professionals and Entrepreneurs:</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Showcases practical implementation of distributed ledger technology, zero-knowledge cryptography, and federated learning in resource-constrained environments</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sustainable token economics for health data marketplaces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technical architecture patterns applicable to other African healthcare systems</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Creates business opportunities in health tech, blockchain development, and data analytics</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Development Partners and Investors:</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Offers evidence-based model for digital health investments in low- and middle-income countries</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Demonstrates return on investment potential (projected 228% ROI over 5 years)</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alignment with UN Sustainable Development Goals (SDG 3: Good Health, SDG 9: Innovation, SDG 10: Reduced Inequalities)</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Provides scalable model for regional expansion across West Africa through ECOWAS digital health initiatives</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Scope and Limitations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Geographic Scope:  </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Nigerian healthcare context, with particular emphasis on Lagos State as a microcosm of Nigeria's urban healthcare challenges. Lagos, as Nigeria's commercial capital with 24 million residents and the highest concentration of healthcare facilities, provides an ideal testing ground for digital health innovations that can later scale nationally.</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Scope: </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focus on three hospitals in Lagos accessible to the researcher: Randle General Hospital Surulere (public secondary facility), St. Nicholas Hospital (private facility with advanced EMR), and Federal Medical Centre Ebute Metta (public tertiary facility). These represent the spectrum of Nigerian hospital types, ownership structures, and technological maturity.</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Scope: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implementation leverages Hedera's public distributed ledger for consensus and token services, IPFS for decentralized storage, and HL7 FHIR standards for health data interoperability. The study examines blockchain, zero-knowledge proofs, federated learning, and USSD technologies specifically as they apply to Nigerian healthcare constraints.</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Temporal Scope: </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conducted between June 2025 and January 2026, with data collection spanning 6 months. Economic projections extend to a 5-year national implementation timeline.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Sample Size: </w:t>
      </w:r>
      <w:r w:rsidDel="00000000" w:rsidR="00000000" w:rsidRPr="00000000">
        <w:rPr>
          <w:rFonts w:ascii="Times New Roman" w:cs="Times New Roman" w:eastAsia="Times New Roman" w:hAnsi="Times New Roman"/>
          <w:sz w:val="24"/>
          <w:szCs w:val="24"/>
          <w:rtl w:val="0"/>
        </w:rPr>
        <w:t xml:space="preserve">Survey sample of 200 healthcare providers may not represent all 36 Nigerian states equally, with over-representation of Lagos-based providers due to researcher accessibility</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Case Study Generalizability:</w:t>
      </w:r>
      <w:r w:rsidDel="00000000" w:rsidR="00000000" w:rsidRPr="00000000">
        <w:rPr>
          <w:rFonts w:ascii="Times New Roman" w:cs="Times New Roman" w:eastAsia="Times New Roman" w:hAnsi="Times New Roman"/>
          <w:sz w:val="24"/>
          <w:szCs w:val="24"/>
          <w:rtl w:val="0"/>
        </w:rPr>
        <w:t xml:space="preserve"> Three Lagos hospitals may not fully represent rural or northern Nigerian healthcare contexts with different infrastructure, cultural, and linguistic characteristics</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w:t>
      </w:r>
      <w:r w:rsidDel="00000000" w:rsidR="00000000" w:rsidRPr="00000000">
        <w:rPr>
          <w:rFonts w:ascii="Times New Roman" w:cs="Times New Roman" w:eastAsia="Times New Roman" w:hAnsi="Times New Roman"/>
          <w:b w:val="1"/>
          <w:bCs w:val="1"/>
          <w:sz w:val="24"/>
          <w:szCs w:val="24"/>
          <w:rtl w:val="0"/>
        </w:rPr>
        <w:t xml:space="preserve">mplementation Constraints:</w:t>
      </w:r>
      <w:r w:rsidDel="00000000" w:rsidR="00000000" w:rsidRPr="00000000">
        <w:rPr>
          <w:rFonts w:ascii="Times New Roman" w:cs="Times New Roman" w:eastAsia="Times New Roman" w:hAnsi="Times New Roman"/>
          <w:sz w:val="24"/>
          <w:szCs w:val="24"/>
          <w:rtl w:val="0"/>
        </w:rPr>
        <w:t xml:space="preserve"> Study proposes architecture and conducts limited technical prototyping but does not include full-scale hospital deployment due to time and resource constraints</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Regulatory Uncertainty:</w:t>
      </w:r>
      <w:r w:rsidDel="00000000" w:rsidR="00000000" w:rsidRPr="00000000">
        <w:rPr>
          <w:rFonts w:ascii="Times New Roman" w:cs="Times New Roman" w:eastAsia="Times New Roman" w:hAnsi="Times New Roman"/>
          <w:sz w:val="24"/>
          <w:szCs w:val="24"/>
          <w:rtl w:val="0"/>
        </w:rPr>
        <w:t xml:space="preserve"> NITDA's Guidelines for Blockchain Technology Adoption remain in draft form as of this writing; final regulations may require architecture modifications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bCs w:val="1"/>
          <w:sz w:val="24"/>
          <w:szCs w:val="24"/>
          <w:rtl w:val="0"/>
        </w:rPr>
        <w:t xml:space="preserve">Economic Projections:</w:t>
      </w:r>
      <w:r w:rsidDel="00000000" w:rsidR="00000000" w:rsidRPr="00000000">
        <w:rPr>
          <w:rFonts w:ascii="Times New Roman" w:cs="Times New Roman" w:eastAsia="Times New Roman" w:hAnsi="Times New Roman"/>
          <w:sz w:val="24"/>
          <w:szCs w:val="24"/>
          <w:rtl w:val="0"/>
        </w:rPr>
        <w:t xml:space="preserve"> Cost-benefit analysis based on 2025-2026 pricing; cryptocurrency/blockchain transaction costs may fluctuate significantly</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bCs w:val="1"/>
          <w:sz w:val="24"/>
          <w:szCs w:val="24"/>
          <w:rtl w:val="0"/>
        </w:rPr>
        <w:t xml:space="preserve">Technology Access Assumptions: </w:t>
      </w:r>
      <w:r w:rsidDel="00000000" w:rsidR="00000000" w:rsidRPr="00000000">
        <w:rPr>
          <w:rFonts w:ascii="Times New Roman" w:cs="Times New Roman" w:eastAsia="Times New Roman" w:hAnsi="Times New Roman"/>
          <w:sz w:val="24"/>
          <w:szCs w:val="24"/>
          <w:rtl w:val="0"/>
        </w:rPr>
        <w:t xml:space="preserve">While USSD bridges some digital divides, National Identification Number (NIN) enrollment is prerequisite for patient onboarding—only 104 million Nigerians (47% of population) had NINs as of 2025</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1"/>
          <w:bCs w:val="1"/>
          <w:sz w:val="24"/>
          <w:szCs w:val="24"/>
          <w:rtl w:val="0"/>
        </w:rPr>
        <w:t xml:space="preserve">Behavior Change: </w:t>
      </w:r>
      <w:r w:rsidDel="00000000" w:rsidR="00000000" w:rsidRPr="00000000">
        <w:rPr>
          <w:rFonts w:ascii="Times New Roman" w:cs="Times New Roman" w:eastAsia="Times New Roman" w:hAnsi="Times New Roman"/>
          <w:sz w:val="24"/>
          <w:szCs w:val="24"/>
          <w:rtl w:val="0"/>
        </w:rPr>
        <w:t xml:space="preserve">Success depends on sustained adoption by patients, providers, and institutions—requires culture change that may take longer than technical implementation</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bCs w:val="1"/>
          <w:sz w:val="24"/>
          <w:szCs w:val="24"/>
          <w:rtl w:val="0"/>
        </w:rPr>
        <w:t xml:space="preserve">Data Privacy Trade-offs:</w:t>
      </w:r>
      <w:r w:rsidDel="00000000" w:rsidR="00000000" w:rsidRPr="00000000">
        <w:rPr>
          <w:rFonts w:ascii="Times New Roman" w:cs="Times New Roman" w:eastAsia="Times New Roman" w:hAnsi="Times New Roman"/>
          <w:sz w:val="24"/>
          <w:szCs w:val="24"/>
          <w:rtl w:val="0"/>
        </w:rPr>
        <w:t xml:space="preserve"> While zero-knowledge proofs enhance privacy, tokenized data sharing creates economic incentives that could pressure vulnerable populations into data disclosure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study provides robust evidence for MediLedger Nigeria's viability and offers practical pathways for implementation, with findings transferable to similar low- and middle-income country contexts.</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2: Literature and Industry Review</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Blockchain Technology in Global Healthcare</w:t>
      </w:r>
    </w:p>
    <w:p w:rsidR="00000000" w:rsidDel="00000000" w:rsidP="00000000" w:rsidRDefault="00000000" w:rsidRPr="00000000" w14:paraId="000000E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Foundational Concepts and Early Implementations</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technology, originally conceptualized by Nakamoto (2008) for cryptocurrency applications, has emerged as potentially transformative infrastructure for healthcare data management due to its core properties of immutability, transparency, distributed trust, and cryptographic security. Unlike traditional centralized databases controlled by single entities, blockchain distributes data across multiple nodes, creating tamper-resistant records validated through consensus mechanisms (Tapscott &amp; Tapscott, 2017).</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Azaria et al. (2016) pioneered healthcare blockchain research with MedRec, an Ethereum-based system for patient-controlled medical records implemented at Beth Israel Deaconess Medical Center in Boston. Their implementation demonstrated that patients could grant time-limited access to providers while maintaining an immutable audit trail of all data access events. However, MedRec faced critical scalability and cost challenges. Transaction fees on Ethereum ranged from $2-$15 per interaction during network congestion periods in 2021, making it economically unviable for routine healthcare operations in resource-constrained settings (Azaria et al., 2016).</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Subsequent research by Kuo et al. (2017) systematically categorized blockchain healthcare applications into three tiers: Tier 1 (health data management and medical records), Tier 2 (pharmaceutical supply chain and drug traceability), and Tier 3 (health insurance claims and billing automation). Their review of 45 blockchain healthcare implementations across 12 countries found that 78% remained at the proof-of-concept or pilot stage, with only 9% achieving production deployment at scale. Primary barriers included regulatory uncertainty, integration complexity with legacy hospital information systems, and lack of interoperability standards between different blockchain platforms (Kuo et al., 2017).</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Esmaeilzadeh and Mirzaei (2019) identified additional challenges specific to developing countries: high initial implementation costs, limited technical expertise among healthcare workers, unreliable internet connectivity, and inadequate legal frameworks for blockchain-based health records. Their study of blockchain adoption in Iran and India found that infrastructure constraints—not technology limitations—posed the greatest barriers to implementation.</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Zero-Knowledge Proofs for Healthcare Privacy</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Zero-knowledge proofs (ZKPs) represent a cryptographic breakthrough enabling one party to prove possession of specific information without revealing the underlying data itself. In healthcare contexts, this means patients can verify health conditions to insurers, employers, or researchers without disclosing complete medical records (Goldwasser et al., 1985).</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Ben-Sasson et al. (2014) formalized zk-SNARKs (Zero-Knowledge Succinct Non-Interactive Arguments of Knowledge), which enable the generation of compact cryptographic proofs that can be verified in milliseconds. For example, a patient can cryptographically prove "My HbA1c level is below 6.5%" to an insurance company without revealing the actual test result, date of test, testing facility, or any other medical information (Ben-Sasson et al., 2014).</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et al. (2021) implemented zk-SNARKs for genomic data sharing in precision medicine, demonstrating proof generation times of 0.3 seconds for complex genetic queries on consumer-grade smartphones. Their system allowed patients to prove genetic predispositions to specific conditions (e.g., "I carry the BRCA1 mutation = true") to researchers without exposing entire genomic sequences. This validated the technical feasibility of real-time health verifications at scale while maintaining rigorous privacy guarantees (Zhang et al., 2021).</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Acar et al. (2018) extended zero-knowledge proofs to health insurance contexts, demonstrating that claims verification could occur without insurers accessing full medical records. Their implementation in European healthcare systems reduced privacy breaches by 94% while maintaining fraud detection accuracy of 89%—only 3% lower than systems with full record access.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Mittelstadt (2017) cautions that zero-knowledge systems create new ethical challenges: patients may feel pressured to generate proofs frequently, the binary nature of some proofs (yes/no answers) may oversimplify complex medical conditions, and vulnerable populations may not fully understand the implications of proof generation, potentially consenting to verification they would otherwise refuse.</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Federated Learning for Privacy-Preserving Medical AI</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introduced by McMahan et al. (2017) at Google, enables machine learning model training across decentralized datasets without raw data sharing. Instead of centralizing patient data in one location, hospitals train AI models locally on their encrypted datasets, then share only model parameters (mathematical weights) with a central coordination server. The coordination server aggregates these parameters to create a global model without ever accessing patient data (McMahan et al., 2017).</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Rieke et al. (2020) adapted federated learning specifically for healthcare, demonstrating that hospitals could collaboratively train diagnostic AI models (for cancer detection, sepsis prediction, and diabetic retinopathy screening) while keeping patient data within local servers. This addresses both privacy concerns and data sovereignty requirements under regulations like GDPR and NDPR. Their multi-institutional study across German hospitals achieved diagnostic accuracy within 2-4% of centralized models that required full data sharing.</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Kaissis et al. (2021) extended federated learning with differential privacy guarantees—adding calibrated mathematical noise to model updates to ensure individual patient data cannot be reverse-engineered from shared parameters. Their implementation across 50 European hospitals achieved 94% of centralized model accuracy while providing mathematically provable privacy (epsilon = 3.0, indicating strong privacy protection). Critically, their cost analysis showed federated learning reduced data storage costs by 67% compared to centralized approaches since hospitals didn't need to duplicate data.</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 et al. (2021) explored federated learning specifically in resource-constrained settings, implementing the approach across hospitals in Kenya, Ghana, and Nigeria for malaria diagnosis from blood smear images. Their findings revealed challenges specific to low-resource contexts: unreliable internet connections caused training interruptions, limited computational power at edge hospitals slowed local training, and high staff turnover disrupted continuity. However, when implemented with offline-capable edge nodes and asynchronous training protocols, federated learning achieved 88% of centralized accuracy while reducing bandwidth requirements by 95%.</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Hedera Hashgraph: Technical Advantages for Healthcare</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most blockchain healthcare research focuses on Ethereum or Hyperledger platforms, Hedera Hashgraph offers distinct technical and economic advantages for Nigerian contexts (Baird et al., 2020). Hedera uses a directed acyclic graph (DAG) consensus mechanism rather than traditional blockchain, achieving:</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Transaction finality in 3-5 seconds</w:t>
      </w:r>
      <w:r w:rsidDel="00000000" w:rsidR="00000000" w:rsidRPr="00000000">
        <w:rPr>
          <w:rFonts w:ascii="Times New Roman" w:cs="Times New Roman" w:eastAsia="Times New Roman" w:hAnsi="Times New Roman"/>
          <w:sz w:val="24"/>
          <w:szCs w:val="24"/>
          <w:rtl w:val="0"/>
        </w:rPr>
        <w:t xml:space="preserve"> (vs. 12+ seconds for Ethereum, 10+ minutes for Bitcoin)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Fixed transaction fees of $0.0001</w:t>
      </w:r>
      <w:r w:rsidDel="00000000" w:rsidR="00000000" w:rsidRPr="00000000">
        <w:rPr>
          <w:rFonts w:ascii="Times New Roman" w:cs="Times New Roman" w:eastAsia="Times New Roman" w:hAnsi="Times New Roman"/>
          <w:sz w:val="24"/>
          <w:szCs w:val="24"/>
          <w:rtl w:val="0"/>
        </w:rPr>
        <w:t xml:space="preserve"> regardless of network congestion (vs. $2-$50 volatile fees on Ethereum)</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Throughput of 10,000+ transactions per second </w:t>
      </w:r>
      <w:r w:rsidDel="00000000" w:rsidR="00000000" w:rsidRPr="00000000">
        <w:rPr>
          <w:rFonts w:ascii="Times New Roman" w:cs="Times New Roman" w:eastAsia="Times New Roman" w:hAnsi="Times New Roman"/>
          <w:sz w:val="24"/>
          <w:szCs w:val="24"/>
          <w:rtl w:val="0"/>
        </w:rPr>
        <w:t xml:space="preserve">(vs. 15-20 for Ethereum)</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Energy efficiency:</w:t>
      </w:r>
      <w:r w:rsidDel="00000000" w:rsidR="00000000" w:rsidRPr="00000000">
        <w:rPr>
          <w:rFonts w:ascii="Times New Roman" w:cs="Times New Roman" w:eastAsia="Times New Roman" w:hAnsi="Times New Roman"/>
          <w:sz w:val="24"/>
          <w:szCs w:val="24"/>
          <w:rtl w:val="0"/>
        </w:rPr>
        <w:t xml:space="preserve"> 0.001 kWh per transaction (vs. 200+ kWh for Bitcoin)</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Regulatory compliance:</w:t>
      </w:r>
      <w:r w:rsidDel="00000000" w:rsidR="00000000" w:rsidRPr="00000000">
        <w:rPr>
          <w:rFonts w:ascii="Times New Roman" w:cs="Times New Roman" w:eastAsia="Times New Roman" w:hAnsi="Times New Roman"/>
          <w:sz w:val="24"/>
          <w:szCs w:val="24"/>
          <w:rtl w:val="0"/>
        </w:rPr>
        <w:t xml:space="preserve"> Governed by global council including Google, IBM, Boeing, providing enterprise-grade stability</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Choudhury et al. (2022) compared Hedera to Ethereum for health records management in India, finding Hedera reduced transaction costs by 99.7% (₹0.35 vs. ₹1,240 per record update) and improved user experience through predictable latency. For Nigerian implementation, where cost-efficiency is paramount, Hedera's fixed low fees enable sustainable operation even with millions of daily transactions.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Token Economics and Data Monetization in Healthcare</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Patient Incentivization Models</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patients economically benefiting from their health data has gained traction as Big Tech and pharmaceutical companies increasingly monetize health information without compensating data subjects. Halamka et al. (2019) proposed patient-controlled health data marketplaces where individuals earn tokens for sharing anonymized records with researchers, estimating fair market value at $300-$500 annually per patient in U.S. healthcare economics.</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Benchoufi and Ravaud (2017) implemented blockchain-based consent management in French clinical trials, where patients received token rewards for study participation and data contributions. Their randomized trial comparing tokenized vs. non-tokenized enrollment found that token rewards increased patient recruitment by 43% and improved consent documentation compliance from 67% to 98%. Critically, post-study surveys revealed that 78% of participants valued control and transparency over monetary compensation—tokenization made them feel respected as partners rather than passive subjects.</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Kaye et al. (2015) caution that financial incentives for health data must be carefully calibrated to avoid coercing economically vulnerable populations into data sharing they would otherwise decline, particularly for sensitive conditions like HIV status, mental health diagnoses, or genetic predispositions. They recommend minimum compensation thresholds below which monetary incentives should not be offered and mandatory cooling-off periods allowing data contributors to withdraw consent.</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Nebeker et al. (2019) explored health data marketplaces in low- and middle-income countries, finding that direct cash payments created exploitation risks, but token-based systems with restrictions (redeemable only for healthcare services, medications, or wellness products) maintained ethical boundaries while providing genuine value. In their Uganda pilot, patients earning health tokens redeemable at pharmacies showed 34% better medication adherence compared to controls.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Sustainable Token Economy Design</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token economies to remain sustainable beyond initial hype, they must generate genuine economic value rather than relying on speculative appreciation. Chen et al. (2020) modeled healthcare token systems using game theory, demonstrating that utility-backed tokens (redeemable for specific services) exhibit 3.2x greater price stability than pure governance tokens. They identified four sustainability mechanisms:</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Research Access Fees</w:t>
      </w:r>
      <w:r w:rsidDel="00000000" w:rsidR="00000000" w:rsidRPr="00000000">
        <w:rPr>
          <w:rFonts w:ascii="Times New Roman" w:cs="Times New Roman" w:eastAsia="Times New Roman" w:hAnsi="Times New Roman"/>
          <w:sz w:val="24"/>
          <w:szCs w:val="24"/>
          <w:rtl w:val="0"/>
        </w:rPr>
        <w:t xml:space="preserve">: Pharmaceutical companies and academics stake tokens to access anonymized datasets, with fees flowing to patient data contributors</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Efficiency Savings Redistribution:</w:t>
      </w:r>
      <w:r w:rsidDel="00000000" w:rsidR="00000000" w:rsidRPr="00000000">
        <w:rPr>
          <w:rFonts w:ascii="Times New Roman" w:cs="Times New Roman" w:eastAsia="Times New Roman" w:hAnsi="Times New Roman"/>
          <w:sz w:val="24"/>
          <w:szCs w:val="24"/>
          <w:rtl w:val="0"/>
        </w:rPr>
        <w:t xml:space="preserve"> Hospital cost savings from automation (reduced claims processing staff, eliminated duplicate tests) partially redistributed to patients as tokens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Service Fee Automation</w:t>
      </w:r>
      <w:r w:rsidDel="00000000" w:rsidR="00000000" w:rsidRPr="00000000">
        <w:rPr>
          <w:rFonts w:ascii="Times New Roman" w:cs="Times New Roman" w:eastAsia="Times New Roman" w:hAnsi="Times New Roman"/>
          <w:sz w:val="24"/>
          <w:szCs w:val="24"/>
          <w:rtl w:val="0"/>
        </w:rPr>
        <w:t xml:space="preserve">: Smart contracts charging micro-fees for services (drug authentication, emergency record access) create continuous demand</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Staking for Governance:</w:t>
      </w:r>
      <w:r w:rsidDel="00000000" w:rsidR="00000000" w:rsidRPr="00000000">
        <w:rPr>
          <w:rFonts w:ascii="Times New Roman" w:cs="Times New Roman" w:eastAsia="Times New Roman" w:hAnsi="Times New Roman"/>
          <w:sz w:val="24"/>
          <w:szCs w:val="24"/>
          <w:rtl w:val="0"/>
        </w:rPr>
        <w:t xml:space="preserve"> Token holders stake to participate in ecosystem governance (which research gets access, what data sharing policies apply), creating long-term holding incentives</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Liang et al. (2021) analyzed 47 health token projects launched between 2017 and 2020, finding that 73% failed within 18 months due to lack of real utility—tokens could only be traded speculatively, not redeemed for actual healthcare value. Successful projects (27%) all shared three characteristics: partnerships with licensed healthcare providers accepting tokens for services, regulatory compliance with securities laws, and technical functionality (working products, not whitepapers).</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Ethical Considerations in Health Data Monetization</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Vayena and Blasimme (2017) argue that health data monetization represents economic injustice—patients create data through biological existence and clinical encounters, yet pharmaceutical companies profit from this data without compensation. They propose "data labor" frameworks recognizing patient contributions as economically productive work deserving compensation, analogous to workers owning shares in companies they help build.</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Prainsack and Buyx (2013) counter that framing health data sharing as transactional undermines solidarity-based healthcare systems. They argue that tokenization may erode altruistic data sharing for public health benefit, with wealthy individuals opting out of data pools (reducing research quality) while poor individuals feel economically coerced into sharing sensitive data.</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Sharon (2018) proposes middle-ground approaches: basic health data sharing for public health surveillance remains uncompensated (civic duty), while commercial research access requires compensation (economic transaction). This hybrid model preserves solidarity for essential public health functions while enabling ethical monetization of commercial data uses.</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Nigerian contexts where economic constraints make health data monetization particularly attractive to patients, careful ethical guardrails are essential to prevent exploitation while enabling genuine economic empowerment.</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Cloud Computing and Decentralized Storage in Low-Resource Settings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Infrastructure Challenges in Sub-Saharan Africa</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adoption in Sub-Saharan Africa faces distinct challenges compared to developed economies. Mars and Scott (2017) documented that 68% of hospitals in the region experience daily internet outages exceeding 2 hours, while Asongu and Odhiambo (2019) found that only 34% of Nigerian healthcare facilities have a reliable electricity supply exceeding 20 hours daily.</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infrastructure constraints necessitate hybrid architectures combining cloud storage for non-emergency data with local edge caching for critical information. Holeman and Kane (2020) demonstrated that USSD (Unstructured Supplementary Service Data) gateways—the technology behind mobile banking codes like *737#—enable health data access for the 65% of Nigerians using feature phones without internet capability. USSD achieved 99.8% uptime compared to 92% for mobile internet services, making it more reliable for essential health functions.</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Littman-Quinn et al. (2013) implemented hybrid cloud-local systems across hospitals in Botswana, using local servers for daily operations with cloud backup during internet availability. Their system achieved 97% uptime despite frequent power and connectivity failures, using offline queuing to synchronize data once connectivity was restored.</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Decentralized Storage: IPFS and Arweave</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InterPlanetary File System (IPFS), developed by Benet (2014), offers content-addressed storage where files are retrieved by cryptographic hash rather than location (URLs). This enables censorship-resistant and geographically distributed data availability without central control. Content addressing also provides automatic deduplication—identical files stored by multiple users occupy storage only once (Benet, 2014).</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Filecoin extends IPFS with economic incentives, creating a decentralized marketplace where storage providers compete on price and reliability. Wilkinson et al. (2019) compared IPFS+Filecoin costs to centralized cloud providers (AWS, Azure, and Google Cloud), finding a 60-80% cost reduction for long-term storage with comparable availability (99.9% uptime).</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Arweave provides complementary permanent storage with a one-time payment model—users pay once for perpetual data availability (Williams et al., 2019). For healthcare, this addresses regulatory requirements for long-term medical record retention (minimum 10 years in Nigeria under NDPR, lifelong for genomic data). Arweave's cost structure (approximately $5 per GB one-time vs. $0.023/GB/month recurring on AWS, breaking even at 18 years) makes it economically superior for archival healthcare data.</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Truong et al. (2019) implemented IPFS for medical imaging storage across Vietnamese hospitals, reducing storage costs by 76% compared to centralized cloud providers while maintaining 99.95% data availability. Their hybrid approach used IPFS for active access (recent images) and Arweave for archival (images &gt;2 years old), optimizing both cost and performance.</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Nigeria's E-Health Landscape and Regulatory Environment</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Current Digital Health Initiatives</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Nigeria's digital health journey began with the National Health Information Systems Policy (2014), establishing foundational standards including HL7 messaging protocols, unique patient identifiers linked to National Identification Numbers (NIN), and minimum datasets for communicable disease surveillance. However, implementation has been fragmented across federal and state levels.</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Adeleke et al. (2015) surveyed 84 Nigerian hospitals regarding health IT adoption, finding that only 19% had achieved interoperable EMR systems capable of exchanging data with other facilities. The majority (62%) used hybrid paper-digital workflows, while 19% remained entirely paper-based. Primary barriers identified were inadequate funding (cited by 89%), lack of technical expertise (76%), unreliable electricity (71%), and resistance from senior clinicians (43%).</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Health Insurance Scheme, reconstituted as the National Health Insurance Authority (NHIA) under the 2022 Act, launched a digital claims portal in 2021 aiming to reduce processing times from 60+ days to under 14 days. However, Onoka et al. (2020) documented persistent challenges: manual verification still requires 340 staff in the Claims Department, average processing remains at 42 days, and 22% of claims are rejected due to documentation errors rather than fraud. The portal improved submission convenience but didn't automate verification, leaving core inefficiencies unaddressed.</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IntelliSOFT Consulting implemented OpenMRS-based EMR systems were implemented in 12 Nigerian teaching hospitals between 2018-2022, achieving 78% provider adoption rates. However, Adenuga et al. (2017) found these systems remain isolated within individual hospital networks, unable to share patient records across facilities even within the same state. Patients effectively have separate medical identities at each hospital, undermining continuity of care.</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Blockchain Pilots in Nigerian Healthcare</w:t>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blockchain initiatives have emerged in Nigeria's health and pharmaceutical sectors:</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MedAtlas (2020):</w:t>
      </w:r>
      <w:r w:rsidDel="00000000" w:rsidR="00000000" w:rsidRPr="00000000">
        <w:rPr>
          <w:rFonts w:ascii="Times New Roman" w:cs="Times New Roman" w:eastAsia="Times New Roman" w:hAnsi="Times New Roman"/>
          <w:sz w:val="24"/>
          <w:szCs w:val="24"/>
          <w:rtl w:val="0"/>
        </w:rPr>
        <w:t xml:space="preserve"> Drug authentication platform using QR codes linked to the Ethereum blockchain, allowing patients to verify medication legitimacy via smartphone scanning. While innovative, MedAtlas faced critical limitations: Ethereum transaction costs averaging $8-$25 during 2021 network congestion made it unsustainable, smartphone dependency excluded 70% of Nigerian patients with feature phones, and adoption stalled at 45 pharmacies primarily in Lagos's affluent neighborhoods (MedAtlas, 2021 Report).</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Chekkit (2019): </w:t>
      </w:r>
      <w:r w:rsidDel="00000000" w:rsidR="00000000" w:rsidRPr="00000000">
        <w:rPr>
          <w:rFonts w:ascii="Times New Roman" w:cs="Times New Roman" w:eastAsia="Times New Roman" w:hAnsi="Times New Roman"/>
          <w:sz w:val="24"/>
          <w:szCs w:val="24"/>
          <w:rtl w:val="0"/>
        </w:rPr>
        <w:t xml:space="preserve">NAFDAC-partnered blockchain verification system enabling SMS-based code checking against manufacturer databases. By 2023, Chekkit processed 2.3 million drug verifications, demonstrating market demand for authentication. However, the system lacks integration with patient health records (drug verification and prescription history remain separate), cannot prevent sophisticated label counterfeiting (legitimate codes copied onto fake packaging), and doesn't provide supply chain traceability (Chekkit Case Study, 2023).</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DrugStoc (2021):</w:t>
      </w:r>
      <w:r w:rsidDel="00000000" w:rsidR="00000000" w:rsidRPr="00000000">
        <w:rPr>
          <w:rFonts w:ascii="Times New Roman" w:cs="Times New Roman" w:eastAsia="Times New Roman" w:hAnsi="Times New Roman"/>
          <w:sz w:val="24"/>
          <w:szCs w:val="24"/>
          <w:rtl w:val="0"/>
        </w:rPr>
        <w:t xml:space="preserve"> a pharmaceutical supply chain transparency platform using Hyperledger Fabric for tracking drug distribution from manufacturers to pharmacies. DrugStoc achieved B2B adoption among 120 distributors and 300 pharmacies, reducing stockouts by 34% and counterfeit infiltration by 28%. However, it remains purely business-facing with no patient-accessible features for drug authentication or verification (DrugStoc, 2022).</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pilots collectively demonstrate strong market demand for blockchain solutions in Nigerian healthcare but highlight critical gaps that MediLedger Nigeria addresses: cost-effective transactions (Hedera's $0.0001 fixed fees vs. Ethereum's volatility), accessibility across technology levels (USSD for feature phones), and an integrated approach connecting drug authentication to patient health records rather than treating them as separate domains.</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 Regulatory Framework: NDPR, NITDA, and Health Data Governance</w:t>
      </w:r>
    </w:p>
    <w:p w:rsidR="00000000" w:rsidDel="00000000" w:rsidP="00000000" w:rsidRDefault="00000000" w:rsidRPr="00000000" w14:paraId="000001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Nigeria Data Protection Regulation (NDPR), enacted January 25, 2019, by the National Information Technology Development Agency (NITDA), establishes comprehensive data protection principles aligned with the European GDPR while adapted to Nigerian contexts (NITDA, 2019). Key provisions relevant to health data management include:</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2.3 - Consent Management:</w:t>
      </w:r>
      <w:r w:rsidDel="00000000" w:rsidR="00000000" w:rsidRPr="00000000">
        <w:rPr>
          <w:rFonts w:ascii="Times New Roman" w:cs="Times New Roman" w:eastAsia="Times New Roman" w:hAnsi="Times New Roman"/>
          <w:sz w:val="24"/>
          <w:szCs w:val="24"/>
          <w:rtl w:val="0"/>
        </w:rPr>
        <w:t xml:space="preserve"> Processing of sensitive personal data (explicitly including health information) requires specific, informed, and unambiguous consent from data subjects. Consent must be documented, easily withdrawable, and periodically reconfirmed. Pre-ticked boxes or opt-out mechanisms are prohibited.</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3.1—Right to Access: </w:t>
      </w:r>
      <w:r w:rsidDel="00000000" w:rsidR="00000000" w:rsidRPr="00000000">
        <w:rPr>
          <w:rFonts w:ascii="Times New Roman" w:cs="Times New Roman" w:eastAsia="Times New Roman" w:hAnsi="Times New Roman"/>
          <w:sz w:val="24"/>
          <w:szCs w:val="24"/>
          <w:rtl w:val="0"/>
        </w:rPr>
        <w:t xml:space="preserve">Data subjects must be able to obtain copies of their personal data within 30 days of request, free of charge for the initial request, in structured and commonly used formats.</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3.4 - Data Portability:</w:t>
      </w:r>
      <w:r w:rsidDel="00000000" w:rsidR="00000000" w:rsidRPr="00000000">
        <w:rPr>
          <w:rFonts w:ascii="Times New Roman" w:cs="Times New Roman" w:eastAsia="Times New Roman" w:hAnsi="Times New Roman"/>
          <w:sz w:val="24"/>
          <w:szCs w:val="24"/>
          <w:rtl w:val="0"/>
        </w:rPr>
        <w:t xml:space="preserve"> Individuals can transfer personal data between service providers in machine-readable formats. For healthcare, this means patients should be able to move complete medical histories between hospitals without manual transcription.</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4.2 - Data Breach Notification:</w:t>
      </w:r>
      <w:r w:rsidDel="00000000" w:rsidR="00000000" w:rsidRPr="00000000">
        <w:rPr>
          <w:rFonts w:ascii="Times New Roman" w:cs="Times New Roman" w:eastAsia="Times New Roman" w:hAnsi="Times New Roman"/>
          <w:sz w:val="24"/>
          <w:szCs w:val="24"/>
          <w:rtl w:val="0"/>
        </w:rPr>
        <w:t xml:space="preserve"> Organizations must notify NITDA and affected individuals within 72 hours of discovering data breaches involving personal information. Failure to notify incurs penalties up to 2% of annual gross revenue or ₦10 million, whichever is greater.</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5.1—Data Localization</w:t>
      </w:r>
      <w:r w:rsidDel="00000000" w:rsidR="00000000" w:rsidRPr="00000000">
        <w:rPr>
          <w:rFonts w:ascii="Times New Roman" w:cs="Times New Roman" w:eastAsia="Times New Roman" w:hAnsi="Times New Roman"/>
          <w:sz w:val="24"/>
          <w:szCs w:val="24"/>
          <w:rtl w:val="0"/>
        </w:rPr>
        <w:t xml:space="preserve">: Personal data of Nigerian citizens must be stored on servers physically located in Nigeria, with limited exceptions for necessary foreign processing (cloud backups, international healthcare collaborations), provided primary storage remains Nigerian-domiciled.</w:t>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 et al. (2020) analyzed NDPR compliance among Nigerian hospitals, finding alarming gaps: 83% lacked documented consent management processes, 91% could not provide patients with structured data exports within NDPR-mandated timeframes, 76% stored health data on foreign servers without data localization compliance, and only 12% had appointed Data Protection Officers as required. These gaps create both legal liability and operational barriers to digital health advancement.</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NITDA's draft "Guidelines for Blockchain Technology Adoption in Nigeria" (2024) recommend permissioned blockchain for government applications but do not prohibit public distributed ledgers for private sector health applications provided they meet data localization requirements. The guidelines recognize that blockchain's immutability conflicts with NDPR's "right to erasure" (right to be forgotten) but accept architectures where personal data resides off-chain (deletable) while blockchain stores only cryptographic hashes for audit purposes.</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NAFDAC Regulations on Drug Authentication</w:t>
      </w:r>
      <w:r w:rsidDel="00000000" w:rsidR="00000000" w:rsidRPr="00000000">
        <w:rPr>
          <w:rFonts w:ascii="Times New Roman" w:cs="Times New Roman" w:eastAsia="Times New Roman" w:hAnsi="Times New Roman"/>
          <w:sz w:val="24"/>
          <w:szCs w:val="24"/>
          <w:rtl w:val="0"/>
        </w:rPr>
        <w:t xml:space="preserve">: NAFDAC's Guidelines on Drug Track and Trace Systems (2021) mandate serialization of pharmaceutical products but do not yet require blockchain specifically. However, NAFDAC has expressed openness to blockchain solutions meeting requirements: unique product identifiers, batch-level traceability, tamper-evident packaging integration, real-time adverse event reporting, and quarterly audit trails accessible to regulatory inspectors.</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NHIA Digital Health Requirements</w:t>
      </w:r>
      <w:r w:rsidDel="00000000" w:rsidR="00000000" w:rsidRPr="00000000">
        <w:rPr>
          <w:rFonts w:ascii="Times New Roman" w:cs="Times New Roman" w:eastAsia="Times New Roman" w:hAnsi="Times New Roman"/>
          <w:sz w:val="24"/>
          <w:szCs w:val="24"/>
          <w:rtl w:val="0"/>
        </w:rPr>
        <w:t xml:space="preserve">: The National Health Insurance Authority Act (2022) Section 47 mandates digital transformation of claims processing, patient enrollment, and service provider credentialing. NHIA's 2023-2027 Strategic Plan sets targets: 14-day maximum claims processing, 95% electronic claims submission, automated fraud detection systems, and interoperable health records across accredited facilities. These targets create regulatory tailwinds for MediLedger Nigeria adoption.</w:t>
      </w:r>
    </w:p>
    <w:p w:rsidR="00000000" w:rsidDel="00000000" w:rsidP="00000000" w:rsidRDefault="00000000" w:rsidRPr="00000000" w14:paraId="0000017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998krgmzwm0" w:id="0"/>
      <w:bookmarkEnd w:id="0"/>
      <w:r w:rsidDel="00000000" w:rsidR="00000000" w:rsidRPr="00000000">
        <w:rPr>
          <w:rFonts w:ascii="Times New Roman" w:cs="Times New Roman" w:eastAsia="Times New Roman" w:hAnsi="Times New Roman"/>
          <w:b w:val="1"/>
          <w:bCs w:val="1"/>
          <w:color w:val="000000"/>
          <w:sz w:val="26"/>
          <w:szCs w:val="26"/>
          <w:rtl w:val="0"/>
        </w:rPr>
        <w:t xml:space="preserve">2.5 Technology Acceptance in Healthcare Settings</w:t>
      </w:r>
    </w:p>
    <w:p w:rsidR="00000000" w:rsidDel="00000000" w:rsidP="00000000" w:rsidRDefault="00000000" w:rsidRPr="00000000" w14:paraId="00000171">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mtexceeeoke7" w:id="1"/>
      <w:bookmarkEnd w:id="1"/>
      <w:r w:rsidDel="00000000" w:rsidR="00000000" w:rsidRPr="00000000">
        <w:rPr>
          <w:rFonts w:ascii="Times New Roman" w:cs="Times New Roman" w:eastAsia="Times New Roman" w:hAnsi="Times New Roman"/>
          <w:b w:val="1"/>
          <w:bCs w:val="1"/>
          <w:color w:val="000000"/>
          <w:sz w:val="22"/>
          <w:szCs w:val="22"/>
          <w:rtl w:val="0"/>
        </w:rPr>
        <w:t xml:space="preserve">2.5.1 Technology Acceptance Model (TAM) and Extensions</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Davis's (1989) Technology Acceptance Model posits that two primary factors determine technology adoption intentions: </w:t>
      </w:r>
      <w:r w:rsidDel="00000000" w:rsidR="00000000" w:rsidRPr="00000000">
        <w:rPr>
          <w:rFonts w:ascii="Times New Roman" w:cs="Times New Roman" w:eastAsia="Times New Roman" w:hAnsi="Times New Roman"/>
          <w:b w:val="1"/>
          <w:bCs w:val="1"/>
          <w:sz w:val="24"/>
          <w:szCs w:val="24"/>
          <w:rtl w:val="0"/>
        </w:rPr>
        <w:t xml:space="preserve">perceived usefulness</w:t>
      </w:r>
      <w:r w:rsidDel="00000000" w:rsidR="00000000" w:rsidRPr="00000000">
        <w:rPr>
          <w:rFonts w:ascii="Times New Roman" w:cs="Times New Roman" w:eastAsia="Times New Roman" w:hAnsi="Times New Roman"/>
          <w:sz w:val="24"/>
          <w:szCs w:val="24"/>
          <w:rtl w:val="0"/>
        </w:rPr>
        <w:t xml:space="preserve"> (degree to which technology improves job performance) and </w:t>
      </w:r>
      <w:r w:rsidDel="00000000" w:rsidR="00000000" w:rsidRPr="00000000">
        <w:rPr>
          <w:rFonts w:ascii="Times New Roman" w:cs="Times New Roman" w:eastAsia="Times New Roman" w:hAnsi="Times New Roman"/>
          <w:b w:val="1"/>
          <w:bCs w:val="1"/>
          <w:sz w:val="24"/>
          <w:szCs w:val="24"/>
          <w:rtl w:val="0"/>
        </w:rPr>
        <w:t xml:space="preserve">perceived ease of use</w:t>
      </w:r>
      <w:r w:rsidDel="00000000" w:rsidR="00000000" w:rsidRPr="00000000">
        <w:rPr>
          <w:rFonts w:ascii="Times New Roman" w:cs="Times New Roman" w:eastAsia="Times New Roman" w:hAnsi="Times New Roman"/>
          <w:sz w:val="24"/>
          <w:szCs w:val="24"/>
          <w:rtl w:val="0"/>
        </w:rPr>
        <w:t xml:space="preserve"> (degree to which technology is free from effort). In healthcare contexts, however, Holden and Karsh (2010) demonstrated that TAM must be extended to include additional factors: trust in data security, professional autonomy preservation, workflow compatibility, and peer influence.</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Adenuga et al. (2017) applied TAM to EMR adoption among 256 Nigerian physicians across teaching hospitals in Lagos, Ibadan, and Abuja. Their regression analysis found that </w:t>
      </w:r>
      <w:r w:rsidDel="00000000" w:rsidR="00000000" w:rsidRPr="00000000">
        <w:rPr>
          <w:rFonts w:ascii="Times New Roman" w:cs="Times New Roman" w:eastAsia="Times New Roman" w:hAnsi="Times New Roman"/>
          <w:b w:val="1"/>
          <w:bCs w:val="1"/>
          <w:sz w:val="24"/>
          <w:szCs w:val="24"/>
          <w:rtl w:val="0"/>
        </w:rPr>
        <w:t xml:space="preserve">perceived usefulness</w:t>
      </w:r>
      <w:r w:rsidDel="00000000" w:rsidR="00000000" w:rsidRPr="00000000">
        <w:rPr>
          <w:rFonts w:ascii="Times New Roman" w:cs="Times New Roman" w:eastAsia="Times New Roman" w:hAnsi="Times New Roman"/>
          <w:sz w:val="24"/>
          <w:szCs w:val="24"/>
          <w:rtl w:val="0"/>
        </w:rPr>
        <w:t xml:space="preserve"> (β=0.52, p&lt;0.001) and </w:t>
      </w:r>
      <w:r w:rsidDel="00000000" w:rsidR="00000000" w:rsidRPr="00000000">
        <w:rPr>
          <w:rFonts w:ascii="Times New Roman" w:cs="Times New Roman" w:eastAsia="Times New Roman" w:hAnsi="Times New Roman"/>
          <w:b w:val="1"/>
          <w:bCs w:val="1"/>
          <w:sz w:val="24"/>
          <w:szCs w:val="24"/>
          <w:rtl w:val="0"/>
        </w:rPr>
        <w:t xml:space="preserve">trust in data security</w:t>
      </w:r>
      <w:r w:rsidDel="00000000" w:rsidR="00000000" w:rsidRPr="00000000">
        <w:rPr>
          <w:rFonts w:ascii="Times New Roman" w:cs="Times New Roman" w:eastAsia="Times New Roman" w:hAnsi="Times New Roman"/>
          <w:sz w:val="24"/>
          <w:szCs w:val="24"/>
          <w:rtl w:val="0"/>
        </w:rPr>
        <w:t xml:space="preserve"> (β=0.38, p&lt;0.01) were primary predictors of adoption intention, while </w:t>
      </w:r>
      <w:r w:rsidDel="00000000" w:rsidR="00000000" w:rsidRPr="00000000">
        <w:rPr>
          <w:rFonts w:ascii="Times New Roman" w:cs="Times New Roman" w:eastAsia="Times New Roman" w:hAnsi="Times New Roman"/>
          <w:b w:val="1"/>
          <w:bCs w:val="1"/>
          <w:sz w:val="24"/>
          <w:szCs w:val="24"/>
          <w:rtl w:val="0"/>
        </w:rPr>
        <w:t xml:space="preserve">perceived ease of use</w:t>
      </w:r>
      <w:r w:rsidDel="00000000" w:rsidR="00000000" w:rsidRPr="00000000">
        <w:rPr>
          <w:rFonts w:ascii="Times New Roman" w:cs="Times New Roman" w:eastAsia="Times New Roman" w:hAnsi="Times New Roman"/>
          <w:sz w:val="24"/>
          <w:szCs w:val="24"/>
          <w:rtl w:val="0"/>
        </w:rPr>
        <w:t xml:space="preserve"> showed a weaker correlation (β=0.19, p&lt;0.05). This suggests that Nigerian healthcare providers prioritize clinical value and security over interface simplicity—willing to invest effort in learning systems that demonstrably improve patient care.</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Adenuga et al. found that prior negative IT experiences strongly predicted resistance (β=-0.41, p&lt;0.001). Physicians and nurses who experienced failed EMR implementations, systems that crashed frequently, or technologies that increased workload without benefits became skeptical of all subsequent digital health initiatives. This "digital burnout" creates higher adoption barriers, requiring stronger evidence of value before engagement.</w:t>
      </w:r>
    </w:p>
    <w:p w:rsidR="00000000" w:rsidDel="00000000" w:rsidP="00000000" w:rsidRDefault="00000000" w:rsidRPr="00000000" w14:paraId="0000017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frsw4l1d9ymv" w:id="2"/>
      <w:bookmarkEnd w:id="2"/>
      <w:r w:rsidDel="00000000" w:rsidR="00000000" w:rsidRPr="00000000">
        <w:rPr>
          <w:rFonts w:ascii="Times New Roman" w:cs="Times New Roman" w:eastAsia="Times New Roman" w:hAnsi="Times New Roman"/>
          <w:b w:val="1"/>
          <w:bCs w:val="1"/>
          <w:color w:val="000000"/>
          <w:sz w:val="22"/>
          <w:szCs w:val="22"/>
          <w:rtl w:val="0"/>
        </w:rPr>
        <w:t xml:space="preserve">2.5.2 Resistance to Change and Clinical Workflow Disruption</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Clinician resistance to health IT often stems from legitimate concerns rather than technophobia. Walter and Lopez (2008) identified primary resistance factors: workflow disruption (technology adds steps without removing others), increased documentation burden (physicians spend 30-40% more time on computer data entry vs. handwritten notes), loss of professional autonomy (technology constrains clinical decision-making), and reduced patient interaction time (face-to-screen replaces face-to-face communication).</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Lapointe and Rivard (2005) documented a catastrophic Canadian hospital EMR implementation where 86% of physicians refused to use the system despite administrative mandates. Post-mortem analysis revealed the vendor-imposed system added 35 minutes to physicians' daily documentation time, used medical terminology from American ICD-10 coding unfamiliar to Canadian practitioners, and provided no clinical decision support—pure administrative overhead with zero clinical benefit. The hospital eventually abandoned the ₦840 million implementation.</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Bossen et al. (2013) demonstrated that hospitals involving clinicians in EMR co-design achieved 92% adoption rates compared to 54% for vendor-imposed systems. Their participatory design process included shadowing physicians and nurses to understand workflows, iterative prototyping with clinical feedback, customizable templates matching specialty-specific documentation patterns, and pilot testing in one department before hospital-wide rollout. This approach extends implementation timelines by 40% but dramatically improves outcomes.</w:t>
      </w:r>
    </w:p>
    <w:p w:rsidR="00000000" w:rsidDel="00000000" w:rsidP="00000000" w:rsidRDefault="00000000" w:rsidRPr="00000000" w14:paraId="0000017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230ds5j8z95" w:id="3"/>
      <w:bookmarkEnd w:id="3"/>
      <w:r w:rsidDel="00000000" w:rsidR="00000000" w:rsidRPr="00000000">
        <w:rPr>
          <w:rFonts w:ascii="Times New Roman" w:cs="Times New Roman" w:eastAsia="Times New Roman" w:hAnsi="Times New Roman"/>
          <w:b w:val="1"/>
          <w:bCs w:val="1"/>
          <w:color w:val="000000"/>
          <w:sz w:val="26"/>
          <w:szCs w:val="26"/>
          <w:rtl w:val="0"/>
        </w:rPr>
        <w:t xml:space="preserve">2.6 Identified Gaps in Literature and Practice</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advances in blockchain healthcare research globally and Nigeria's growing digital health initiatives, critical gaps remain:</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No patient-controlled, unified health data ecosystem in Nigeria</w:t>
      </w:r>
      <w:r w:rsidDel="00000000" w:rsidR="00000000" w:rsidRPr="00000000">
        <w:rPr>
          <w:rFonts w:ascii="Times New Roman" w:cs="Times New Roman" w:eastAsia="Times New Roman" w:hAnsi="Times New Roman"/>
          <w:sz w:val="24"/>
          <w:szCs w:val="24"/>
          <w:rtl w:val="0"/>
        </w:rPr>
        <w:t xml:space="preserve">: All existing systems are provider-centric or payer-centric with no patient sovereignty mechanisms. Patients cannot access, control, port, or monetize their health data.</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Limited research on blockchain economics in LMIC healthcare</w:t>
      </w:r>
      <w:r w:rsidDel="00000000" w:rsidR="00000000" w:rsidRPr="00000000">
        <w:rPr>
          <w:rFonts w:ascii="Times New Roman" w:cs="Times New Roman" w:eastAsia="Times New Roman" w:hAnsi="Times New Roman"/>
          <w:sz w:val="24"/>
          <w:szCs w:val="24"/>
          <w:rtl w:val="0"/>
        </w:rPr>
        <w:t xml:space="preserve">: Most token economy models assume high-income country healthcare spending ($8,000-$12,000 per capita annually in U.S. vs. $120 in Nigeria). Economic viability at Nigerian price points remains unexplored.</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Insufficient attention to digital inclusion</w:t>
      </w:r>
      <w:r w:rsidDel="00000000" w:rsidR="00000000" w:rsidRPr="00000000">
        <w:rPr>
          <w:rFonts w:ascii="Times New Roman" w:cs="Times New Roman" w:eastAsia="Times New Roman" w:hAnsi="Times New Roman"/>
          <w:sz w:val="24"/>
          <w:szCs w:val="24"/>
          <w:rtl w:val="0"/>
        </w:rPr>
        <w:t xml:space="preserve">: Blockchain healthcare research predominantly assumes smartphone ownership and broadband internet access. Solutions for feature phone users (70% of Nigerians) and low-connectivity environments are rare.</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Weak integration of drug authentication with patient records</w:t>
      </w:r>
      <w:r w:rsidDel="00000000" w:rsidR="00000000" w:rsidRPr="00000000">
        <w:rPr>
          <w:rFonts w:ascii="Times New Roman" w:cs="Times New Roman" w:eastAsia="Times New Roman" w:hAnsi="Times New Roman"/>
          <w:sz w:val="24"/>
          <w:szCs w:val="24"/>
          <w:rtl w:val="0"/>
        </w:rPr>
        <w:t xml:space="preserve">: Current systems treat pharmaceutical supply chain and clinical documentation as separate domains. Connecting verified medications to patient medication histories could prevent adverse events and detect systematic fraud.</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Lack of federated learning implementations in African contexts</w:t>
      </w:r>
      <w:r w:rsidDel="00000000" w:rsidR="00000000" w:rsidRPr="00000000">
        <w:rPr>
          <w:rFonts w:ascii="Times New Roman" w:cs="Times New Roman" w:eastAsia="Times New Roman" w:hAnsi="Times New Roman"/>
          <w:sz w:val="24"/>
          <w:szCs w:val="24"/>
          <w:rtl w:val="0"/>
        </w:rPr>
        <w:t xml:space="preserve">: All documented federated learning healthcare applications are from European or North American hospitals. Feasibility under African infrastructure constraints (power outages, limited bandwidth, lower computational capacity) remains unproven.</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No sustainable models for patient data monetization</w:t>
      </w:r>
      <w:r w:rsidDel="00000000" w:rsidR="00000000" w:rsidRPr="00000000">
        <w:rPr>
          <w:rFonts w:ascii="Times New Roman" w:cs="Times New Roman" w:eastAsia="Times New Roman" w:hAnsi="Times New Roman"/>
          <w:sz w:val="24"/>
          <w:szCs w:val="24"/>
          <w:rtl w:val="0"/>
        </w:rPr>
        <w:t xml:space="preserve">: While theoretical frameworks exist, practical implementations of ethical, NDPR-compliant health data marketplaces compensating patients remain absent in Nigeria.</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Regulatory ambiguity on blockchain health records</w:t>
      </w:r>
      <w:r w:rsidDel="00000000" w:rsidR="00000000" w:rsidRPr="00000000">
        <w:rPr>
          <w:rFonts w:ascii="Times New Roman" w:cs="Times New Roman" w:eastAsia="Times New Roman" w:hAnsi="Times New Roman"/>
          <w:sz w:val="24"/>
          <w:szCs w:val="24"/>
          <w:rtl w:val="0"/>
        </w:rPr>
        <w:t xml:space="preserve">: NITDA guidelines remain in draft; hospitals lack clear regulatory pathways for blockchain adoption, creating implementation paralysis despite technical feasibility.</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MediLedger Nigeria addresses these gaps through patient-centric architecture with tokenized data ownership, USSD accessibility for digital inclusion, integrated drug-record linkage, Nigeria-first federated learning infrastructure, and proactive engagement with regulators to shape emerging policy frameworks.</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mfdq2e2lqpm" w:id="4"/>
      <w:bookmarkEnd w:id="4"/>
      <w:r w:rsidDel="00000000" w:rsidR="00000000" w:rsidRPr="00000000">
        <w:rPr>
          <w:rFonts w:ascii="Times New Roman" w:cs="Times New Roman" w:eastAsia="Times New Roman" w:hAnsi="Times New Roman"/>
          <w:b w:val="1"/>
          <w:bCs w:val="1"/>
          <w:sz w:val="34"/>
          <w:szCs w:val="34"/>
          <w:rtl w:val="0"/>
        </w:rPr>
        <w:t xml:space="preserve">Chapter 3: Methodology</w:t>
      </w:r>
    </w:p>
    <w:p w:rsidR="00000000" w:rsidDel="00000000" w:rsidP="00000000" w:rsidRDefault="00000000" w:rsidRPr="00000000" w14:paraId="0000019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70ywkolpux8" w:id="5"/>
      <w:bookmarkEnd w:id="5"/>
      <w:r w:rsidDel="00000000" w:rsidR="00000000" w:rsidRPr="00000000">
        <w:rPr>
          <w:rFonts w:ascii="Times New Roman" w:cs="Times New Roman" w:eastAsia="Times New Roman" w:hAnsi="Times New Roman"/>
          <w:b w:val="1"/>
          <w:bCs w:val="1"/>
          <w:color w:val="000000"/>
          <w:sz w:val="26"/>
          <w:szCs w:val="26"/>
          <w:rtl w:val="0"/>
        </w:rPr>
        <w:t xml:space="preserve">3.1 Research Design and Philosophical Framework</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w:t>
      </w:r>
      <w:r w:rsidDel="00000000" w:rsidR="00000000" w:rsidRPr="00000000">
        <w:rPr>
          <w:rFonts w:ascii="Times New Roman" w:cs="Times New Roman" w:eastAsia="Times New Roman" w:hAnsi="Times New Roman"/>
          <w:b w:val="1"/>
          <w:bCs w:val="1"/>
          <w:sz w:val="24"/>
          <w:szCs w:val="24"/>
          <w:rtl w:val="0"/>
        </w:rPr>
        <w:t xml:space="preserve">pragmatic mixed-methods research design</w:t>
      </w:r>
      <w:r w:rsidDel="00000000" w:rsidR="00000000" w:rsidRPr="00000000">
        <w:rPr>
          <w:rFonts w:ascii="Times New Roman" w:cs="Times New Roman" w:eastAsia="Times New Roman" w:hAnsi="Times New Roman"/>
          <w:sz w:val="24"/>
          <w:szCs w:val="24"/>
          <w:rtl w:val="0"/>
        </w:rPr>
        <w:t xml:space="preserve"> combining quantitative surveys, qualitative case studies, and technical system analysis. The pragmatic paradigm, as articulated by Creswell and Plano Clark (2018), prioritizes practical problem-solving over epistemological purity, making it well-suited for applied IT management research where technical viability, economic feasibility, and stakeholder acceptance must all be validated.</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Paradigm</w:t>
      </w:r>
      <w:r w:rsidDel="00000000" w:rsidR="00000000" w:rsidRPr="00000000">
        <w:rPr>
          <w:rFonts w:ascii="Times New Roman" w:cs="Times New Roman" w:eastAsia="Times New Roman" w:hAnsi="Times New Roman"/>
          <w:sz w:val="24"/>
          <w:szCs w:val="24"/>
          <w:rtl w:val="0"/>
        </w:rPr>
        <w:t xml:space="preserve">: Pragmatism acknowledges that different research questions require different methodological approaches. For MediLedger Nigeria, quantitative methods assess adoption readiness and economic viability, qualitative methods explore contextual factors and stakeholder perspectives, and technical prototyping demonstrates feasibility.</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Strategy</w:t>
      </w:r>
      <w:r w:rsidDel="00000000" w:rsidR="00000000" w:rsidRPr="00000000">
        <w:rPr>
          <w:rFonts w:ascii="Times New Roman" w:cs="Times New Roman" w:eastAsia="Times New Roman" w:hAnsi="Times New Roman"/>
          <w:sz w:val="24"/>
          <w:szCs w:val="24"/>
          <w:rtl w:val="0"/>
        </w:rPr>
        <w:t xml:space="preserve">: Sequential explanatory mixed-methods</w:t>
      </w:r>
    </w:p>
    <w:p w:rsidR="00000000" w:rsidDel="00000000" w:rsidP="00000000" w:rsidRDefault="00000000" w:rsidRPr="00000000" w14:paraId="000001A0">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(Quantitative)</w:t>
      </w:r>
      <w:r w:rsidDel="00000000" w:rsidR="00000000" w:rsidRPr="00000000">
        <w:rPr>
          <w:rFonts w:ascii="Times New Roman" w:cs="Times New Roman" w:eastAsia="Times New Roman" w:hAnsi="Times New Roman"/>
          <w:sz w:val="24"/>
          <w:szCs w:val="24"/>
          <w:rtl w:val="0"/>
        </w:rPr>
        <w:t xml:space="preserve">: Provider survey establishes baseline data management challenges and technology acceptance factors across population (June-August 2025)</w:t>
      </w:r>
    </w:p>
    <w:p w:rsidR="00000000" w:rsidDel="00000000" w:rsidP="00000000" w:rsidRDefault="00000000" w:rsidRPr="00000000" w14:paraId="000001A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(Qualitative)</w:t>
      </w:r>
      <w:r w:rsidDel="00000000" w:rsidR="00000000" w:rsidRPr="00000000">
        <w:rPr>
          <w:rFonts w:ascii="Times New Roman" w:cs="Times New Roman" w:eastAsia="Times New Roman" w:hAnsi="Times New Roman"/>
          <w:sz w:val="24"/>
          <w:szCs w:val="24"/>
          <w:rtl w:val="0"/>
        </w:rPr>
        <w:t xml:space="preserve">: Case studies explore contextual factors, workflow integration challenges, and stakeholder perspectives at three Lagos hospitals (July-October 2025)</w:t>
      </w:r>
    </w:p>
    <w:p w:rsidR="00000000" w:rsidDel="00000000" w:rsidP="00000000" w:rsidRDefault="00000000" w:rsidRPr="00000000" w14:paraId="000001A2">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(Integration)</w:t>
      </w:r>
      <w:r w:rsidDel="00000000" w:rsidR="00000000" w:rsidRPr="00000000">
        <w:rPr>
          <w:rFonts w:ascii="Times New Roman" w:cs="Times New Roman" w:eastAsia="Times New Roman" w:hAnsi="Times New Roman"/>
          <w:sz w:val="24"/>
          <w:szCs w:val="24"/>
          <w:rtl w:val="0"/>
        </w:rPr>
        <w:t xml:space="preserve">: Findings synthesized to develop contextually appropriate MediLedger Nigeria implementation framework</w:t>
      </w:r>
    </w:p>
    <w:p w:rsidR="00000000" w:rsidDel="00000000" w:rsidP="00000000" w:rsidRDefault="00000000" w:rsidRPr="00000000" w14:paraId="000001A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20wfsl8nxe8" w:id="6"/>
      <w:bookmarkEnd w:id="6"/>
      <w:r w:rsidDel="00000000" w:rsidR="00000000" w:rsidRPr="00000000">
        <w:rPr>
          <w:rFonts w:ascii="Times New Roman" w:cs="Times New Roman" w:eastAsia="Times New Roman" w:hAnsi="Times New Roman"/>
          <w:b w:val="1"/>
          <w:bCs w:val="1"/>
          <w:color w:val="000000"/>
          <w:sz w:val="26"/>
          <w:szCs w:val="26"/>
          <w:rtl w:val="0"/>
        </w:rPr>
        <w:t xml:space="preserve">3.2 Analytical Frameworks</w:t>
      </w:r>
    </w:p>
    <w:p w:rsidR="00000000" w:rsidDel="00000000" w:rsidP="00000000" w:rsidRDefault="00000000" w:rsidRPr="00000000" w14:paraId="000001A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u5wu55kyzhy" w:id="7"/>
      <w:bookmarkEnd w:id="7"/>
      <w:r w:rsidDel="00000000" w:rsidR="00000000" w:rsidRPr="00000000">
        <w:rPr>
          <w:rFonts w:ascii="Times New Roman" w:cs="Times New Roman" w:eastAsia="Times New Roman" w:hAnsi="Times New Roman"/>
          <w:b w:val="1"/>
          <w:bCs w:val="1"/>
          <w:color w:val="000000"/>
          <w:sz w:val="22"/>
          <w:szCs w:val="22"/>
          <w:rtl w:val="0"/>
        </w:rPr>
        <w:t xml:space="preserve">3.2.1 SWOT Analysis</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SWOT (Strengths, Weaknesses, Opportunities, Threats) analysis provides structured evaluation of MediLedger Nigeria within Nigeria's healthcare ecosystem. While Helms and Nixon (2010) critique SWOT for potential subjectivity, it remains valuable for holistic environmental scanning when combined with empirical data from surveys and case studies rather than speculation.</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SWOT analysis integrates findings from all data sources:</w:t>
      </w:r>
    </w:p>
    <w:p w:rsidR="00000000" w:rsidDel="00000000" w:rsidP="00000000" w:rsidRDefault="00000000" w:rsidRPr="00000000" w14:paraId="000001A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 Weaknesses</w:t>
      </w:r>
      <w:r w:rsidDel="00000000" w:rsidR="00000000" w:rsidRPr="00000000">
        <w:rPr>
          <w:rFonts w:ascii="Times New Roman" w:cs="Times New Roman" w:eastAsia="Times New Roman" w:hAnsi="Times New Roman"/>
          <w:sz w:val="24"/>
          <w:szCs w:val="24"/>
          <w:rtl w:val="0"/>
        </w:rPr>
        <w:t xml:space="preserve">: Derived from technical performance testing, cost analysis, and provider feedback</w:t>
      </w:r>
    </w:p>
    <w:p w:rsidR="00000000" w:rsidDel="00000000" w:rsidP="00000000" w:rsidRDefault="00000000" w:rsidRPr="00000000" w14:paraId="000001A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 Threats</w:t>
      </w:r>
      <w:r w:rsidDel="00000000" w:rsidR="00000000" w:rsidRPr="00000000">
        <w:rPr>
          <w:rFonts w:ascii="Times New Roman" w:cs="Times New Roman" w:eastAsia="Times New Roman" w:hAnsi="Times New Roman"/>
          <w:sz w:val="24"/>
          <w:szCs w:val="24"/>
          <w:rtl w:val="0"/>
        </w:rPr>
        <w:t xml:space="preserve">: Identified through regulatory stakeholder interviews, policy document analysis, and environmental scanning</w:t>
      </w:r>
    </w:p>
    <w:p w:rsidR="00000000" w:rsidDel="00000000" w:rsidP="00000000" w:rsidRDefault="00000000" w:rsidRPr="00000000" w14:paraId="000001A9">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loyldfmyptl3" w:id="8"/>
      <w:bookmarkEnd w:id="8"/>
      <w:r w:rsidDel="00000000" w:rsidR="00000000" w:rsidRPr="00000000">
        <w:rPr>
          <w:rFonts w:ascii="Times New Roman" w:cs="Times New Roman" w:eastAsia="Times New Roman" w:hAnsi="Times New Roman"/>
          <w:b w:val="1"/>
          <w:bCs w:val="1"/>
          <w:color w:val="000000"/>
          <w:sz w:val="22"/>
          <w:szCs w:val="22"/>
          <w:rtl w:val="0"/>
        </w:rPr>
        <w:t xml:space="preserve">3.2.2 Technology Acceptance Model (TAM)</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operationalizes through testable hypotheses measured via validated survey instruments:</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w:t>
      </w:r>
      <w:r w:rsidDel="00000000" w:rsidR="00000000" w:rsidRPr="00000000">
        <w:rPr>
          <w:rFonts w:ascii="Times New Roman" w:cs="Times New Roman" w:eastAsia="Times New Roman" w:hAnsi="Times New Roman"/>
          <w:sz w:val="24"/>
          <w:szCs w:val="24"/>
          <w:rtl w:val="0"/>
        </w:rPr>
        <w:t xml:space="preserve">: Perceived usefulness of MediLedger Nigeria positively influences behavioral intention to adopt among healthcare providers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H2</w:t>
      </w:r>
      <w:r w:rsidDel="00000000" w:rsidR="00000000" w:rsidRPr="00000000">
        <w:rPr>
          <w:rFonts w:ascii="Times New Roman" w:cs="Times New Roman" w:eastAsia="Times New Roman" w:hAnsi="Times New Roman"/>
          <w:sz w:val="24"/>
          <w:szCs w:val="24"/>
          <w:rtl w:val="0"/>
        </w:rPr>
        <w:t xml:space="preserve">: Perceived ease of use positively influences behavioral intention to adopt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H3</w:t>
      </w:r>
      <w:r w:rsidDel="00000000" w:rsidR="00000000" w:rsidRPr="00000000">
        <w:rPr>
          <w:rFonts w:ascii="Times New Roman" w:cs="Times New Roman" w:eastAsia="Times New Roman" w:hAnsi="Times New Roman"/>
          <w:sz w:val="24"/>
          <w:szCs w:val="24"/>
          <w:rtl w:val="0"/>
        </w:rPr>
        <w:t xml:space="preserve">: Trust in data security positively influences behavioral intention to adopt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H4</w:t>
      </w:r>
      <w:r w:rsidDel="00000000" w:rsidR="00000000" w:rsidRPr="00000000">
        <w:rPr>
          <w:rFonts w:ascii="Times New Roman" w:cs="Times New Roman" w:eastAsia="Times New Roman" w:hAnsi="Times New Roman"/>
          <w:sz w:val="24"/>
          <w:szCs w:val="24"/>
          <w:rtl w:val="0"/>
        </w:rPr>
        <w:t xml:space="preserve">: Prior negative IT experiences negatively moderate the relationship between perceived usefulness and adoption intention</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instruments measure constructs using 7-point Likert scales (1=Strongly Disagree, 7=Strongly Agree) adapted from validated scales by Adenuga et al. (2017) and Holden and Karsh (2010).</w:t>
      </w:r>
    </w:p>
    <w:p w:rsidR="00000000" w:rsidDel="00000000" w:rsidP="00000000" w:rsidRDefault="00000000" w:rsidRPr="00000000" w14:paraId="000001A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z6qk1tz46qs" w:id="9"/>
      <w:bookmarkEnd w:id="9"/>
      <w:r w:rsidDel="00000000" w:rsidR="00000000" w:rsidRPr="00000000">
        <w:rPr>
          <w:rFonts w:ascii="Times New Roman" w:cs="Times New Roman" w:eastAsia="Times New Roman" w:hAnsi="Times New Roman"/>
          <w:b w:val="1"/>
          <w:bCs w:val="1"/>
          <w:color w:val="000000"/>
          <w:sz w:val="26"/>
          <w:szCs w:val="26"/>
          <w:rtl w:val="0"/>
        </w:rPr>
        <w:t xml:space="preserve">3.3 Population and Sampling</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Population</w:t>
      </w:r>
      <w:r w:rsidDel="00000000" w:rsidR="00000000" w:rsidRPr="00000000">
        <w:rPr>
          <w:rFonts w:ascii="Times New Roman" w:cs="Times New Roman" w:eastAsia="Times New Roman" w:hAnsi="Times New Roman"/>
          <w:sz w:val="24"/>
          <w:szCs w:val="24"/>
          <w:rtl w:val="0"/>
        </w:rPr>
        <w:t xml:space="preserve">: Healthcare providers (physicians, nurses, pharmacists, health information managers) in Lagos State hospitals</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Frame</w:t>
      </w:r>
      <w:r w:rsidDel="00000000" w:rsidR="00000000" w:rsidRPr="00000000">
        <w:rPr>
          <w:rFonts w:ascii="Times New Roman" w:cs="Times New Roman" w:eastAsia="Times New Roman" w:hAnsi="Times New Roman"/>
          <w:sz w:val="24"/>
          <w:szCs w:val="24"/>
          <w:rtl w:val="0"/>
        </w:rPr>
        <w:t xml:space="preserve">: Staff lists from Lagos State Health Service Commission and private hospital associations</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Strategy</w:t>
      </w:r>
      <w:r w:rsidDel="00000000" w:rsidR="00000000" w:rsidRPr="00000000">
        <w:rPr>
          <w:rFonts w:ascii="Times New Roman" w:cs="Times New Roman" w:eastAsia="Times New Roman" w:hAnsi="Times New Roman"/>
          <w:sz w:val="24"/>
          <w:szCs w:val="24"/>
          <w:rtl w:val="0"/>
        </w:rPr>
        <w:t xml:space="preserve">: Stratified random sampling across facility types and professional categories</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 Calculation</w:t>
      </w:r>
      <w:r w:rsidDel="00000000" w:rsidR="00000000" w:rsidRPr="00000000">
        <w:rPr>
          <w:rFonts w:ascii="Times New Roman" w:cs="Times New Roman" w:eastAsia="Times New Roman" w:hAnsi="Times New Roman"/>
          <w:sz w:val="24"/>
          <w:szCs w:val="24"/>
          <w:rtl w:val="0"/>
        </w:rPr>
        <w:t xml:space="preserve">: Using Cochran's formula for population proportion: n = (Z²pq)/e²</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B3">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 1.96 (95% confidence level)</w:t>
      </w:r>
    </w:p>
    <w:p w:rsidR="00000000" w:rsidDel="00000000" w:rsidP="00000000" w:rsidRDefault="00000000" w:rsidRPr="00000000" w14:paraId="000001B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0.5 (maximum variability, conservative estimate)</w:t>
      </w:r>
    </w:p>
    <w:p w:rsidR="00000000" w:rsidDel="00000000" w:rsidP="00000000" w:rsidRDefault="00000000" w:rsidRPr="00000000" w14:paraId="000001B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1-p = 0.5</w:t>
      </w:r>
    </w:p>
    <w:p w:rsidR="00000000" w:rsidDel="00000000" w:rsidP="00000000" w:rsidRDefault="00000000" w:rsidRPr="00000000" w14:paraId="000001B6">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0.05 (5% margin of error)</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(1.96² × 0.5 × 0.5)/0.05² = 384</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for finite population and anticipated 70% response rate: Target sample: 200 completed surveys</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type: Tertiary (40%), Secondary (40%), Primary (20%)</w:t>
      </w:r>
    </w:p>
    <w:p w:rsidR="00000000" w:rsidDel="00000000" w:rsidP="00000000" w:rsidRDefault="00000000" w:rsidRPr="00000000" w14:paraId="000001B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category: Physicians (35%), Nurses (35%), Pharmacists (20%), Health records (10%)</w:t>
      </w:r>
    </w:p>
    <w:p w:rsidR="00000000" w:rsidDel="00000000" w:rsidP="00000000" w:rsidRDefault="00000000" w:rsidRPr="00000000" w14:paraId="000001BC">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Surulere/Central Lagos (40%), Mainland (35%), Island (25%)</w:t>
      </w:r>
    </w:p>
    <w:p w:rsidR="00000000" w:rsidDel="00000000" w:rsidP="00000000" w:rsidRDefault="00000000" w:rsidRPr="00000000" w14:paraId="000001B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ye6hptoq7f4" w:id="10"/>
      <w:bookmarkEnd w:id="10"/>
      <w:r w:rsidDel="00000000" w:rsidR="00000000" w:rsidRPr="00000000">
        <w:rPr>
          <w:rFonts w:ascii="Times New Roman" w:cs="Times New Roman" w:eastAsia="Times New Roman" w:hAnsi="Times New Roman"/>
          <w:b w:val="1"/>
          <w:bCs w:val="1"/>
          <w:color w:val="000000"/>
          <w:sz w:val="26"/>
          <w:szCs w:val="26"/>
          <w:rtl w:val="0"/>
        </w:rPr>
        <w:t xml:space="preserve">3.4 Data Collection Methods and Instruments</w:t>
      </w:r>
    </w:p>
    <w:p w:rsidR="00000000" w:rsidDel="00000000" w:rsidP="00000000" w:rsidRDefault="00000000" w:rsidRPr="00000000" w14:paraId="000001B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kj1m2ltk806n" w:id="11"/>
      <w:bookmarkEnd w:id="11"/>
      <w:r w:rsidDel="00000000" w:rsidR="00000000" w:rsidRPr="00000000">
        <w:rPr>
          <w:rFonts w:ascii="Times New Roman" w:cs="Times New Roman" w:eastAsia="Times New Roman" w:hAnsi="Times New Roman"/>
          <w:b w:val="1"/>
          <w:bCs w:val="1"/>
          <w:color w:val="000000"/>
          <w:sz w:val="22"/>
          <w:szCs w:val="22"/>
          <w:rtl w:val="0"/>
        </w:rPr>
        <w:t xml:space="preserve">3.4.1 Healthcare Provider Survey (Quantitative)</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Instrument</w:t>
      </w:r>
      <w:r w:rsidDel="00000000" w:rsidR="00000000" w:rsidRPr="00000000">
        <w:rPr>
          <w:rFonts w:ascii="Times New Roman" w:cs="Times New Roman" w:eastAsia="Times New Roman" w:hAnsi="Times New Roman"/>
          <w:sz w:val="24"/>
          <w:szCs w:val="24"/>
          <w:rtl w:val="0"/>
        </w:rPr>
        <w:t xml:space="preserve">: Structured self-administered questionnaire (see Appendix A in separate data collection guide)</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Demographics (8 questions): Age, gender, professional category, years of experience, facility type, current EMR usage</w:t>
      </w:r>
    </w:p>
    <w:p w:rsidR="00000000" w:rsidDel="00000000" w:rsidP="00000000" w:rsidRDefault="00000000" w:rsidRPr="00000000" w14:paraId="000001C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data management challenges (12 questions): Pain points rated on 5-point severity scale</w:t>
      </w:r>
    </w:p>
    <w:p w:rsidR="00000000" w:rsidDel="00000000" w:rsidP="00000000" w:rsidRDefault="00000000" w:rsidRPr="00000000" w14:paraId="000001C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and digital health awareness (10 questions): Prior knowledge, information sources, general perceptions</w:t>
      </w:r>
    </w:p>
    <w:p w:rsidR="00000000" w:rsidDel="00000000" w:rsidP="00000000" w:rsidRDefault="00000000" w:rsidRPr="00000000" w14:paraId="000001C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constructs (20 questions): Perceived usefulness (6 items), Perceived ease of use (6 items), Trust in security (4 items), Adoption intention (4 items)</w:t>
      </w:r>
    </w:p>
    <w:p w:rsidR="00000000" w:rsidDel="00000000" w:rsidP="00000000" w:rsidRDefault="00000000" w:rsidRPr="00000000" w14:paraId="000001C5">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Incentivization and data monetization (8 questions): Willingness to participate in tokenized data sharing, acceptable compensation levels, ethical concerns</w:t>
      </w:r>
    </w:p>
    <w:p w:rsidR="00000000" w:rsidDel="00000000" w:rsidP="00000000" w:rsidRDefault="00000000" w:rsidRPr="00000000" w14:paraId="000001C6">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Open-ended feedback (3 questions): Suggestions, concerns, additional comments</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Method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Google Forms link sent via professional WhatsApp groups, hospital email lists</w:t>
      </w:r>
    </w:p>
    <w:p w:rsidR="00000000" w:rsidDel="00000000" w:rsidP="00000000" w:rsidRDefault="00000000" w:rsidRPr="00000000" w14:paraId="000001C9">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Paper-based: Distributed during hospital staff meetings and departmental rounds, with collection boxes at nursing stations and medical records departments</w:t>
      </w:r>
    </w:p>
    <w:p w:rsidR="00000000" w:rsidDel="00000000" w:rsidP="00000000" w:rsidRDefault="00000000" w:rsidRPr="00000000" w14:paraId="000001C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8 weeks (June 1 - July 31, 2025)</w:t>
      </w:r>
    </w:p>
    <w:p w:rsidR="00000000" w:rsidDel="00000000" w:rsidP="00000000" w:rsidRDefault="00000000" w:rsidRPr="00000000" w14:paraId="000001CB">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 ₦500 airtime for completed surveys (budget: ₦100,000 for 200 responses)</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Pilot Testing</w:t>
      </w:r>
      <w:r w:rsidDel="00000000" w:rsidR="00000000" w:rsidRPr="00000000">
        <w:rPr>
          <w:rFonts w:ascii="Times New Roman" w:cs="Times New Roman" w:eastAsia="Times New Roman" w:hAnsi="Times New Roman"/>
          <w:sz w:val="24"/>
          <w:szCs w:val="24"/>
          <w:rtl w:val="0"/>
        </w:rPr>
        <w:t xml:space="preserve">: instrument was pilot-tested with 15 healthcare providers (not included in final sample) to assess clarity and completion time (target &lt;15 minutes), and identify confusing questions</w:t>
      </w:r>
    </w:p>
    <w:p w:rsidR="00000000" w:rsidDel="00000000" w:rsidP="00000000" w:rsidRDefault="00000000" w:rsidRPr="00000000" w14:paraId="000001C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kn6ewvlnloi" w:id="12"/>
      <w:bookmarkEnd w:id="12"/>
      <w:r w:rsidDel="00000000" w:rsidR="00000000" w:rsidRPr="00000000">
        <w:rPr>
          <w:rFonts w:ascii="Times New Roman" w:cs="Times New Roman" w:eastAsia="Times New Roman" w:hAnsi="Times New Roman"/>
          <w:b w:val="1"/>
          <w:bCs w:val="1"/>
          <w:color w:val="000000"/>
          <w:sz w:val="22"/>
          <w:szCs w:val="22"/>
          <w:rtl w:val="0"/>
        </w:rPr>
        <w:t xml:space="preserve">3.4.2 Case Study Site Selection and Data Collection</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Case Study Sites</w:t>
      </w:r>
      <w:r w:rsidDel="00000000" w:rsidR="00000000" w:rsidRPr="00000000">
        <w:rPr>
          <w:rFonts w:ascii="Times New Roman" w:cs="Times New Roman" w:eastAsia="Times New Roman" w:hAnsi="Times New Roman"/>
          <w:sz w:val="24"/>
          <w:szCs w:val="24"/>
          <w:rtl w:val="0"/>
        </w:rPr>
        <w:t xml:space="preserve"> (all in Lagos, accessible to the researcher in Surulere):</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Randle General Hospital, Surulere</w:t>
      </w:r>
    </w:p>
    <w:p w:rsidR="00000000" w:rsidDel="00000000" w:rsidP="00000000" w:rsidRDefault="00000000" w:rsidRPr="00000000" w14:paraId="000001D0">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w:t>
      </w:r>
      <w:r w:rsidDel="00000000" w:rsidR="00000000" w:rsidRPr="00000000">
        <w:rPr>
          <w:rFonts w:ascii="Times New Roman" w:cs="Times New Roman" w:eastAsia="Times New Roman" w:hAnsi="Times New Roman"/>
          <w:sz w:val="24"/>
          <w:szCs w:val="24"/>
          <w:rtl w:val="0"/>
        </w:rPr>
        <w:t xml:space="preserve">: 200-bed public secondary facility, Lagos State government ownership</w:t>
      </w:r>
    </w:p>
    <w:p w:rsidR="00000000" w:rsidDel="00000000" w:rsidP="00000000" w:rsidRDefault="00000000" w:rsidRPr="00000000" w14:paraId="000001D1">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Catchment</w:t>
      </w:r>
      <w:r w:rsidDel="00000000" w:rsidR="00000000" w:rsidRPr="00000000">
        <w:rPr>
          <w:rFonts w:ascii="Times New Roman" w:cs="Times New Roman" w:eastAsia="Times New Roman" w:hAnsi="Times New Roman"/>
          <w:sz w:val="24"/>
          <w:szCs w:val="24"/>
          <w:rtl w:val="0"/>
        </w:rPr>
        <w:t xml:space="preserve">: Surulere, Yaba, Ebute Metta (~500,000 residents)</w:t>
      </w:r>
    </w:p>
    <w:p w:rsidR="00000000" w:rsidDel="00000000" w:rsidP="00000000" w:rsidRDefault="00000000" w:rsidRPr="00000000" w14:paraId="000001D2">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volume</w:t>
      </w:r>
      <w:r w:rsidDel="00000000" w:rsidR="00000000" w:rsidRPr="00000000">
        <w:rPr>
          <w:rFonts w:ascii="Times New Roman" w:cs="Times New Roman" w:eastAsia="Times New Roman" w:hAnsi="Times New Roman"/>
          <w:sz w:val="24"/>
          <w:szCs w:val="24"/>
          <w:rtl w:val="0"/>
        </w:rPr>
        <w:t xml:space="preserve">: 180,000 outpatients/year, 8,500 admissions</w:t>
      </w:r>
    </w:p>
    <w:p w:rsidR="00000000" w:rsidDel="00000000" w:rsidP="00000000" w:rsidRDefault="00000000" w:rsidRPr="00000000" w14:paraId="000001D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maturity</w:t>
      </w:r>
      <w:r w:rsidDel="00000000" w:rsidR="00000000" w:rsidRPr="00000000">
        <w:rPr>
          <w:rFonts w:ascii="Times New Roman" w:cs="Times New Roman" w:eastAsia="Times New Roman" w:hAnsi="Times New Roman"/>
          <w:sz w:val="24"/>
          <w:szCs w:val="24"/>
          <w:rtl w:val="0"/>
        </w:rPr>
        <w:t xml:space="preserve">: Hybrid paper-digital (basic registration software, paper clinical notes)</w:t>
      </w:r>
    </w:p>
    <w:p w:rsidR="00000000" w:rsidDel="00000000" w:rsidP="00000000" w:rsidRDefault="00000000" w:rsidRPr="00000000" w14:paraId="000001D4">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Selection rationale</w:t>
      </w:r>
      <w:r w:rsidDel="00000000" w:rsidR="00000000" w:rsidRPr="00000000">
        <w:rPr>
          <w:rFonts w:ascii="Times New Roman" w:cs="Times New Roman" w:eastAsia="Times New Roman" w:hAnsi="Times New Roman"/>
          <w:sz w:val="24"/>
          <w:szCs w:val="24"/>
          <w:rtl w:val="0"/>
        </w:rPr>
        <w:t xml:space="preserve">: Represents typical Lagos State secondary hospital; medium IT maturity; accessible for frequent visits; serves middle-income population</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St. Nicholas Hospital, Surulere</w:t>
      </w:r>
    </w:p>
    <w:p w:rsidR="00000000" w:rsidDel="00000000" w:rsidP="00000000" w:rsidRDefault="00000000" w:rsidRPr="00000000" w14:paraId="000001D6">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w:t>
      </w:r>
      <w:r w:rsidDel="00000000" w:rsidR="00000000" w:rsidRPr="00000000">
        <w:rPr>
          <w:rFonts w:ascii="Times New Roman" w:cs="Times New Roman" w:eastAsia="Times New Roman" w:hAnsi="Times New Roman"/>
          <w:sz w:val="24"/>
          <w:szCs w:val="24"/>
          <w:rtl w:val="0"/>
        </w:rPr>
        <w:t xml:space="preserve">: 100-bed private facility on Western Avenue</w:t>
      </w:r>
    </w:p>
    <w:p w:rsidR="00000000" w:rsidDel="00000000" w:rsidP="00000000" w:rsidRDefault="00000000" w:rsidRPr="00000000" w14:paraId="000001D7">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demographics</w:t>
      </w:r>
      <w:r w:rsidDel="00000000" w:rsidR="00000000" w:rsidRPr="00000000">
        <w:rPr>
          <w:rFonts w:ascii="Times New Roman" w:cs="Times New Roman" w:eastAsia="Times New Roman" w:hAnsi="Times New Roman"/>
          <w:sz w:val="24"/>
          <w:szCs w:val="24"/>
          <w:rtl w:val="0"/>
        </w:rPr>
        <w:t xml:space="preserve">: Upper-middle income, corporate clients, expatriates</w:t>
      </w:r>
    </w:p>
    <w:p w:rsidR="00000000" w:rsidDel="00000000" w:rsidP="00000000" w:rsidRDefault="00000000" w:rsidRPr="00000000" w14:paraId="000001D8">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volume</w:t>
      </w:r>
      <w:r w:rsidDel="00000000" w:rsidR="00000000" w:rsidRPr="00000000">
        <w:rPr>
          <w:rFonts w:ascii="Times New Roman" w:cs="Times New Roman" w:eastAsia="Times New Roman" w:hAnsi="Times New Roman"/>
          <w:sz w:val="24"/>
          <w:szCs w:val="24"/>
          <w:rtl w:val="0"/>
        </w:rPr>
        <w:t xml:space="preserve">: 45,000 outpatients/year, focus on maternity/pediatrics</w:t>
      </w:r>
    </w:p>
    <w:p w:rsidR="00000000" w:rsidDel="00000000" w:rsidP="00000000" w:rsidRDefault="00000000" w:rsidRPr="00000000" w14:paraId="000001D9">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maturity</w:t>
      </w:r>
      <w:r w:rsidDel="00000000" w:rsidR="00000000" w:rsidRPr="00000000">
        <w:rPr>
          <w:rFonts w:ascii="Times New Roman" w:cs="Times New Roman" w:eastAsia="Times New Roman" w:hAnsi="Times New Roman"/>
          <w:sz w:val="24"/>
          <w:szCs w:val="24"/>
          <w:rtl w:val="0"/>
        </w:rPr>
        <w:t xml:space="preserve">: Advanced (Helium Health EMR, 95% digital adoption)</w:t>
      </w:r>
    </w:p>
    <w:p w:rsidR="00000000" w:rsidDel="00000000" w:rsidP="00000000" w:rsidRDefault="00000000" w:rsidRPr="00000000" w14:paraId="000001DA">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Selection rationale</w:t>
      </w:r>
      <w:r w:rsidDel="00000000" w:rsidR="00000000" w:rsidRPr="00000000">
        <w:rPr>
          <w:rFonts w:ascii="Times New Roman" w:cs="Times New Roman" w:eastAsia="Times New Roman" w:hAnsi="Times New Roman"/>
          <w:sz w:val="24"/>
          <w:szCs w:val="24"/>
          <w:rtl w:val="0"/>
        </w:rPr>
        <w:t xml:space="preserve">: Best-case scenario showing digital health potential; private sector perspective; well-funded for technology investments</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Federal Medical Centre, Ebute Metta</w:t>
      </w:r>
    </w:p>
    <w:p w:rsidR="00000000" w:rsidDel="00000000" w:rsidP="00000000" w:rsidRDefault="00000000" w:rsidRPr="00000000" w14:paraId="000001DC">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w:t>
      </w:r>
      <w:r w:rsidDel="00000000" w:rsidR="00000000" w:rsidRPr="00000000">
        <w:rPr>
          <w:rFonts w:ascii="Times New Roman" w:cs="Times New Roman" w:eastAsia="Times New Roman" w:hAnsi="Times New Roman"/>
          <w:sz w:val="24"/>
          <w:szCs w:val="24"/>
          <w:rtl w:val="0"/>
        </w:rPr>
        <w:t xml:space="preserve">: 300-bed federal tertiary facility</w:t>
      </w:r>
    </w:p>
    <w:p w:rsidR="00000000" w:rsidDel="00000000" w:rsidP="00000000" w:rsidRDefault="00000000" w:rsidRPr="00000000" w14:paraId="000001D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Catchment</w:t>
      </w:r>
      <w:r w:rsidDel="00000000" w:rsidR="00000000" w:rsidRPr="00000000">
        <w:rPr>
          <w:rFonts w:ascii="Times New Roman" w:cs="Times New Roman" w:eastAsia="Times New Roman" w:hAnsi="Times New Roman"/>
          <w:sz w:val="24"/>
          <w:szCs w:val="24"/>
          <w:rtl w:val="0"/>
        </w:rPr>
        <w:t xml:space="preserve">: Lagos Mainland, serves as referral center for southwest Lagos</w:t>
      </w:r>
    </w:p>
    <w:p w:rsidR="00000000" w:rsidDel="00000000" w:rsidP="00000000" w:rsidRDefault="00000000" w:rsidRPr="00000000" w14:paraId="000001D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volume</w:t>
      </w:r>
      <w:r w:rsidDel="00000000" w:rsidR="00000000" w:rsidRPr="00000000">
        <w:rPr>
          <w:rFonts w:ascii="Times New Roman" w:cs="Times New Roman" w:eastAsia="Times New Roman" w:hAnsi="Times New Roman"/>
          <w:sz w:val="24"/>
          <w:szCs w:val="24"/>
          <w:rtl w:val="0"/>
        </w:rPr>
        <w:t xml:space="preserve">: 250,000 outpatients/year, 15,000 admissions</w:t>
      </w:r>
    </w:p>
    <w:p w:rsidR="00000000" w:rsidDel="00000000" w:rsidP="00000000" w:rsidRDefault="00000000" w:rsidRPr="00000000" w14:paraId="000001D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 maturity</w:t>
      </w:r>
      <w:r w:rsidDel="00000000" w:rsidR="00000000" w:rsidRPr="00000000">
        <w:rPr>
          <w:rFonts w:ascii="Times New Roman" w:cs="Times New Roman" w:eastAsia="Times New Roman" w:hAnsi="Times New Roman"/>
          <w:sz w:val="24"/>
          <w:szCs w:val="24"/>
          <w:rtl w:val="0"/>
        </w:rPr>
        <w:t xml:space="preserve">: Minimal (90% paper-based, stalled EMR pilot in 2023)</w:t>
      </w:r>
    </w:p>
    <w:p w:rsidR="00000000" w:rsidDel="00000000" w:rsidP="00000000" w:rsidRDefault="00000000" w:rsidRPr="00000000" w14:paraId="000001E0">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Selection rationale</w:t>
      </w:r>
      <w:r w:rsidDel="00000000" w:rsidR="00000000" w:rsidRPr="00000000">
        <w:rPr>
          <w:rFonts w:ascii="Times New Roman" w:cs="Times New Roman" w:eastAsia="Times New Roman" w:hAnsi="Times New Roman"/>
          <w:sz w:val="24"/>
          <w:szCs w:val="24"/>
          <w:rtl w:val="0"/>
        </w:rPr>
        <w:t xml:space="preserve">: Represents resource-constrained federal hospitals; high NHIS patient load; critical test of feasibility under difficult conditions; close proximity to researcher</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per Site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Document Analysis (Secondary Data)</w:t>
      </w:r>
    </w:p>
    <w:p w:rsidR="00000000" w:rsidDel="00000000" w:rsidP="00000000" w:rsidRDefault="00000000" w:rsidRPr="00000000" w14:paraId="000001E3">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annual reports (2022-2024): Patient volumes, service statistics, financial data</w:t>
      </w:r>
    </w:p>
    <w:p w:rsidR="00000000" w:rsidDel="00000000" w:rsidP="00000000" w:rsidRDefault="00000000" w:rsidRPr="00000000" w14:paraId="000001E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EMR system documentation: Technical specifications, user manuals, implementation reports</w:t>
      </w:r>
    </w:p>
    <w:p w:rsidR="00000000" w:rsidDel="00000000" w:rsidP="00000000" w:rsidRDefault="00000000" w:rsidRPr="00000000" w14:paraId="000001E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NHIS claims procedures: Workflow documents, forms, processing timelines</w:t>
      </w:r>
    </w:p>
    <w:p w:rsidR="00000000" w:rsidDel="00000000" w:rsidP="00000000" w:rsidRDefault="00000000" w:rsidRPr="00000000" w14:paraId="000001E6">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records policies: Retention schedules, access protocols, privacy policies</w:t>
      </w:r>
    </w:p>
    <w:p w:rsidR="00000000" w:rsidDel="00000000" w:rsidP="00000000" w:rsidRDefault="00000000" w:rsidRPr="00000000" w14:paraId="000001E7">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infrastructure inventories: Hardware, software, network specifications</w:t>
      </w:r>
    </w:p>
    <w:p w:rsidR="00000000" w:rsidDel="00000000" w:rsidP="00000000" w:rsidRDefault="00000000" w:rsidRPr="00000000" w14:paraId="000001E8">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Hospital websites, freedom of information requests, publicly available reports, hospital administration with permissions</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Semi-Structured Interviews (Primary Data)</w:t>
      </w:r>
    </w:p>
    <w:p w:rsidR="00000000" w:rsidDel="00000000" w:rsidP="00000000" w:rsidRDefault="00000000" w:rsidRPr="00000000" w14:paraId="000001E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w:t>
      </w:r>
      <w:r w:rsidDel="00000000" w:rsidR="00000000" w:rsidRPr="00000000">
        <w:rPr>
          <w:rFonts w:ascii="Times New Roman" w:cs="Times New Roman" w:eastAsia="Times New Roman" w:hAnsi="Times New Roman"/>
          <w:sz w:val="24"/>
          <w:szCs w:val="24"/>
          <w:rtl w:val="0"/>
        </w:rPr>
        <w:t xml:space="preserve">: Purposive sampling of key informants (5-7 per facility)</w:t>
        <w:br w:type="textWrapping"/>
      </w:r>
    </w:p>
    <w:p w:rsidR="00000000" w:rsidDel="00000000" w:rsidP="00000000" w:rsidRDefault="00000000" w:rsidRPr="00000000" w14:paraId="000001EB">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Director/Chief Medical Officer</w:t>
      </w:r>
    </w:p>
    <w:p w:rsidR="00000000" w:rsidDel="00000000" w:rsidP="00000000" w:rsidRDefault="00000000" w:rsidRPr="00000000" w14:paraId="000001EC">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Medical Records/Health Information Management</w:t>
      </w:r>
    </w:p>
    <w:p w:rsidR="00000000" w:rsidDel="00000000" w:rsidP="00000000" w:rsidRDefault="00000000" w:rsidRPr="00000000" w14:paraId="000001ED">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Manager/Systems Administrator</w:t>
      </w:r>
    </w:p>
    <w:p w:rsidR="00000000" w:rsidDel="00000000" w:rsidP="00000000" w:rsidRDefault="00000000" w:rsidRPr="00000000" w14:paraId="000001E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Clinician (Consultant physician or surgeon)</w:t>
      </w:r>
    </w:p>
    <w:p w:rsidR="00000000" w:rsidDel="00000000" w:rsidP="00000000" w:rsidRDefault="00000000" w:rsidRPr="00000000" w14:paraId="000001E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Pharmacist/Chief Pharmacist</w:t>
      </w:r>
    </w:p>
    <w:p w:rsidR="00000000" w:rsidDel="00000000" w:rsidP="00000000" w:rsidRDefault="00000000" w:rsidRPr="00000000" w14:paraId="000001F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NHIS Desk Officer (where applicable)</w:t>
      </w:r>
    </w:p>
    <w:p w:rsidR="00000000" w:rsidDel="00000000" w:rsidP="00000000" w:rsidRDefault="00000000" w:rsidRPr="00000000" w14:paraId="000001F1">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Frontline staff (nurse, junior doctor) for ground-level perspectives</w:t>
      </w:r>
    </w:p>
    <w:p w:rsidR="00000000" w:rsidDel="00000000" w:rsidP="00000000" w:rsidRDefault="00000000" w:rsidRPr="00000000" w14:paraId="000001F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 Protocol</w:t>
      </w:r>
      <w:r w:rsidDel="00000000" w:rsidR="00000000" w:rsidRPr="00000000">
        <w:rPr>
          <w:rFonts w:ascii="Times New Roman" w:cs="Times New Roman" w:eastAsia="Times New Roman" w:hAnsi="Times New Roman"/>
          <w:sz w:val="24"/>
          <w:szCs w:val="24"/>
          <w:rtl w:val="0"/>
        </w:rPr>
        <w:t xml:space="preserve"> (see Appendix B in the data collection guide):</w:t>
        <w:br w:type="textWrapping"/>
      </w:r>
    </w:p>
    <w:p w:rsidR="00000000" w:rsidDel="00000000" w:rsidP="00000000" w:rsidRDefault="00000000" w:rsidRPr="00000000" w14:paraId="000001F3">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45-60 minutes</w:t>
      </w:r>
    </w:p>
    <w:p w:rsidR="00000000" w:rsidDel="00000000" w:rsidP="00000000" w:rsidRDefault="00000000" w:rsidRPr="00000000" w14:paraId="000001F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Hospital administrative offices, private conference rooms</w:t>
      </w:r>
    </w:p>
    <w:p w:rsidR="00000000" w:rsidDel="00000000" w:rsidP="00000000" w:rsidRDefault="00000000" w:rsidRPr="00000000" w14:paraId="000001F5">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Audio recorded with informed consent, transcribed verbatim</w:t>
      </w:r>
    </w:p>
    <w:p w:rsidR="00000000" w:rsidDel="00000000" w:rsidP="00000000" w:rsidRDefault="00000000" w:rsidRPr="00000000" w14:paraId="000001F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 Current data management workflows, pain points, EMR experiences, blockchain awareness, perceived benefits/concerns of MediLedger, adoption willingness, implementation barriers, suggestions</w:t>
      </w:r>
    </w:p>
    <w:p w:rsidR="00000000" w:rsidDel="00000000" w:rsidP="00000000" w:rsidRDefault="00000000" w:rsidRPr="00000000" w14:paraId="000001F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3 weeks per hospital (21 interviews total), conducted July-September 2025</w:t>
        <w:br w:type="textWrapping"/>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Observational Study (Primary Data)</w:t>
      </w:r>
    </w:p>
    <w:p w:rsidR="00000000" w:rsidDel="00000000" w:rsidP="00000000" w:rsidRDefault="00000000" w:rsidRPr="00000000" w14:paraId="000001F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Non-participant observation (researcher as observer, not involved in clinical work)</w:t>
        <w:br w:type="textWrapping"/>
      </w:r>
    </w:p>
    <w:p w:rsidR="00000000" w:rsidDel="00000000" w:rsidP="00000000" w:rsidRDefault="00000000" w:rsidRPr="00000000" w14:paraId="000001F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6-8 hours per facility (18-24 hours total)</w:t>
        <w:br w:type="textWrapping"/>
      </w:r>
    </w:p>
    <w:p w:rsidR="00000000" w:rsidDel="00000000" w:rsidP="00000000" w:rsidRDefault="00000000" w:rsidRPr="00000000" w14:paraId="000001F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Areas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F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registration processes</w:t>
      </w:r>
    </w:p>
    <w:p w:rsidR="00000000" w:rsidDel="00000000" w:rsidP="00000000" w:rsidRDefault="00000000" w:rsidRPr="00000000" w14:paraId="000001F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record retrieval workflows</w:t>
      </w:r>
    </w:p>
    <w:p w:rsidR="00000000" w:rsidDel="00000000" w:rsidP="00000000" w:rsidRDefault="00000000" w:rsidRPr="00000000" w14:paraId="000001F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NHIS claims preparation procedures</w:t>
      </w:r>
    </w:p>
    <w:p w:rsidR="00000000" w:rsidDel="00000000" w:rsidP="00000000" w:rsidRDefault="00000000" w:rsidRPr="00000000" w14:paraId="000001F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Pharmacy documentation and drug dispensing</w:t>
      </w:r>
    </w:p>
    <w:p w:rsidR="00000000" w:rsidDel="00000000" w:rsidP="00000000" w:rsidRDefault="00000000" w:rsidRPr="00000000" w14:paraId="0000020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department record access</w:t>
      </w:r>
    </w:p>
    <w:p w:rsidR="00000000" w:rsidDel="00000000" w:rsidP="00000000" w:rsidRDefault="00000000" w:rsidRPr="00000000" w14:paraId="0000020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letter preparation</w:t>
      </w:r>
    </w:p>
    <w:p w:rsidR="00000000" w:rsidDel="00000000" w:rsidP="00000000" w:rsidRDefault="00000000" w:rsidRPr="00000000" w14:paraId="0000020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Recording</w:t>
      </w:r>
      <w:r w:rsidDel="00000000" w:rsidR="00000000" w:rsidRPr="00000000">
        <w:rPr>
          <w:rFonts w:ascii="Times New Roman" w:cs="Times New Roman" w:eastAsia="Times New Roman" w:hAnsi="Times New Roman"/>
          <w:sz w:val="24"/>
          <w:szCs w:val="24"/>
          <w:rtl w:val="0"/>
        </w:rPr>
        <w:t xml:space="preserve">: Detailed field notes documenting</w:t>
        <w:br w:type="textWrapping"/>
      </w:r>
    </w:p>
    <w:p w:rsidR="00000000" w:rsidDel="00000000" w:rsidP="00000000" w:rsidRDefault="00000000" w:rsidRPr="00000000" w14:paraId="00000203">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steps and time taken</w:t>
      </w:r>
    </w:p>
    <w:p w:rsidR="00000000" w:rsidDel="00000000" w:rsidP="00000000" w:rsidRDefault="00000000" w:rsidRPr="00000000" w14:paraId="00000204">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Bottlenecks and inefficiencies</w:t>
      </w:r>
    </w:p>
    <w:p w:rsidR="00000000" w:rsidDel="00000000" w:rsidP="00000000" w:rsidRDefault="00000000" w:rsidRPr="00000000" w14:paraId="0000020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usage patterns</w:t>
      </w:r>
    </w:p>
    <w:p w:rsidR="00000000" w:rsidDel="00000000" w:rsidP="00000000" w:rsidRDefault="00000000" w:rsidRPr="00000000" w14:paraId="0000020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frustrations and workarounds</w:t>
      </w:r>
    </w:p>
    <w:p w:rsidR="00000000" w:rsidDel="00000000" w:rsidP="00000000" w:rsidRDefault="00000000" w:rsidRPr="00000000" w14:paraId="0000020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failures or errors witnessed</w:t>
      </w:r>
    </w:p>
    <w:p w:rsidR="00000000" w:rsidDel="00000000" w:rsidP="00000000" w:rsidRDefault="00000000" w:rsidRPr="00000000" w14:paraId="0000020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environment (file storage, computer availability)</w:t>
      </w:r>
    </w:p>
    <w:p w:rsidR="00000000" w:rsidDel="00000000" w:rsidP="00000000" w:rsidRDefault="00000000" w:rsidRPr="00000000" w14:paraId="0000020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r w:rsidDel="00000000" w:rsidR="00000000" w:rsidRPr="00000000">
        <w:rPr>
          <w:rFonts w:ascii="Times New Roman" w:cs="Times New Roman" w:eastAsia="Times New Roman" w:hAnsi="Times New Roman"/>
          <w:sz w:val="24"/>
          <w:szCs w:val="24"/>
          <w:rtl w:val="0"/>
        </w:rPr>
        <w:t xml:space="preserve">: Observation in public hospital areas only (not patient exam rooms), no recording of patient identities or confidential information</w:t>
        <w:br w:type="textWrapping"/>
      </w:r>
    </w:p>
    <w:p w:rsidR="00000000" w:rsidDel="00000000" w:rsidP="00000000" w:rsidRDefault="00000000" w:rsidRPr="00000000" w14:paraId="0000020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Validation Workshop (Primary Data)</w:t>
      </w:r>
    </w:p>
    <w:p w:rsidR="00000000" w:rsidDel="00000000" w:rsidP="00000000" w:rsidRDefault="00000000" w:rsidRPr="00000000" w14:paraId="0000020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r w:rsidDel="00000000" w:rsidR="00000000" w:rsidRPr="00000000">
        <w:rPr>
          <w:rFonts w:ascii="Times New Roman" w:cs="Times New Roman" w:eastAsia="Times New Roman" w:hAnsi="Times New Roman"/>
          <w:sz w:val="24"/>
          <w:szCs w:val="24"/>
          <w:rtl w:val="0"/>
        </w:rPr>
        <w:t xml:space="preserve">: 8-12 representatives from all three hospitals (mix of administrators, clinicians, IT staff)</w:t>
        <w:br w:type="textWrapping"/>
      </w:r>
    </w:p>
    <w:p w:rsidR="00000000" w:rsidDel="00000000" w:rsidP="00000000" w:rsidRDefault="00000000" w:rsidRPr="00000000" w14:paraId="0000020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3-hour facilitated workshop at neutral venue (MIVA Open University or community center)</w:t>
        <w:br w:type="textWrapping"/>
      </w:r>
    </w:p>
    <w:p w:rsidR="00000000" w:rsidDel="00000000" w:rsidP="00000000" w:rsidRDefault="00000000" w:rsidRPr="00000000" w14:paraId="0000020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20E">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preliminary findings from surveys, interviews, observations</w:t>
      </w:r>
    </w:p>
    <w:p w:rsidR="00000000" w:rsidDel="00000000" w:rsidP="00000000" w:rsidRDefault="00000000" w:rsidRPr="00000000" w14:paraId="0000020F">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MediLedger Nigeria architecture via prototype mockups</w:t>
      </w:r>
    </w:p>
    <w:p w:rsidR="00000000" w:rsidDel="00000000" w:rsidP="00000000" w:rsidRDefault="00000000" w:rsidRPr="00000000" w14:paraId="00000210">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on feasibility, appropriateness, potential barriers</w:t>
      </w:r>
    </w:p>
    <w:p w:rsidR="00000000" w:rsidDel="00000000" w:rsidP="00000000" w:rsidRDefault="00000000" w:rsidRPr="00000000" w14:paraId="00000211">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implementation recommendations collaboratively</w:t>
      </w:r>
    </w:p>
    <w:p w:rsidR="00000000" w:rsidDel="00000000" w:rsidP="00000000" w:rsidRDefault="00000000" w:rsidRPr="00000000" w14:paraId="0000021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Late October 2025 (after data analysis of earlier phases)</w:t>
        <w:br w:type="textWrapping"/>
      </w:r>
    </w:p>
    <w:p w:rsidR="00000000" w:rsidDel="00000000" w:rsidP="00000000" w:rsidRDefault="00000000" w:rsidRPr="00000000" w14:paraId="00000213">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Recording</w:t>
      </w:r>
      <w:r w:rsidDel="00000000" w:rsidR="00000000" w:rsidRPr="00000000">
        <w:rPr>
          <w:rFonts w:ascii="Times New Roman" w:cs="Times New Roman" w:eastAsia="Times New Roman" w:hAnsi="Times New Roman"/>
          <w:sz w:val="24"/>
          <w:szCs w:val="24"/>
          <w:rtl w:val="0"/>
        </w:rPr>
        <w:t xml:space="preserve">: Audio recorded, flip chart notes photographed, participant feedback forms collected</w:t>
        <w:br w:type="textWrapping"/>
      </w:r>
    </w:p>
    <w:p w:rsidR="00000000" w:rsidDel="00000000" w:rsidP="00000000" w:rsidRDefault="00000000" w:rsidRPr="00000000" w14:paraId="000002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t3zxj1e3sc3" w:id="13"/>
      <w:bookmarkEnd w:id="13"/>
      <w:r w:rsidDel="00000000" w:rsidR="00000000" w:rsidRPr="00000000">
        <w:rPr>
          <w:rFonts w:ascii="Times New Roman" w:cs="Times New Roman" w:eastAsia="Times New Roman" w:hAnsi="Times New Roman"/>
          <w:b w:val="1"/>
          <w:bCs w:val="1"/>
          <w:color w:val="000000"/>
          <w:sz w:val="26"/>
          <w:szCs w:val="26"/>
          <w:rtl w:val="0"/>
        </w:rPr>
        <w:t xml:space="preserve">3.5 Data Analysis Procedures</w:t>
      </w:r>
    </w:p>
    <w:p w:rsidR="00000000" w:rsidDel="00000000" w:rsidP="00000000" w:rsidRDefault="00000000" w:rsidRPr="00000000" w14:paraId="0000021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idnalftovuwo" w:id="14"/>
      <w:bookmarkEnd w:id="14"/>
      <w:r w:rsidDel="00000000" w:rsidR="00000000" w:rsidRPr="00000000">
        <w:rPr>
          <w:rFonts w:ascii="Times New Roman" w:cs="Times New Roman" w:eastAsia="Times New Roman" w:hAnsi="Times New Roman"/>
          <w:b w:val="1"/>
          <w:bCs w:val="1"/>
          <w:color w:val="000000"/>
          <w:sz w:val="22"/>
          <w:szCs w:val="22"/>
          <w:rtl w:val="0"/>
        </w:rPr>
        <w:t xml:space="preserve">3.5.1 Quantitative Data Analysis</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sz w:val="24"/>
          <w:szCs w:val="24"/>
          <w:rtl w:val="0"/>
        </w:rPr>
        <w:t xml:space="preserve">: SPSS v28 and Python (pandas, scipy, statsmodels libraries)</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Frequencies and percentages for categorical variables (demographics, facility types, technology usage)</w:t>
      </w:r>
    </w:p>
    <w:p w:rsidR="00000000" w:rsidDel="00000000" w:rsidP="00000000" w:rsidRDefault="00000000" w:rsidRPr="00000000" w14:paraId="000002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Means, medians, standard deviations for continuous variables (pain point severity, TAM scale scores)</w:t>
      </w:r>
    </w:p>
    <w:p w:rsidR="00000000" w:rsidDel="00000000" w:rsidP="00000000" w:rsidRDefault="00000000" w:rsidRPr="00000000" w14:paraId="000002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Cross-tabulations of key variables (professional category × adoption willingness, facility type × EMR maturity)</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Inferential Statistics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Independent Samples t-tests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urban vs. peri-urban respondents on adoption intention</w:t>
      </w:r>
    </w:p>
    <w:p w:rsidR="00000000" w:rsidDel="00000000" w:rsidP="00000000" w:rsidRDefault="00000000" w:rsidRPr="00000000" w14:paraId="0000021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public vs. private facility staff on perceived usefulness</w:t>
      </w:r>
    </w:p>
    <w:p w:rsidR="00000000" w:rsidDel="00000000" w:rsidP="00000000" w:rsidRDefault="00000000" w:rsidRPr="00000000" w14:paraId="0000021F">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level: p &lt; 0.05</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One-Way ANOVA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adoption intentions across professional categories (physicians, nurses, pharmacists, health records officers)</w:t>
      </w:r>
    </w:p>
    <w:p w:rsidR="00000000" w:rsidDel="00000000" w:rsidP="00000000" w:rsidRDefault="00000000" w:rsidRPr="00000000" w14:paraId="00000222">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Post-hoc tests (Tukey HSD) for pairwise comparisons if ANOVA significant</w:t>
      </w:r>
    </w:p>
    <w:p w:rsidR="00000000" w:rsidDel="00000000" w:rsidP="00000000" w:rsidRDefault="00000000" w:rsidRPr="00000000" w14:paraId="00000223">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level: p &lt; 0.05</w:t>
      </w:r>
    </w:p>
    <w:p w:rsidR="00000000" w:rsidDel="00000000" w:rsidP="00000000" w:rsidRDefault="00000000" w:rsidRPr="00000000" w14:paraId="000002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Multiple Linear Regression</w:t>
      </w:r>
      <w:r w:rsidDel="00000000" w:rsidR="00000000" w:rsidRPr="00000000">
        <w:rPr>
          <w:rFonts w:ascii="Times New Roman" w:cs="Times New Roman" w:eastAsia="Times New Roman" w:hAnsi="Times New Roman"/>
          <w:sz w:val="24"/>
          <w:szCs w:val="24"/>
          <w:rtl w:val="0"/>
        </w:rPr>
        <w:t xml:space="preserve"> (TAM hypothesis testing):</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statsmodels.api as sm</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Dependent variable: Adoption Intention (AI)</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Independent variables: Perceived Usefulness (PU), Perceived Ease of Use (PEOU),</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Trust in Security (TR), Prior IT Experience (negative coded)</w:t>
      </w:r>
    </w:p>
    <w:p w:rsidR="00000000" w:rsidDel="00000000" w:rsidP="00000000" w:rsidRDefault="00000000" w:rsidRPr="00000000" w14:paraId="000002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variables: Age, Gender, Professional Category</w:t>
      </w:r>
    </w:p>
    <w:p w:rsidR="00000000" w:rsidDel="00000000" w:rsidP="00000000" w:rsidRDefault="00000000" w:rsidRPr="00000000" w14:paraId="000002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pd.read_csv('survey_responses.csv')</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 variables</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data[['PU', 'PEOU', 'TR', 'Prior_IT_negative', 'Age', 'Gender_coded', 'Professional_coded']]</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sm.add_constant(X)  # Add intercept</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data['Adoption_Intention']</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regression</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sm.OLS(y, X). fit()</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print(model.summary())</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Assess model fit: R², Adjusted R², F-statistic</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assumptions: normality of residuals, homoscedasticity, multicollinearity (VIF)</w:t>
      </w:r>
    </w:p>
    <w:p w:rsidR="00000000" w:rsidDel="00000000" w:rsidP="00000000" w:rsidRDefault="00000000" w:rsidRPr="00000000" w14:paraId="000002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Chi-Square Tests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between facility type and EMR readiness</w:t>
      </w:r>
    </w:p>
    <w:p w:rsidR="00000000" w:rsidDel="00000000" w:rsidP="00000000" w:rsidRDefault="00000000" w:rsidRPr="00000000" w14:paraId="0000023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between professional category and willingness to share anonymized data for tokens</w:t>
      </w:r>
    </w:p>
    <w:p w:rsidR="00000000" w:rsidDel="00000000" w:rsidP="00000000" w:rsidRDefault="00000000" w:rsidRPr="00000000" w14:paraId="0000023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level: p &lt; 0.05</w:t>
      </w:r>
    </w:p>
    <w:p w:rsidR="00000000" w:rsidDel="00000000" w:rsidP="00000000" w:rsidRDefault="00000000" w:rsidRPr="00000000" w14:paraId="000002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Token Incentive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on acceptable token compensation levels (mean, median, range)</w:t>
      </w:r>
    </w:p>
    <w:p w:rsidR="00000000" w:rsidDel="00000000" w:rsidP="00000000" w:rsidRDefault="00000000" w:rsidRPr="00000000" w14:paraId="000002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between income levels and minimum acceptable compensation</w:t>
      </w:r>
    </w:p>
    <w:p w:rsidR="00000000" w:rsidDel="00000000" w:rsidP="00000000" w:rsidRDefault="00000000" w:rsidRPr="00000000" w14:paraId="0000024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Willingness to participate vs. compensation amount (logistic regression)</w:t>
      </w:r>
    </w:p>
    <w:p w:rsidR="00000000" w:rsidDel="00000000" w:rsidP="00000000" w:rsidRDefault="00000000" w:rsidRPr="00000000" w14:paraId="0000024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wjsi0p6sjc0x" w:id="15"/>
      <w:bookmarkEnd w:id="15"/>
      <w:r w:rsidDel="00000000" w:rsidR="00000000" w:rsidRPr="00000000">
        <w:rPr>
          <w:rFonts w:ascii="Times New Roman" w:cs="Times New Roman" w:eastAsia="Times New Roman" w:hAnsi="Times New Roman"/>
          <w:b w:val="1"/>
          <w:bCs w:val="1"/>
          <w:color w:val="000000"/>
          <w:sz w:val="22"/>
          <w:szCs w:val="22"/>
          <w:rtl w:val="0"/>
        </w:rPr>
        <w:t xml:space="preserve">3.5.2 Qualitative Data Analysis</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sz w:val="24"/>
          <w:szCs w:val="24"/>
          <w:rtl w:val="0"/>
        </w:rPr>
        <w:t xml:space="preserve">: NVivo 14 for coding and thematic analysis</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Thematic Analysis Procedure</w:t>
      </w:r>
      <w:r w:rsidDel="00000000" w:rsidR="00000000" w:rsidRPr="00000000">
        <w:rPr>
          <w:rFonts w:ascii="Times New Roman" w:cs="Times New Roman" w:eastAsia="Times New Roman" w:hAnsi="Times New Roman"/>
          <w:sz w:val="24"/>
          <w:szCs w:val="24"/>
          <w:rtl w:val="0"/>
        </w:rPr>
        <w:t xml:space="preserve"> (Braun &amp; Clarke, 2006):</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1: Familiarization</w:t>
      </w:r>
    </w:p>
    <w:p w:rsidR="00000000" w:rsidDel="00000000" w:rsidP="00000000" w:rsidRDefault="00000000" w:rsidRPr="00000000" w14:paraId="0000024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Transcribe all interviews verbatim (or verify transcription service accuracy)</w:t>
      </w:r>
    </w:p>
    <w:p w:rsidR="00000000" w:rsidDel="00000000" w:rsidP="00000000" w:rsidRDefault="00000000" w:rsidRPr="00000000" w14:paraId="0000024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transcripts multiple times, noting initial impressions</w:t>
      </w:r>
    </w:p>
    <w:p w:rsidR="00000000" w:rsidDel="00000000" w:rsidP="00000000" w:rsidRDefault="00000000" w:rsidRPr="00000000" w14:paraId="0000024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field notes from observations</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2: Generating Initial Codes</w:t>
      </w:r>
    </w:p>
    <w:p w:rsidR="00000000" w:rsidDel="00000000" w:rsidP="00000000" w:rsidRDefault="00000000" w:rsidRPr="00000000" w14:paraId="0000024B">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data systematically across entire dataset</w:t>
      </w:r>
    </w:p>
    <w:p w:rsidR="00000000" w:rsidDel="00000000" w:rsidP="00000000" w:rsidRDefault="00000000" w:rsidRPr="00000000" w14:paraId="0000024C">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both deductive codes (from literature, research questions) and inductive codes (emerging from data)</w:t>
      </w:r>
    </w:p>
    <w:p w:rsidR="00000000" w:rsidDel="00000000" w:rsidP="00000000" w:rsidRDefault="00000000" w:rsidRPr="00000000" w14:paraId="0000024D">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deductive codes: "workflow disruption," "trust concerns," "NHIS inefficiency"</w:t>
      </w:r>
    </w:p>
    <w:p w:rsidR="00000000" w:rsidDel="00000000" w:rsidP="00000000" w:rsidRDefault="00000000" w:rsidRPr="00000000" w14:paraId="0000024E">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inductive codes: "digital burnout," "vendor lock-in fears," "generational technology divide"</w:t>
      </w:r>
    </w:p>
    <w:p w:rsidR="00000000" w:rsidDel="00000000" w:rsidP="00000000" w:rsidRDefault="00000000" w:rsidRPr="00000000" w14:paraId="000002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Searching for Themes</w:t>
      </w:r>
    </w:p>
    <w:p w:rsidR="00000000" w:rsidDel="00000000" w:rsidP="00000000" w:rsidRDefault="00000000" w:rsidRPr="00000000" w14:paraId="0000025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codes into potential themes</w:t>
      </w:r>
    </w:p>
    <w:p w:rsidR="00000000" w:rsidDel="00000000" w:rsidP="00000000" w:rsidRDefault="00000000" w:rsidRPr="00000000" w14:paraId="0000025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mind maps or thematic tables to organize relationships</w:t>
      </w:r>
    </w:p>
    <w:p w:rsidR="00000000" w:rsidDel="00000000" w:rsidP="00000000" w:rsidRDefault="00000000" w:rsidRPr="00000000" w14:paraId="0000025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preliminary themes: "Infrastructure as barrier vs. enabler," "Economic incentives vs. ethical concerns," "Technology fatigue from past failures"</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Reviewing Themes</w:t>
      </w:r>
    </w:p>
    <w:p w:rsidR="00000000" w:rsidDel="00000000" w:rsidP="00000000" w:rsidRDefault="00000000" w:rsidRPr="00000000" w14:paraId="0000025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themes work in relation to coded extracts and entire dataset</w:t>
      </w:r>
    </w:p>
    <w:p w:rsidR="00000000" w:rsidDel="00000000" w:rsidP="00000000" w:rsidRDefault="00000000" w:rsidRPr="00000000" w14:paraId="0000025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theme boundaries</w:t>
      </w:r>
    </w:p>
    <w:p w:rsidR="00000000" w:rsidDel="00000000" w:rsidP="00000000" w:rsidRDefault="00000000" w:rsidRPr="00000000" w14:paraId="00000256">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themes are distinct and coherent</w:t>
      </w:r>
    </w:p>
    <w:p w:rsidR="00000000" w:rsidDel="00000000" w:rsidP="00000000" w:rsidRDefault="00000000" w:rsidRPr="00000000" w14:paraId="000002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5: Defining and Naming Themes</w:t>
      </w:r>
    </w:p>
    <w:p w:rsidR="00000000" w:rsidDel="00000000" w:rsidP="00000000" w:rsidRDefault="00000000" w:rsidRPr="00000000" w14:paraId="0000025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analysis of each theme</w:t>
      </w:r>
    </w:p>
    <w:p w:rsidR="00000000" w:rsidDel="00000000" w:rsidP="00000000" w:rsidRDefault="00000000" w:rsidRPr="00000000" w14:paraId="0000025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definitions and scope for each theme</w:t>
      </w:r>
    </w:p>
    <w:p w:rsidR="00000000" w:rsidDel="00000000" w:rsidP="00000000" w:rsidRDefault="00000000" w:rsidRPr="00000000" w14:paraId="0000025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sub-themes where appropriate</w:t>
      </w:r>
    </w:p>
    <w:p w:rsidR="00000000" w:rsidDel="00000000" w:rsidP="00000000" w:rsidRDefault="00000000" w:rsidRPr="00000000" w14:paraId="0000025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6: Producing Report</w:t>
      </w:r>
    </w:p>
    <w:p w:rsidR="00000000" w:rsidDel="00000000" w:rsidP="00000000" w:rsidRDefault="00000000" w:rsidRPr="00000000" w14:paraId="0000025C">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compelling illustrative quotes for each theme</w:t>
      </w:r>
    </w:p>
    <w:p w:rsidR="00000000" w:rsidDel="00000000" w:rsidP="00000000" w:rsidRDefault="00000000" w:rsidRPr="00000000" w14:paraId="0000025D">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 findings back to research questions and literature</w:t>
      </w:r>
    </w:p>
    <w:p w:rsidR="00000000" w:rsidDel="00000000" w:rsidP="00000000" w:rsidRDefault="00000000" w:rsidRPr="00000000" w14:paraId="0000025E">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breadth (multiple perspectives) with depth (rich description)</w:t>
      </w:r>
    </w:p>
    <w:p w:rsidR="00000000" w:rsidDel="00000000" w:rsidP="00000000" w:rsidRDefault="00000000" w:rsidRPr="00000000" w14:paraId="000002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Inter-rater Reliability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of interview transcripts double-coded by second researcher (fellow MIT student or faculty)</w:t>
      </w:r>
    </w:p>
    <w:p w:rsidR="00000000" w:rsidDel="00000000" w:rsidP="00000000" w:rsidRDefault="00000000" w:rsidRPr="00000000" w14:paraId="0000026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Cohen's Kappa for agreement (target: κ &gt; 0.70, indicating substantial agreement)</w:t>
      </w:r>
    </w:p>
    <w:p w:rsidR="00000000" w:rsidDel="00000000" w:rsidP="00000000" w:rsidRDefault="00000000" w:rsidRPr="00000000" w14:paraId="00000262">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discrepancies and refine the codebook.</w:t>
      </w:r>
    </w:p>
    <w:p w:rsidR="00000000" w:rsidDel="00000000" w:rsidP="00000000" w:rsidRDefault="00000000" w:rsidRPr="00000000" w14:paraId="0000026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q717dyklaxrb" w:id="16"/>
      <w:bookmarkEnd w:id="16"/>
      <w:r w:rsidDel="00000000" w:rsidR="00000000" w:rsidRPr="00000000">
        <w:rPr>
          <w:rFonts w:ascii="Times New Roman" w:cs="Times New Roman" w:eastAsia="Times New Roman" w:hAnsi="Times New Roman"/>
          <w:b w:val="1"/>
          <w:bCs w:val="1"/>
          <w:color w:val="000000"/>
          <w:sz w:val="22"/>
          <w:szCs w:val="22"/>
          <w:rtl w:val="0"/>
        </w:rPr>
        <w:t xml:space="preserve">3.5.3 Mixed-Methods Integration</w:t>
      </w:r>
    </w:p>
    <w:p w:rsidR="00000000" w:rsidDel="00000000" w:rsidP="00000000" w:rsidRDefault="00000000" w:rsidRPr="00000000" w14:paraId="000002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Convergent Design Integration Points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quantitative survey reveals WHAT challenges exist and HOW MANY providers face them. → Qualitative interviews explore WHY challenges persist and HOW providers navigate them</w:t>
      </w:r>
    </w:p>
    <w:p w:rsidR="00000000" w:rsidDel="00000000" w:rsidP="00000000" w:rsidRDefault="00000000" w:rsidRPr="00000000" w14:paraId="0000026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TAM regression shows WHICH FACTORS predict adoption → Case studies illustrate MECHANISMS through which factors operate in practice</w:t>
      </w:r>
    </w:p>
    <w:p w:rsidR="00000000" w:rsidDel="00000000" w:rsidP="00000000" w:rsidRDefault="00000000" w:rsidRPr="00000000" w14:paraId="00000267">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Token compensation preferences (quantitative) → Ethical concerns and social acceptability (qualitative)</w:t>
      </w:r>
    </w:p>
    <w:p w:rsidR="00000000" w:rsidDel="00000000" w:rsidP="00000000" w:rsidRDefault="00000000" w:rsidRPr="00000000" w14:paraId="000002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Techniques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displays: Tables combining quantitative results with qualitative themes</w:t>
      </w:r>
    </w:p>
    <w:p w:rsidR="00000000" w:rsidDel="00000000" w:rsidP="00000000" w:rsidRDefault="00000000" w:rsidRPr="00000000" w14:paraId="0000026A">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transformation: Quantitize qualitative themes (count frequency of concerns mentioned) for comparison with survey data</w:t>
      </w:r>
    </w:p>
    <w:p w:rsidR="00000000" w:rsidDel="00000000" w:rsidP="00000000" w:rsidRDefault="00000000" w:rsidRPr="00000000" w14:paraId="0000026B">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weaving: Tell coherent story using both data types</w:t>
      </w:r>
    </w:p>
    <w:p w:rsidR="00000000" w:rsidDel="00000000" w:rsidP="00000000" w:rsidRDefault="00000000" w:rsidRPr="00000000" w14:paraId="0000026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5zbfs1xh2nm" w:id="17"/>
      <w:bookmarkEnd w:id="17"/>
      <w:r w:rsidDel="00000000" w:rsidR="00000000" w:rsidRPr="00000000">
        <w:rPr>
          <w:rFonts w:ascii="Times New Roman" w:cs="Times New Roman" w:eastAsia="Times New Roman" w:hAnsi="Times New Roman"/>
          <w:b w:val="1"/>
          <w:bCs w:val="1"/>
          <w:color w:val="000000"/>
          <w:sz w:val="26"/>
          <w:szCs w:val="26"/>
          <w:rtl w:val="0"/>
        </w:rPr>
        <w:t xml:space="preserve">3.6 Ethical Considerations</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Institutional Approval</w:t>
      </w:r>
      <w:r w:rsidDel="00000000" w:rsidR="00000000" w:rsidRPr="00000000">
        <w:rPr>
          <w:rFonts w:ascii="Times New Roman" w:cs="Times New Roman" w:eastAsia="Times New Roman" w:hAnsi="Times New Roman"/>
          <w:sz w:val="24"/>
          <w:szCs w:val="24"/>
          <w:rtl w:val="0"/>
        </w:rPr>
        <w:t xml:space="preserve">: Research proposal approved by MIVA Open University Research Ethics Committee (Application #MIVA-REC-2025-XXX, approval date: May 15, 2025)</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Informed Consent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receive written information sheets explaining study purpose, procedures, risks, benefits</w:t>
      </w:r>
    </w:p>
    <w:p w:rsidR="00000000" w:rsidDel="00000000" w:rsidP="00000000" w:rsidRDefault="00000000" w:rsidRPr="00000000" w14:paraId="0000027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Voluntary participation emphasized; right to withdraw anytime without penalty</w:t>
      </w:r>
    </w:p>
    <w:p w:rsidR="00000000" w:rsidDel="00000000" w:rsidP="00000000" w:rsidRDefault="00000000" w:rsidRPr="00000000" w14:paraId="0000027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consent forms for surveys, interviews, observations</w:t>
      </w:r>
    </w:p>
    <w:p w:rsidR="00000000" w:rsidDel="00000000" w:rsidP="00000000" w:rsidRDefault="00000000" w:rsidRPr="00000000" w14:paraId="0000027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recording consent obtained specifically for interviews</w:t>
      </w:r>
    </w:p>
    <w:p w:rsidR="00000000" w:rsidDel="00000000" w:rsidP="00000000" w:rsidRDefault="00000000" w:rsidRPr="00000000" w14:paraId="000002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and Anonymization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responses anonymous (no names collected)</w:t>
      </w:r>
    </w:p>
    <w:p w:rsidR="00000000" w:rsidDel="00000000" w:rsidP="00000000" w:rsidRDefault="00000000" w:rsidRPr="00000000" w14:paraId="00000275">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 participants assigned codes (e.g., P001 for Physician 1, N004 for Nurse 4)</w:t>
      </w:r>
    </w:p>
    <w:p w:rsidR="00000000" w:rsidDel="00000000" w:rsidP="00000000" w:rsidRDefault="00000000" w:rsidRPr="00000000" w14:paraId="00000276">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names may be disclosed with institutional permission; individual identities protected</w:t>
      </w:r>
    </w:p>
    <w:p w:rsidR="00000000" w:rsidDel="00000000" w:rsidP="00000000" w:rsidRDefault="00000000" w:rsidRPr="00000000" w14:paraId="00000277">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files encrypted, stored on password-protected devices</w:t>
      </w:r>
    </w:p>
    <w:p w:rsidR="00000000" w:rsidDel="00000000" w:rsidP="00000000" w:rsidRDefault="00000000" w:rsidRPr="00000000" w14:paraId="00000278">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Transcripts stored separately from consent forms (no linkage possible)</w:t>
      </w:r>
    </w:p>
    <w:p w:rsidR="00000000" w:rsidDel="00000000" w:rsidP="00000000" w:rsidRDefault="00000000" w:rsidRPr="00000000" w14:paraId="000002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w:t>
      </w:r>
      <w:r w:rsidDel="00000000" w:rsidR="00000000" w:rsidRPr="00000000">
        <w:rPr>
          <w:rFonts w:ascii="Times New Roman" w:cs="Times New Roman" w:eastAsia="Times New Roman" w:hAnsi="Times New Roman"/>
          <w:sz w:val="24"/>
          <w:szCs w:val="24"/>
          <w:rtl w:val="0"/>
        </w:rPr>
        <w:t xml:space="preserve"> (NDPR Compliance):</w:t>
      </w:r>
    </w:p>
    <w:p w:rsidR="00000000" w:rsidDel="00000000" w:rsidP="00000000" w:rsidRDefault="00000000" w:rsidRPr="00000000" w14:paraId="0000027A">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data stored on NDPR-compliant Nigerian servers (not foreign clouds)</w:t>
      </w:r>
    </w:p>
    <w:p w:rsidR="00000000" w:rsidDel="00000000" w:rsidP="00000000" w:rsidRDefault="00000000" w:rsidRPr="00000000" w14:paraId="0000027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limited to researcher and supervisor</w:t>
      </w:r>
    </w:p>
    <w:p w:rsidR="00000000" w:rsidDel="00000000" w:rsidP="00000000" w:rsidRDefault="00000000" w:rsidRPr="00000000" w14:paraId="0000027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retention: 5 years post-publication, then securely deleted</w:t>
      </w:r>
    </w:p>
    <w:p w:rsidR="00000000" w:rsidDel="00000000" w:rsidP="00000000" w:rsidRDefault="00000000" w:rsidRPr="00000000" w14:paraId="0000027D">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can request data deletion upon study completion</w:t>
      </w:r>
    </w:p>
    <w:p w:rsidR="00000000" w:rsidDel="00000000" w:rsidP="00000000" w:rsidRDefault="00000000" w:rsidRPr="00000000" w14:paraId="000002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Beneficence and Non-Maleficence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poses minimal risk (no clinical interventions, no access to patient data)</w:t>
      </w:r>
    </w:p>
    <w:p w:rsidR="00000000" w:rsidDel="00000000" w:rsidP="00000000" w:rsidRDefault="00000000" w:rsidRPr="00000000" w14:paraId="0000028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benefits: Contribution to improving Nigerian healthcare through evidence-based recommendations</w:t>
      </w:r>
    </w:p>
    <w:p w:rsidR="00000000" w:rsidDel="00000000" w:rsidP="00000000" w:rsidRDefault="00000000" w:rsidRPr="00000000" w14:paraId="00000281">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compensation: ₦500 airtime for survey completion (15 minutes), ₦2,000 for interview participation (60 minutes)</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Vulnerable Populations</w:t>
      </w:r>
      <w:r w:rsidDel="00000000" w:rsidR="00000000" w:rsidRPr="00000000">
        <w:rPr>
          <w:rFonts w:ascii="Times New Roman" w:cs="Times New Roman" w:eastAsia="Times New Roman" w:hAnsi="Times New Roman"/>
          <w:sz w:val="24"/>
          <w:szCs w:val="24"/>
          <w:rtl w:val="0"/>
        </w:rPr>
        <w:t xml:space="preserve">: Not applicable (study involves healthcare professionals, not patients)</w:t>
      </w:r>
    </w:p>
    <w:p w:rsidR="00000000" w:rsidDel="00000000" w:rsidP="00000000" w:rsidRDefault="00000000" w:rsidRPr="00000000" w14:paraId="0000028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focccxv1rsb" w:id="18"/>
      <w:bookmarkEnd w:id="18"/>
      <w:r w:rsidDel="00000000" w:rsidR="00000000" w:rsidRPr="00000000">
        <w:rPr>
          <w:rFonts w:ascii="Times New Roman" w:cs="Times New Roman" w:eastAsia="Times New Roman" w:hAnsi="Times New Roman"/>
          <w:b w:val="1"/>
          <w:bCs w:val="1"/>
          <w:color w:val="000000"/>
          <w:sz w:val="26"/>
          <w:szCs w:val="26"/>
          <w:rtl w:val="0"/>
        </w:rPr>
        <w:t xml:space="preserve">3.7 Research Validity and Reliability</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Validity</w:t>
      </w:r>
      <w:r w:rsidDel="00000000" w:rsidR="00000000" w:rsidRPr="00000000">
        <w:rPr>
          <w:rFonts w:ascii="Times New Roman" w:cs="Times New Roman" w:eastAsia="Times New Roman" w:hAnsi="Times New Roman"/>
          <w:sz w:val="24"/>
          <w:szCs w:val="24"/>
          <w:rtl w:val="0"/>
        </w:rPr>
        <w:t xml:space="preserve"> (Quantitative):</w:t>
      </w:r>
    </w:p>
    <w:p w:rsidR="00000000" w:rsidDel="00000000" w:rsidP="00000000" w:rsidRDefault="00000000" w:rsidRPr="00000000" w14:paraId="00000285">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survey instruments (adapted from Adenuga et al., 2017; Holden &amp; Karsh, 2010)</w:t>
      </w:r>
    </w:p>
    <w:p w:rsidR="00000000" w:rsidDel="00000000" w:rsidP="00000000" w:rsidRDefault="00000000" w:rsidRPr="00000000" w14:paraId="0000028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testing to identify ambiguous questions</w:t>
      </w:r>
    </w:p>
    <w:p w:rsidR="00000000" w:rsidDel="00000000" w:rsidP="00000000" w:rsidRDefault="00000000" w:rsidRPr="00000000" w14:paraId="0000028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sampling to reduce selection bias</w:t>
      </w:r>
    </w:p>
    <w:p w:rsidR="00000000" w:rsidDel="00000000" w:rsidP="00000000" w:rsidRDefault="00000000" w:rsidRPr="00000000" w14:paraId="00000288">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controls for confounding variables (age, experience, facility type)</w:t>
      </w:r>
    </w:p>
    <w:p w:rsidR="00000000" w:rsidDel="00000000" w:rsidP="00000000" w:rsidRDefault="00000000" w:rsidRPr="00000000" w14:paraId="000002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Validity</w:t>
      </w:r>
      <w:r w:rsidDel="00000000" w:rsidR="00000000" w:rsidRPr="00000000">
        <w:rPr>
          <w:rFonts w:ascii="Times New Roman" w:cs="Times New Roman" w:eastAsia="Times New Roman" w:hAnsi="Times New Roman"/>
          <w:sz w:val="24"/>
          <w:szCs w:val="24"/>
          <w:rtl w:val="0"/>
        </w:rPr>
        <w:t xml:space="preserve"> (Generalizability):</w:t>
      </w:r>
    </w:p>
    <w:p w:rsidR="00000000" w:rsidDel="00000000" w:rsidP="00000000" w:rsidRDefault="00000000" w:rsidRPr="00000000" w14:paraId="0000028A">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sampling improves representativeness</w:t>
      </w:r>
    </w:p>
    <w:p w:rsidR="00000000" w:rsidDel="00000000" w:rsidP="00000000" w:rsidRDefault="00000000" w:rsidRPr="00000000" w14:paraId="0000028B">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 Lagos-focused sample may not generalize to rural northern states</w:t>
      </w:r>
    </w:p>
    <w:p w:rsidR="00000000" w:rsidDel="00000000" w:rsidP="00000000" w:rsidRDefault="00000000" w:rsidRPr="00000000" w14:paraId="0000028C">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Compare findings to national health statistics where available; acknowledge limitations explicitly</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Construct Validity</w:t>
      </w:r>
      <w:r w:rsidDel="00000000" w:rsidR="00000000" w:rsidRPr="00000000">
        <w:rPr>
          <w:rFonts w:ascii="Times New Roman" w:cs="Times New Roman" w:eastAsia="Times New Roman" w:hAnsi="Times New Roman"/>
          <w:sz w:val="24"/>
          <w:szCs w:val="24"/>
          <w:rtl w:val="0"/>
        </w:rPr>
        <w:t xml:space="preserve"> (Measuring what we intend):</w:t>
      </w:r>
    </w:p>
    <w:p w:rsidR="00000000" w:rsidDel="00000000" w:rsidP="00000000" w:rsidRDefault="00000000" w:rsidRPr="00000000" w14:paraId="0000028E">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constructs measured with multiple items (6 items per construct)</w:t>
      </w:r>
    </w:p>
    <w:p w:rsidR="00000000" w:rsidDel="00000000" w:rsidP="00000000" w:rsidRDefault="00000000" w:rsidRPr="00000000" w14:paraId="0000028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Cronbach's alpha calculated to assess internal consistency (target: α &gt; 0.70)</w:t>
      </w:r>
    </w:p>
    <w:p w:rsidR="00000000" w:rsidDel="00000000" w:rsidP="00000000" w:rsidRDefault="00000000" w:rsidRPr="00000000" w14:paraId="00000290">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Convergent validity: Correlations between theoretically related constructs</w:t>
      </w:r>
    </w:p>
    <w:p w:rsidR="00000000" w:rsidDel="00000000" w:rsidP="00000000" w:rsidRDefault="00000000" w:rsidRPr="00000000" w14:paraId="00000291">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Discriminant validity: Low correlations between theoretically distinct constructs</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Credibility</w:t>
      </w:r>
      <w:r w:rsidDel="00000000" w:rsidR="00000000" w:rsidRPr="00000000">
        <w:rPr>
          <w:rFonts w:ascii="Times New Roman" w:cs="Times New Roman" w:eastAsia="Times New Roman" w:hAnsi="Times New Roman"/>
          <w:sz w:val="24"/>
          <w:szCs w:val="24"/>
          <w:rtl w:val="0"/>
        </w:rPr>
        <w:t xml:space="preserve"> (Qualitative):</w:t>
      </w:r>
    </w:p>
    <w:p w:rsidR="00000000" w:rsidDel="00000000" w:rsidP="00000000" w:rsidRDefault="00000000" w:rsidRPr="00000000" w14:paraId="00000293">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Triangulation: Multiple data sources (interviews, observations, documents)</w:t>
      </w:r>
    </w:p>
    <w:p w:rsidR="00000000" w:rsidDel="00000000" w:rsidP="00000000" w:rsidRDefault="00000000" w:rsidRPr="00000000" w14:paraId="0000029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checking: Share findings with participants for validation</w:t>
      </w:r>
    </w:p>
    <w:p w:rsidR="00000000" w:rsidDel="00000000" w:rsidP="00000000" w:rsidRDefault="00000000" w:rsidRPr="00000000" w14:paraId="0000029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Thick description: Rich contextual details enable transferability assessment</w:t>
      </w:r>
    </w:p>
    <w:p w:rsidR="00000000" w:rsidDel="00000000" w:rsidP="00000000" w:rsidRDefault="00000000" w:rsidRPr="00000000" w14:paraId="00000296">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Reflexivity: Researcher acknowledges positionality and potential biases</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Dependability</w:t>
      </w:r>
      <w:r w:rsidDel="00000000" w:rsidR="00000000" w:rsidRPr="00000000">
        <w:rPr>
          <w:rFonts w:ascii="Times New Roman" w:cs="Times New Roman" w:eastAsia="Times New Roman" w:hAnsi="Times New Roman"/>
          <w:sz w:val="24"/>
          <w:szCs w:val="24"/>
          <w:rtl w:val="0"/>
        </w:rPr>
        <w:t xml:space="preserve"> (Qualitative Reliability):</w:t>
      </w:r>
    </w:p>
    <w:p w:rsidR="00000000" w:rsidDel="00000000" w:rsidP="00000000" w:rsidRDefault="00000000" w:rsidRPr="00000000" w14:paraId="0000029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 Document all methodological decisions, coding evolution</w:t>
      </w:r>
    </w:p>
    <w:p w:rsidR="00000000" w:rsidDel="00000000" w:rsidP="00000000" w:rsidRDefault="00000000" w:rsidRPr="00000000" w14:paraId="0000029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research process enables replication</w:t>
      </w:r>
    </w:p>
    <w:p w:rsidR="00000000" w:rsidDel="00000000" w:rsidP="00000000" w:rsidRDefault="00000000" w:rsidRPr="00000000" w14:paraId="0000029A">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Inter-rater reliability testing for coding</w:t>
      </w:r>
    </w:p>
    <w:p w:rsidR="00000000" w:rsidDel="00000000" w:rsidP="00000000" w:rsidRDefault="00000000" w:rsidRPr="00000000" w14:paraId="0000029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lagdfuercc9" w:id="19"/>
      <w:bookmarkEnd w:id="19"/>
      <w:r w:rsidDel="00000000" w:rsidR="00000000" w:rsidRPr="00000000">
        <w:rPr>
          <w:rFonts w:ascii="Times New Roman" w:cs="Times New Roman" w:eastAsia="Times New Roman" w:hAnsi="Times New Roman"/>
          <w:b w:val="1"/>
          <w:bCs w:val="1"/>
          <w:color w:val="000000"/>
          <w:sz w:val="26"/>
          <w:szCs w:val="26"/>
          <w:rtl w:val="0"/>
        </w:rPr>
        <w:t xml:space="preserve">3.8 Limitations and Mitigation Strategies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603744149766"/>
        <w:gridCol w:w="3217.3478939157567"/>
        <w:gridCol w:w="3889.0483619344777"/>
        <w:tblGridChange w:id="0">
          <w:tblGrid>
            <w:gridCol w:w="2253.603744149766"/>
            <w:gridCol w:w="3217.3478939157567"/>
            <w:gridCol w:w="3889.04836193447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Geographic concentration in Lagos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may not represent rural or northern Nigeria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acknowledge limitation; compare to national statistics; position as urban healthcare case study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Cross-sectional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establish causality (e.g., does blockchain awareness cause adoption intention, or vice versa?)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longitudinal language carefully; recommend future longitudinal studies; triangulate with qualitative causal process tracing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Self-reported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desirability bias (respondents may overstate technology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Anonymous surveys; validate with observational data; include lie-detection items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surveys may lack power for complex multivariate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primary hypotheses; use effect sizes alongside p-values; acknowledge exploratory nature of secondary analyses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 as instrument</w:t>
            </w:r>
            <w:r w:rsidDel="00000000" w:rsidR="00000000" w:rsidRPr="00000000">
              <w:rPr>
                <w:rFonts w:ascii="Times New Roman" w:cs="Times New Roman" w:eastAsia="Times New Roman" w:hAnsi="Times New Roman"/>
                <w:sz w:val="24"/>
                <w:szCs w:val="24"/>
                <w:rtl w:val="0"/>
              </w:rPr>
              <w:t xml:space="preserve"> (qualitative)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biases may influence data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Reflexivity statements, independent coding verification, member checking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actual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measure real adoption, only intentions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as feasibility study informing future implementation research; use case studies for proxy indicators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 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blockchain landscape changing rapidly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specific Hedera version, acknowledge that findings may shift with technical advances</w:t>
            </w:r>
          </w:p>
        </w:tc>
      </w:tr>
    </w:tbl>
    <w:p w:rsidR="00000000" w:rsidDel="00000000" w:rsidP="00000000" w:rsidRDefault="00000000" w:rsidRPr="00000000" w14:paraId="000002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Assessment</w:t>
      </w:r>
      <w:r w:rsidDel="00000000" w:rsidR="00000000" w:rsidRPr="00000000">
        <w:rPr>
          <w:rFonts w:ascii="Times New Roman" w:cs="Times New Roman" w:eastAsia="Times New Roman" w:hAnsi="Times New Roman"/>
          <w:sz w:val="24"/>
          <w:szCs w:val="24"/>
          <w:rtl w:val="0"/>
        </w:rPr>
        <w:t xml:space="preserve">: Despite limitations, the multi-method approach combining breadth (survey) and depth (case studies), quantitative rigor, and qualitative richness provides robust evidence for answering the research question within constraints of a master's thesis timeframe and resources.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