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432C2" w14:textId="77777777" w:rsidR="0024598B" w:rsidRPr="0083242F" w:rsidRDefault="00000000" w:rsidP="00EC650A">
      <w:pPr>
        <w:pStyle w:val="Title"/>
        <w:rPr>
          <w:rFonts w:ascii="Aptos" w:hAnsi="Aptos"/>
          <w:sz w:val="40"/>
          <w:szCs w:val="40"/>
        </w:rPr>
      </w:pPr>
      <w:r w:rsidRPr="0083242F">
        <w:rPr>
          <w:rFonts w:ascii="Aptos" w:hAnsi="Aptos"/>
          <w:sz w:val="40"/>
          <w:szCs w:val="40"/>
        </w:rPr>
        <w:t xml:space="preserve">INFORMATION SECURITY MANAGEMENT SYSTEM </w:t>
      </w:r>
    </w:p>
    <w:p w14:paraId="3FB53256" w14:textId="0A9C1D62" w:rsidR="00381BBA" w:rsidRPr="0083242F" w:rsidRDefault="006F4C25" w:rsidP="00EC650A">
      <w:pPr>
        <w:pStyle w:val="Title"/>
        <w:rPr>
          <w:rStyle w:val="SubtitleChar"/>
          <w:rFonts w:ascii="Aptos" w:hAnsi="Aptos" w:cstheme="minorHAnsi"/>
        </w:rPr>
      </w:pPr>
      <w:r w:rsidRPr="0083242F">
        <w:rPr>
          <w:rStyle w:val="SubtitleChar"/>
          <w:rFonts w:ascii="Aptos" w:hAnsi="Aptos" w:cstheme="minorHAnsi"/>
        </w:rPr>
        <w:t>Risk Assessment Methodology</w:t>
      </w:r>
    </w:p>
    <w:p w14:paraId="20DE26A2" w14:textId="77777777" w:rsidR="00EC650A" w:rsidRPr="0083242F" w:rsidRDefault="00EC650A" w:rsidP="00EC650A">
      <w:pPr>
        <w:rPr>
          <w:rFonts w:ascii="Aptos" w:hAnsi="Aptos"/>
        </w:rPr>
      </w:pPr>
    </w:p>
    <w:tbl>
      <w:tblPr>
        <w:tblStyle w:val="TableGrid"/>
        <w:tblW w:w="0" w:type="auto"/>
        <w:tblLayout w:type="fixed"/>
        <w:tblLook w:val="04A0" w:firstRow="1" w:lastRow="0" w:firstColumn="1" w:lastColumn="0" w:noHBand="0" w:noVBand="1"/>
      </w:tblPr>
      <w:tblGrid>
        <w:gridCol w:w="3662"/>
        <w:gridCol w:w="5698"/>
      </w:tblGrid>
      <w:tr w:rsidR="00381BBA" w:rsidRPr="0083242F" w14:paraId="77EAC466" w14:textId="77777777" w:rsidTr="0040212B">
        <w:trPr>
          <w:trHeight w:val="432"/>
        </w:trPr>
        <w:tc>
          <w:tcPr>
            <w:tcW w:w="3662" w:type="dxa"/>
            <w:vAlign w:val="center"/>
          </w:tcPr>
          <w:p w14:paraId="2558D5ED" w14:textId="77777777" w:rsidR="00381BBA" w:rsidRPr="0083242F" w:rsidRDefault="00000000">
            <w:pPr>
              <w:rPr>
                <w:rFonts w:ascii="Aptos" w:hAnsi="Aptos"/>
              </w:rPr>
            </w:pPr>
            <w:r w:rsidRPr="0083242F">
              <w:rPr>
                <w:rFonts w:ascii="Aptos" w:hAnsi="Aptos"/>
              </w:rPr>
              <w:t>Document Reference</w:t>
            </w:r>
          </w:p>
        </w:tc>
        <w:tc>
          <w:tcPr>
            <w:tcW w:w="5698" w:type="dxa"/>
            <w:vAlign w:val="center"/>
          </w:tcPr>
          <w:p w14:paraId="5C139FEA" w14:textId="0303F11A" w:rsidR="00381BBA" w:rsidRPr="0083242F" w:rsidRDefault="006F4C25">
            <w:pPr>
              <w:rPr>
                <w:rFonts w:ascii="Aptos" w:hAnsi="Aptos"/>
              </w:rPr>
            </w:pPr>
            <w:r w:rsidRPr="0083242F">
              <w:rPr>
                <w:rFonts w:ascii="Aptos" w:hAnsi="Aptos"/>
              </w:rPr>
              <w:t>MT-ISMS-RAM-001</w:t>
            </w:r>
          </w:p>
        </w:tc>
      </w:tr>
      <w:tr w:rsidR="00381BBA" w:rsidRPr="0083242F" w14:paraId="5C2C55BE" w14:textId="77777777" w:rsidTr="0040212B">
        <w:trPr>
          <w:trHeight w:val="432"/>
        </w:trPr>
        <w:tc>
          <w:tcPr>
            <w:tcW w:w="3662" w:type="dxa"/>
            <w:vAlign w:val="center"/>
          </w:tcPr>
          <w:p w14:paraId="047D6895" w14:textId="77777777" w:rsidR="00381BBA" w:rsidRPr="0083242F" w:rsidRDefault="00000000">
            <w:pPr>
              <w:rPr>
                <w:rFonts w:ascii="Aptos" w:hAnsi="Aptos"/>
              </w:rPr>
            </w:pPr>
            <w:r w:rsidRPr="0083242F">
              <w:rPr>
                <w:rFonts w:ascii="Aptos" w:hAnsi="Aptos"/>
              </w:rPr>
              <w:t>Version</w:t>
            </w:r>
          </w:p>
        </w:tc>
        <w:tc>
          <w:tcPr>
            <w:tcW w:w="5698" w:type="dxa"/>
            <w:vAlign w:val="center"/>
          </w:tcPr>
          <w:p w14:paraId="5A21C26A" w14:textId="77777777" w:rsidR="00381BBA" w:rsidRPr="0083242F" w:rsidRDefault="00000000">
            <w:pPr>
              <w:rPr>
                <w:rFonts w:ascii="Aptos" w:hAnsi="Aptos"/>
              </w:rPr>
            </w:pPr>
            <w:r w:rsidRPr="0083242F">
              <w:rPr>
                <w:rFonts w:ascii="Aptos" w:hAnsi="Aptos"/>
              </w:rPr>
              <w:t>1.0</w:t>
            </w:r>
          </w:p>
        </w:tc>
      </w:tr>
      <w:tr w:rsidR="00381BBA" w:rsidRPr="0083242F" w14:paraId="0AC2184D" w14:textId="77777777" w:rsidTr="0040212B">
        <w:trPr>
          <w:trHeight w:val="432"/>
        </w:trPr>
        <w:tc>
          <w:tcPr>
            <w:tcW w:w="3662" w:type="dxa"/>
            <w:vAlign w:val="center"/>
          </w:tcPr>
          <w:p w14:paraId="2BE22FD1" w14:textId="77777777" w:rsidR="00381BBA" w:rsidRPr="0083242F" w:rsidRDefault="00000000">
            <w:pPr>
              <w:rPr>
                <w:rFonts w:ascii="Aptos" w:hAnsi="Aptos"/>
              </w:rPr>
            </w:pPr>
            <w:r w:rsidRPr="0083242F">
              <w:rPr>
                <w:rFonts w:ascii="Aptos" w:hAnsi="Aptos"/>
              </w:rPr>
              <w:t>Effective Date</w:t>
            </w:r>
          </w:p>
        </w:tc>
        <w:tc>
          <w:tcPr>
            <w:tcW w:w="5698" w:type="dxa"/>
            <w:vAlign w:val="center"/>
          </w:tcPr>
          <w:p w14:paraId="1F513DF1" w14:textId="77777777" w:rsidR="00381BBA" w:rsidRPr="0083242F" w:rsidRDefault="00000000">
            <w:pPr>
              <w:rPr>
                <w:rFonts w:ascii="Aptos" w:hAnsi="Aptos"/>
              </w:rPr>
            </w:pPr>
            <w:r w:rsidRPr="0083242F">
              <w:rPr>
                <w:rFonts w:ascii="Aptos" w:hAnsi="Aptos"/>
              </w:rPr>
              <w:t>[Date]</w:t>
            </w:r>
          </w:p>
        </w:tc>
      </w:tr>
      <w:tr w:rsidR="00381BBA" w:rsidRPr="0083242F" w14:paraId="338027A8" w14:textId="77777777" w:rsidTr="0040212B">
        <w:trPr>
          <w:trHeight w:val="432"/>
        </w:trPr>
        <w:tc>
          <w:tcPr>
            <w:tcW w:w="3662" w:type="dxa"/>
            <w:vAlign w:val="center"/>
          </w:tcPr>
          <w:p w14:paraId="532AFBF7" w14:textId="77777777" w:rsidR="00381BBA" w:rsidRPr="0083242F" w:rsidRDefault="00000000">
            <w:pPr>
              <w:rPr>
                <w:rFonts w:ascii="Aptos" w:hAnsi="Aptos"/>
              </w:rPr>
            </w:pPr>
            <w:r w:rsidRPr="0083242F">
              <w:rPr>
                <w:rFonts w:ascii="Aptos" w:hAnsi="Aptos"/>
              </w:rPr>
              <w:t>Prepared By</w:t>
            </w:r>
          </w:p>
        </w:tc>
        <w:tc>
          <w:tcPr>
            <w:tcW w:w="5698" w:type="dxa"/>
            <w:vAlign w:val="center"/>
          </w:tcPr>
          <w:p w14:paraId="33112333" w14:textId="77777777" w:rsidR="00381BBA" w:rsidRPr="0083242F" w:rsidRDefault="00000000">
            <w:pPr>
              <w:rPr>
                <w:rFonts w:ascii="Aptos" w:hAnsi="Aptos"/>
              </w:rPr>
            </w:pPr>
            <w:r w:rsidRPr="0083242F">
              <w:rPr>
                <w:rFonts w:ascii="Aptos" w:hAnsi="Aptos"/>
              </w:rPr>
              <w:t>Austin Bond, Junior GRC Consultant</w:t>
            </w:r>
          </w:p>
        </w:tc>
      </w:tr>
      <w:tr w:rsidR="00381BBA" w:rsidRPr="0083242F" w14:paraId="0A4C6155" w14:textId="77777777" w:rsidTr="0040212B">
        <w:trPr>
          <w:trHeight w:val="432"/>
        </w:trPr>
        <w:tc>
          <w:tcPr>
            <w:tcW w:w="3662" w:type="dxa"/>
            <w:vAlign w:val="center"/>
          </w:tcPr>
          <w:p w14:paraId="567E207C" w14:textId="77777777" w:rsidR="00381BBA" w:rsidRPr="0083242F" w:rsidRDefault="00000000">
            <w:pPr>
              <w:rPr>
                <w:rFonts w:ascii="Aptos" w:hAnsi="Aptos"/>
              </w:rPr>
            </w:pPr>
            <w:r w:rsidRPr="0083242F">
              <w:rPr>
                <w:rFonts w:ascii="Aptos" w:hAnsi="Aptos"/>
              </w:rPr>
              <w:t>Reviewed By</w:t>
            </w:r>
          </w:p>
        </w:tc>
        <w:tc>
          <w:tcPr>
            <w:tcW w:w="5698" w:type="dxa"/>
            <w:vAlign w:val="center"/>
          </w:tcPr>
          <w:p w14:paraId="3FB127B0" w14:textId="77777777" w:rsidR="00381BBA" w:rsidRPr="0083242F" w:rsidRDefault="00000000">
            <w:pPr>
              <w:rPr>
                <w:rFonts w:ascii="Aptos" w:hAnsi="Aptos"/>
              </w:rPr>
            </w:pPr>
            <w:r w:rsidRPr="0083242F">
              <w:rPr>
                <w:rFonts w:ascii="Aptos" w:hAnsi="Aptos"/>
              </w:rPr>
              <w:t>[Senior GRC Partner Name], CISM, ISO LA</w:t>
            </w:r>
          </w:p>
        </w:tc>
      </w:tr>
      <w:tr w:rsidR="00381BBA" w:rsidRPr="0083242F" w14:paraId="04B5422A" w14:textId="77777777" w:rsidTr="0040212B">
        <w:trPr>
          <w:trHeight w:val="432"/>
        </w:trPr>
        <w:tc>
          <w:tcPr>
            <w:tcW w:w="3662" w:type="dxa"/>
            <w:vAlign w:val="center"/>
          </w:tcPr>
          <w:p w14:paraId="2F3EBDEA" w14:textId="77777777" w:rsidR="00381BBA" w:rsidRPr="0083242F" w:rsidRDefault="00000000">
            <w:pPr>
              <w:rPr>
                <w:rFonts w:ascii="Aptos" w:hAnsi="Aptos"/>
              </w:rPr>
            </w:pPr>
            <w:r w:rsidRPr="0083242F">
              <w:rPr>
                <w:rFonts w:ascii="Aptos" w:hAnsi="Aptos"/>
              </w:rPr>
              <w:t>Approved By</w:t>
            </w:r>
          </w:p>
        </w:tc>
        <w:tc>
          <w:tcPr>
            <w:tcW w:w="5698" w:type="dxa"/>
            <w:vAlign w:val="center"/>
          </w:tcPr>
          <w:p w14:paraId="15089127" w14:textId="77777777" w:rsidR="00381BBA" w:rsidRPr="0083242F" w:rsidRDefault="00000000">
            <w:pPr>
              <w:rPr>
                <w:rFonts w:ascii="Aptos" w:hAnsi="Aptos"/>
              </w:rPr>
            </w:pPr>
            <w:r w:rsidRPr="0083242F">
              <w:rPr>
                <w:rFonts w:ascii="Aptos" w:hAnsi="Aptos"/>
              </w:rPr>
              <w:t>CEO / Managing Director, MunichTech GmbH</w:t>
            </w:r>
          </w:p>
        </w:tc>
      </w:tr>
      <w:tr w:rsidR="00381BBA" w:rsidRPr="0083242F" w14:paraId="10D30894" w14:textId="77777777" w:rsidTr="0040212B">
        <w:trPr>
          <w:trHeight w:val="432"/>
        </w:trPr>
        <w:tc>
          <w:tcPr>
            <w:tcW w:w="3662" w:type="dxa"/>
            <w:vAlign w:val="center"/>
          </w:tcPr>
          <w:p w14:paraId="38B7F331" w14:textId="77777777" w:rsidR="00381BBA" w:rsidRPr="0083242F" w:rsidRDefault="00000000">
            <w:pPr>
              <w:rPr>
                <w:rFonts w:ascii="Aptos" w:hAnsi="Aptos"/>
              </w:rPr>
            </w:pPr>
            <w:r w:rsidRPr="0083242F">
              <w:rPr>
                <w:rFonts w:ascii="Aptos" w:hAnsi="Aptos"/>
              </w:rPr>
              <w:t>Confidentiality Level</w:t>
            </w:r>
          </w:p>
        </w:tc>
        <w:tc>
          <w:tcPr>
            <w:tcW w:w="5698" w:type="dxa"/>
            <w:vAlign w:val="center"/>
          </w:tcPr>
          <w:p w14:paraId="03F95F8B" w14:textId="77777777" w:rsidR="00381BBA" w:rsidRPr="0083242F" w:rsidRDefault="00000000">
            <w:pPr>
              <w:rPr>
                <w:rFonts w:ascii="Aptos" w:hAnsi="Aptos"/>
              </w:rPr>
            </w:pPr>
            <w:r w:rsidRPr="0083242F">
              <w:rPr>
                <w:rFonts w:ascii="Aptos" w:hAnsi="Aptos"/>
                <w:b/>
                <w:bCs/>
              </w:rPr>
              <w:t>CONFIDENTIAL</w:t>
            </w:r>
            <w:r w:rsidRPr="0083242F">
              <w:rPr>
                <w:rFonts w:ascii="Aptos" w:hAnsi="Aptos"/>
              </w:rPr>
              <w:t xml:space="preserve"> — Internal Use Only</w:t>
            </w:r>
          </w:p>
        </w:tc>
      </w:tr>
    </w:tbl>
    <w:p w14:paraId="0AFCC845" w14:textId="77777777" w:rsidR="00381BBA" w:rsidRPr="0083242F" w:rsidRDefault="00381BBA">
      <w:pPr>
        <w:rPr>
          <w:rFonts w:ascii="Aptos" w:hAnsi="Aptos"/>
        </w:rPr>
      </w:pPr>
    </w:p>
    <w:p w14:paraId="1E9BC2E1" w14:textId="77777777" w:rsidR="00381BBA" w:rsidRPr="0083242F" w:rsidRDefault="00381BBA">
      <w:pPr>
        <w:rPr>
          <w:rFonts w:ascii="Aptos" w:hAnsi="Aptos"/>
        </w:rPr>
      </w:pPr>
    </w:p>
    <w:tbl>
      <w:tblPr>
        <w:tblStyle w:val="TableGrid"/>
        <w:tblW w:w="0" w:type="auto"/>
        <w:tblLayout w:type="fixed"/>
        <w:tblLook w:val="04A0" w:firstRow="1" w:lastRow="0" w:firstColumn="1" w:lastColumn="0" w:noHBand="0" w:noVBand="1"/>
      </w:tblPr>
      <w:tblGrid>
        <w:gridCol w:w="1253"/>
        <w:gridCol w:w="1843"/>
        <w:gridCol w:w="1843"/>
        <w:gridCol w:w="4422"/>
      </w:tblGrid>
      <w:tr w:rsidR="0060178D" w:rsidRPr="0083242F" w14:paraId="572D4D4B" w14:textId="77777777" w:rsidTr="0040212B">
        <w:trPr>
          <w:trHeight w:val="432"/>
        </w:trPr>
        <w:tc>
          <w:tcPr>
            <w:tcW w:w="1253" w:type="dxa"/>
            <w:vAlign w:val="center"/>
          </w:tcPr>
          <w:p w14:paraId="588FF3F9"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Version</w:t>
            </w:r>
          </w:p>
        </w:tc>
        <w:tc>
          <w:tcPr>
            <w:tcW w:w="1843" w:type="dxa"/>
            <w:vAlign w:val="center"/>
          </w:tcPr>
          <w:p w14:paraId="258F872D"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Date</w:t>
            </w:r>
          </w:p>
        </w:tc>
        <w:tc>
          <w:tcPr>
            <w:tcW w:w="1843" w:type="dxa"/>
            <w:vAlign w:val="center"/>
          </w:tcPr>
          <w:p w14:paraId="0E419C85"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Author</w:t>
            </w:r>
          </w:p>
        </w:tc>
        <w:tc>
          <w:tcPr>
            <w:tcW w:w="4422" w:type="dxa"/>
            <w:vAlign w:val="center"/>
          </w:tcPr>
          <w:p w14:paraId="061E65A0"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Change Description</w:t>
            </w:r>
          </w:p>
        </w:tc>
      </w:tr>
      <w:tr w:rsidR="00381BBA" w:rsidRPr="0083242F" w14:paraId="763B422F" w14:textId="77777777" w:rsidTr="0040212B">
        <w:trPr>
          <w:trHeight w:val="432"/>
        </w:trPr>
        <w:tc>
          <w:tcPr>
            <w:tcW w:w="1253" w:type="dxa"/>
            <w:vAlign w:val="center"/>
          </w:tcPr>
          <w:p w14:paraId="7FFB097D" w14:textId="77777777" w:rsidR="00381BBA" w:rsidRPr="0083242F" w:rsidRDefault="00000000">
            <w:pPr>
              <w:rPr>
                <w:rFonts w:ascii="Aptos" w:hAnsi="Aptos"/>
              </w:rPr>
            </w:pPr>
            <w:r w:rsidRPr="0083242F">
              <w:rPr>
                <w:rFonts w:ascii="Aptos" w:hAnsi="Aptos"/>
              </w:rPr>
              <w:t>1.0</w:t>
            </w:r>
          </w:p>
        </w:tc>
        <w:tc>
          <w:tcPr>
            <w:tcW w:w="1843" w:type="dxa"/>
            <w:vAlign w:val="center"/>
          </w:tcPr>
          <w:p w14:paraId="5CA7F90B" w14:textId="02E4EBE9" w:rsidR="00381BBA" w:rsidRPr="0083242F" w:rsidRDefault="006B04E8">
            <w:pPr>
              <w:rPr>
                <w:rFonts w:ascii="Aptos" w:hAnsi="Aptos"/>
              </w:rPr>
            </w:pPr>
            <w:r w:rsidRPr="0083242F">
              <w:rPr>
                <w:rFonts w:ascii="Aptos" w:hAnsi="Aptos"/>
              </w:rPr>
              <w:t>[Date]</w:t>
            </w:r>
          </w:p>
        </w:tc>
        <w:tc>
          <w:tcPr>
            <w:tcW w:w="1843" w:type="dxa"/>
            <w:vAlign w:val="center"/>
          </w:tcPr>
          <w:p w14:paraId="330A05C5" w14:textId="77777777" w:rsidR="00381BBA" w:rsidRPr="0083242F" w:rsidRDefault="00000000">
            <w:pPr>
              <w:rPr>
                <w:rFonts w:ascii="Aptos" w:hAnsi="Aptos"/>
              </w:rPr>
            </w:pPr>
            <w:r w:rsidRPr="0083242F">
              <w:rPr>
                <w:rFonts w:ascii="Aptos" w:hAnsi="Aptos"/>
              </w:rPr>
              <w:t>Austin Bond</w:t>
            </w:r>
          </w:p>
        </w:tc>
        <w:tc>
          <w:tcPr>
            <w:tcW w:w="4422" w:type="dxa"/>
            <w:vAlign w:val="center"/>
          </w:tcPr>
          <w:p w14:paraId="228C2A30" w14:textId="31E18C37" w:rsidR="00381BBA" w:rsidRPr="0083242F" w:rsidRDefault="006F4C25">
            <w:pPr>
              <w:rPr>
                <w:rFonts w:ascii="Aptos" w:hAnsi="Aptos"/>
              </w:rPr>
            </w:pPr>
            <w:r w:rsidRPr="0083242F">
              <w:rPr>
                <w:rFonts w:ascii="Aptos" w:hAnsi="Aptos"/>
              </w:rPr>
              <w:t>Initial methodology creation; aligned with ISO 27001:2022 Clause 6.1.2 and NIS2 reporting thresholds</w:t>
            </w:r>
          </w:p>
        </w:tc>
      </w:tr>
    </w:tbl>
    <w:p w14:paraId="0C392E57" w14:textId="77777777" w:rsidR="00381BBA" w:rsidRPr="0083242F" w:rsidRDefault="00381BBA">
      <w:pPr>
        <w:rPr>
          <w:rFonts w:ascii="Aptos" w:hAnsi="Aptos"/>
        </w:rPr>
      </w:pPr>
    </w:p>
    <w:p w14:paraId="08B37183" w14:textId="77777777" w:rsidR="00381BBA" w:rsidRPr="0083242F" w:rsidRDefault="00000000">
      <w:pPr>
        <w:rPr>
          <w:rFonts w:ascii="Aptos" w:hAnsi="Aptos"/>
        </w:rPr>
      </w:pPr>
      <w:r w:rsidRPr="0083242F">
        <w:rPr>
          <w:rFonts w:ascii="Aptos" w:hAnsi="Aptos"/>
        </w:rPr>
        <w:br w:type="page" w:clear="all"/>
      </w:r>
    </w:p>
    <w:p w14:paraId="67166104" w14:textId="77777777" w:rsidR="00381BBA" w:rsidRPr="0083242F" w:rsidRDefault="00000000" w:rsidP="00EC650A">
      <w:pPr>
        <w:pStyle w:val="Heading2"/>
        <w:rPr>
          <w:rFonts w:ascii="Aptos" w:hAnsi="Aptos"/>
          <w:color w:val="1F4E79" w:themeColor="accent1" w:themeShade="80"/>
        </w:rPr>
      </w:pPr>
      <w:r w:rsidRPr="0083242F">
        <w:rPr>
          <w:rFonts w:ascii="Aptos" w:hAnsi="Aptos"/>
          <w:color w:val="1F4E79" w:themeColor="accent1" w:themeShade="80"/>
        </w:rPr>
        <w:lastRenderedPageBreak/>
        <w:t>Table of Contents</w:t>
      </w:r>
    </w:p>
    <w:p w14:paraId="6094B9A8" w14:textId="77777777" w:rsidR="00381BBA" w:rsidRPr="0083242F" w:rsidRDefault="00381BBA">
      <w:pPr>
        <w:ind w:left="709"/>
        <w:rPr>
          <w:rFonts w:ascii="Aptos" w:hAnsi="Aptos"/>
        </w:rPr>
      </w:pPr>
    </w:p>
    <w:p w14:paraId="44A34EC1" w14:textId="72A4C151" w:rsidR="00381BBA" w:rsidRPr="0083242F" w:rsidRDefault="00000000">
      <w:pPr>
        <w:ind w:left="709"/>
        <w:rPr>
          <w:rFonts w:ascii="Aptos" w:hAnsi="Aptos"/>
        </w:rPr>
      </w:pPr>
      <w:r w:rsidRPr="0083242F">
        <w:rPr>
          <w:rFonts w:ascii="Aptos" w:hAnsi="Aptos"/>
        </w:rPr>
        <w:t>1.</w:t>
      </w:r>
      <w:r w:rsidRPr="0083242F">
        <w:rPr>
          <w:rFonts w:ascii="Aptos" w:hAnsi="Aptos"/>
        </w:rPr>
        <w:tab/>
      </w:r>
      <w:r w:rsidR="0088005F" w:rsidRPr="0083242F">
        <w:rPr>
          <w:rFonts w:ascii="Aptos" w:hAnsi="Aptos"/>
        </w:rPr>
        <w:t>Purpose and Scope</w:t>
      </w:r>
      <w:r w:rsidRPr="0083242F">
        <w:rPr>
          <w:rFonts w:ascii="Aptos" w:hAnsi="Aptos"/>
        </w:rPr>
        <w:tab/>
      </w:r>
    </w:p>
    <w:p w14:paraId="48110B18" w14:textId="09FA4C24" w:rsidR="00381BBA" w:rsidRPr="0083242F" w:rsidRDefault="00000000">
      <w:pPr>
        <w:ind w:left="709"/>
        <w:rPr>
          <w:rFonts w:ascii="Aptos" w:hAnsi="Aptos"/>
        </w:rPr>
      </w:pPr>
      <w:r w:rsidRPr="0083242F">
        <w:rPr>
          <w:rFonts w:ascii="Aptos" w:hAnsi="Aptos"/>
        </w:rPr>
        <w:t>2.</w:t>
      </w:r>
      <w:r w:rsidRPr="0083242F">
        <w:rPr>
          <w:rFonts w:ascii="Aptos" w:hAnsi="Aptos"/>
        </w:rPr>
        <w:tab/>
      </w:r>
      <w:r w:rsidR="0088005F" w:rsidRPr="0083242F">
        <w:rPr>
          <w:rFonts w:ascii="Aptos" w:hAnsi="Aptos"/>
        </w:rPr>
        <w:t>Assessment Frequency and Triggers</w:t>
      </w:r>
      <w:r w:rsidRPr="0083242F">
        <w:rPr>
          <w:rFonts w:ascii="Aptos" w:hAnsi="Aptos"/>
        </w:rPr>
        <w:tab/>
      </w:r>
    </w:p>
    <w:p w14:paraId="5DAE02E0" w14:textId="5B30D73E" w:rsidR="00381BBA" w:rsidRPr="0083242F" w:rsidRDefault="00000000" w:rsidP="0088005F">
      <w:pPr>
        <w:ind w:left="709"/>
        <w:rPr>
          <w:rFonts w:ascii="Aptos" w:hAnsi="Aptos"/>
        </w:rPr>
      </w:pPr>
      <w:r w:rsidRPr="0083242F">
        <w:rPr>
          <w:rFonts w:ascii="Aptos" w:hAnsi="Aptos"/>
        </w:rPr>
        <w:t>3.</w:t>
      </w:r>
      <w:r w:rsidRPr="0083242F">
        <w:rPr>
          <w:rFonts w:ascii="Aptos" w:hAnsi="Aptos"/>
        </w:rPr>
        <w:tab/>
      </w:r>
      <w:r w:rsidR="0088005F" w:rsidRPr="0083242F">
        <w:rPr>
          <w:rFonts w:ascii="Aptos" w:hAnsi="Aptos"/>
        </w:rPr>
        <w:t>Risk Calculation Methodology</w:t>
      </w:r>
    </w:p>
    <w:p w14:paraId="2030C8BA" w14:textId="2F40E026" w:rsidR="00381BBA" w:rsidRPr="0083242F" w:rsidRDefault="00000000" w:rsidP="0088005F">
      <w:pPr>
        <w:ind w:left="709"/>
        <w:rPr>
          <w:rFonts w:ascii="Aptos" w:hAnsi="Aptos"/>
        </w:rPr>
      </w:pPr>
      <w:r w:rsidRPr="0083242F">
        <w:rPr>
          <w:rFonts w:ascii="Aptos" w:hAnsi="Aptos"/>
        </w:rPr>
        <w:t>4.</w:t>
      </w:r>
      <w:r w:rsidRPr="0083242F">
        <w:rPr>
          <w:rFonts w:ascii="Aptos" w:hAnsi="Aptos"/>
        </w:rPr>
        <w:tab/>
      </w:r>
      <w:r w:rsidR="0088005F" w:rsidRPr="0083242F">
        <w:rPr>
          <w:rFonts w:ascii="Aptos" w:hAnsi="Aptos"/>
        </w:rPr>
        <w:t>Factor Definitions and Scoring</w:t>
      </w:r>
    </w:p>
    <w:p w14:paraId="0A91405F" w14:textId="34E48B93" w:rsidR="00381BBA" w:rsidRPr="0083242F" w:rsidRDefault="00000000">
      <w:pPr>
        <w:ind w:left="709"/>
        <w:rPr>
          <w:rFonts w:ascii="Aptos" w:hAnsi="Aptos"/>
        </w:rPr>
      </w:pPr>
      <w:r w:rsidRPr="0083242F">
        <w:rPr>
          <w:rFonts w:ascii="Aptos" w:hAnsi="Aptos"/>
        </w:rPr>
        <w:t>5.</w:t>
      </w:r>
      <w:r w:rsidRPr="0083242F">
        <w:rPr>
          <w:rFonts w:ascii="Aptos" w:hAnsi="Aptos"/>
        </w:rPr>
        <w:tab/>
      </w:r>
      <w:r w:rsidR="0088005F" w:rsidRPr="0083242F">
        <w:rPr>
          <w:rFonts w:ascii="Aptos" w:hAnsi="Aptos"/>
        </w:rPr>
        <w:t>Risk Classification Matrix</w:t>
      </w:r>
      <w:r w:rsidRPr="0083242F">
        <w:rPr>
          <w:rFonts w:ascii="Aptos" w:hAnsi="Aptos"/>
        </w:rPr>
        <w:tab/>
      </w:r>
    </w:p>
    <w:p w14:paraId="015F23DA" w14:textId="7BC0DF88" w:rsidR="00381BBA" w:rsidRPr="0083242F" w:rsidRDefault="00000000">
      <w:pPr>
        <w:ind w:left="709"/>
        <w:rPr>
          <w:rFonts w:ascii="Aptos" w:hAnsi="Aptos"/>
        </w:rPr>
      </w:pPr>
      <w:r w:rsidRPr="0083242F">
        <w:rPr>
          <w:rFonts w:ascii="Aptos" w:hAnsi="Aptos"/>
        </w:rPr>
        <w:t>6.</w:t>
      </w:r>
      <w:r w:rsidRPr="0083242F">
        <w:rPr>
          <w:rFonts w:ascii="Aptos" w:hAnsi="Aptos"/>
        </w:rPr>
        <w:tab/>
      </w:r>
      <w:r w:rsidR="0088005F" w:rsidRPr="0083242F">
        <w:rPr>
          <w:rFonts w:ascii="Aptos" w:hAnsi="Aptos"/>
        </w:rPr>
        <w:t>Risk Acceptance Criteria</w:t>
      </w:r>
      <w:r w:rsidRPr="0083242F">
        <w:rPr>
          <w:rFonts w:ascii="Aptos" w:hAnsi="Aptos"/>
        </w:rPr>
        <w:tab/>
      </w:r>
    </w:p>
    <w:p w14:paraId="39EF2389" w14:textId="28A05C2C" w:rsidR="00381BBA" w:rsidRPr="0083242F" w:rsidRDefault="00000000">
      <w:pPr>
        <w:ind w:left="709"/>
        <w:rPr>
          <w:rFonts w:ascii="Aptos" w:hAnsi="Aptos"/>
        </w:rPr>
      </w:pPr>
      <w:r w:rsidRPr="0083242F">
        <w:rPr>
          <w:rFonts w:ascii="Aptos" w:hAnsi="Aptos"/>
        </w:rPr>
        <w:t>7.</w:t>
      </w:r>
      <w:r w:rsidRPr="0083242F">
        <w:rPr>
          <w:rFonts w:ascii="Aptos" w:hAnsi="Aptos"/>
        </w:rPr>
        <w:tab/>
      </w:r>
      <w:r w:rsidR="0088005F" w:rsidRPr="0083242F">
        <w:rPr>
          <w:rFonts w:ascii="Aptos" w:hAnsi="Aptos"/>
        </w:rPr>
        <w:t>Risk Treatment Process</w:t>
      </w:r>
      <w:r w:rsidRPr="0083242F">
        <w:rPr>
          <w:rFonts w:ascii="Aptos" w:hAnsi="Aptos"/>
        </w:rPr>
        <w:tab/>
      </w:r>
    </w:p>
    <w:p w14:paraId="7C0E20A7" w14:textId="153CC0D1" w:rsidR="00381BBA" w:rsidRPr="0083242F" w:rsidRDefault="00000000" w:rsidP="0088005F">
      <w:pPr>
        <w:ind w:left="709"/>
        <w:rPr>
          <w:rFonts w:ascii="Aptos" w:hAnsi="Aptos"/>
        </w:rPr>
      </w:pPr>
      <w:r w:rsidRPr="0083242F">
        <w:rPr>
          <w:rFonts w:ascii="Aptos" w:hAnsi="Aptos"/>
        </w:rPr>
        <w:t>8.</w:t>
      </w:r>
      <w:r w:rsidRPr="0083242F">
        <w:rPr>
          <w:rFonts w:ascii="Aptos" w:hAnsi="Aptos"/>
        </w:rPr>
        <w:tab/>
      </w:r>
      <w:r w:rsidR="0088005F" w:rsidRPr="0083242F">
        <w:rPr>
          <w:rFonts w:ascii="Aptos" w:hAnsi="Aptos"/>
        </w:rPr>
        <w:t>Document Sign-Off</w:t>
      </w:r>
      <w:r w:rsidRPr="0083242F">
        <w:rPr>
          <w:rFonts w:ascii="Aptos" w:hAnsi="Aptos"/>
        </w:rPr>
        <w:br w:type="page" w:clear="all"/>
      </w:r>
    </w:p>
    <w:p w14:paraId="45079DF4" w14:textId="406FC57B" w:rsidR="00381BBA" w:rsidRPr="0083242F" w:rsidRDefault="00000000">
      <w:pPr>
        <w:pStyle w:val="Heading2"/>
        <w:rPr>
          <w:rFonts w:ascii="Aptos" w:hAnsi="Aptos"/>
          <w:color w:val="1F4E79" w:themeColor="accent1" w:themeShade="80"/>
        </w:rPr>
      </w:pPr>
      <w:r w:rsidRPr="0083242F">
        <w:rPr>
          <w:rFonts w:ascii="Aptos" w:hAnsi="Aptos"/>
          <w:color w:val="1F4E79" w:themeColor="accent1" w:themeShade="80"/>
        </w:rPr>
        <w:lastRenderedPageBreak/>
        <w:t xml:space="preserve">1. </w:t>
      </w:r>
      <w:r w:rsidR="0088005F" w:rsidRPr="0083242F">
        <w:rPr>
          <w:rFonts w:ascii="Aptos" w:hAnsi="Aptos"/>
          <w:color w:val="1F4E79" w:themeColor="accent1" w:themeShade="80"/>
        </w:rPr>
        <w:t>Purpose and Scope</w:t>
      </w:r>
    </w:p>
    <w:p w14:paraId="215358E5" w14:textId="77777777" w:rsidR="0088005F" w:rsidRPr="0083242F" w:rsidRDefault="0088005F" w:rsidP="0088005F">
      <w:pPr>
        <w:pStyle w:val="Heading2"/>
        <w:rPr>
          <w:rFonts w:ascii="Aptos" w:eastAsiaTheme="minorHAnsi" w:hAnsi="Aptos" w:cstheme="minorBidi"/>
          <w:color w:val="auto"/>
          <w:sz w:val="22"/>
          <w:szCs w:val="22"/>
        </w:rPr>
      </w:pPr>
      <w:r w:rsidRPr="0083242F">
        <w:rPr>
          <w:rFonts w:ascii="Aptos" w:eastAsiaTheme="minorHAnsi" w:hAnsi="Aptos" w:cstheme="minorBidi"/>
          <w:color w:val="auto"/>
          <w:sz w:val="22"/>
          <w:szCs w:val="22"/>
        </w:rPr>
        <w:t>This document defines the methodology utilized by MunichTech GmbH to identify, analyze, and evaluate information security risks. It has been developed to satisfy the requirements of ISO/IEC 27001:2022 Clause 6.1.2 (Information security risk assessment) and provides the framework for all entries in the MunichTech GmbH Risk Register (MT-ISMS-RR-001).</w:t>
      </w:r>
    </w:p>
    <w:p w14:paraId="469CE1B2" w14:textId="15861A7E" w:rsidR="00381BBA" w:rsidRDefault="0088005F" w:rsidP="0088005F">
      <w:pPr>
        <w:pStyle w:val="Heading2"/>
        <w:rPr>
          <w:rFonts w:ascii="Aptos" w:eastAsiaTheme="minorHAnsi" w:hAnsi="Aptos" w:cstheme="minorBidi"/>
          <w:color w:val="auto"/>
          <w:sz w:val="22"/>
          <w:szCs w:val="22"/>
        </w:rPr>
      </w:pPr>
      <w:r w:rsidRPr="0083242F">
        <w:rPr>
          <w:rFonts w:ascii="Aptos" w:eastAsiaTheme="minorHAnsi" w:hAnsi="Aptos" w:cstheme="minorBidi"/>
          <w:color w:val="auto"/>
          <w:sz w:val="22"/>
          <w:szCs w:val="22"/>
        </w:rPr>
        <w:t>The purpose of this methodology is to ensure that risk assessments produce consistent, valid, and comparable results, allowing executive leadership to prioritize security investments and technical remediation efforts based on actual business exposure, regulatory liability (DSGVO, NIS2), and contractual SLA commitments.</w:t>
      </w:r>
    </w:p>
    <w:p w14:paraId="355C3F88" w14:textId="77777777" w:rsidR="0083242F" w:rsidRPr="0083242F" w:rsidRDefault="0083242F" w:rsidP="0083242F"/>
    <w:p w14:paraId="0B8B52F1" w14:textId="2EE16D9D" w:rsidR="00381BBA" w:rsidRPr="0083242F" w:rsidRDefault="00000000" w:rsidP="0040212B">
      <w:pPr>
        <w:pStyle w:val="Heading2"/>
        <w:rPr>
          <w:rFonts w:ascii="Aptos" w:hAnsi="Aptos"/>
          <w:color w:val="1F4E79" w:themeColor="accent1" w:themeShade="80"/>
        </w:rPr>
      </w:pPr>
      <w:r w:rsidRPr="0083242F">
        <w:rPr>
          <w:rFonts w:ascii="Aptos" w:hAnsi="Aptos"/>
          <w:color w:val="1F4E79" w:themeColor="accent1" w:themeShade="80"/>
        </w:rPr>
        <w:t xml:space="preserve">2. </w:t>
      </w:r>
      <w:r w:rsidR="0088005F" w:rsidRPr="0083242F">
        <w:rPr>
          <w:rFonts w:ascii="Aptos" w:hAnsi="Aptos"/>
          <w:color w:val="1F4E79" w:themeColor="accent1" w:themeShade="80"/>
        </w:rPr>
        <w:t>Assessment Frequency and Triggers</w:t>
      </w:r>
    </w:p>
    <w:p w14:paraId="19B575CE" w14:textId="77777777" w:rsidR="0088005F" w:rsidRPr="0083242F" w:rsidRDefault="0088005F" w:rsidP="0088005F">
      <w:pPr>
        <w:pStyle w:val="Heading2"/>
        <w:rPr>
          <w:rFonts w:ascii="Aptos" w:eastAsiaTheme="minorHAnsi" w:hAnsi="Aptos" w:cstheme="minorBidi"/>
          <w:color w:val="auto"/>
          <w:sz w:val="22"/>
          <w:szCs w:val="22"/>
        </w:rPr>
      </w:pPr>
      <w:r w:rsidRPr="0083242F">
        <w:rPr>
          <w:rFonts w:ascii="Aptos" w:eastAsiaTheme="minorHAnsi" w:hAnsi="Aptos" w:cstheme="minorBidi"/>
          <w:color w:val="auto"/>
          <w:sz w:val="22"/>
          <w:szCs w:val="22"/>
        </w:rPr>
        <w:t>Risk assessments are not static. The Information Security team (led by the CISO / Head of Engineering) shall conduct risk assessments under the following conditions:</w:t>
      </w:r>
    </w:p>
    <w:p w14:paraId="0210CD04" w14:textId="07BD8522" w:rsidR="0088005F" w:rsidRPr="0083242F" w:rsidRDefault="0088005F" w:rsidP="0088005F">
      <w:pPr>
        <w:pStyle w:val="Heading2"/>
        <w:numPr>
          <w:ilvl w:val="0"/>
          <w:numId w:val="3"/>
        </w:numPr>
        <w:rPr>
          <w:rFonts w:ascii="Aptos" w:eastAsiaTheme="minorHAnsi" w:hAnsi="Aptos" w:cstheme="minorBidi"/>
          <w:color w:val="auto"/>
          <w:sz w:val="22"/>
          <w:szCs w:val="22"/>
        </w:rPr>
      </w:pPr>
      <w:r w:rsidRPr="0083242F">
        <w:rPr>
          <w:rFonts w:ascii="Aptos" w:eastAsiaTheme="minorHAnsi" w:hAnsi="Aptos" w:cstheme="minorBidi"/>
          <w:color w:val="auto"/>
          <w:sz w:val="22"/>
          <w:szCs w:val="22"/>
        </w:rPr>
        <w:t>Annually: A comprehensive review of the entire Risk Register prior to the Management Review.</w:t>
      </w:r>
      <w:r w:rsidRPr="0083242F">
        <w:rPr>
          <w:rFonts w:ascii="MS Gothic" w:eastAsia="MS Gothic" w:hAnsi="MS Gothic" w:cs="MS Gothic" w:hint="eastAsia"/>
          <w:color w:val="auto"/>
          <w:sz w:val="22"/>
          <w:szCs w:val="22"/>
        </w:rPr>
        <w:t> </w:t>
      </w:r>
      <w:r w:rsidRPr="0083242F">
        <w:rPr>
          <w:rFonts w:ascii="Aptos" w:eastAsiaTheme="minorHAnsi" w:hAnsi="Aptos" w:cstheme="minorBidi"/>
          <w:color w:val="auto"/>
          <w:sz w:val="22"/>
          <w:szCs w:val="22"/>
        </w:rPr>
        <w:tab/>
      </w:r>
    </w:p>
    <w:p w14:paraId="642CF23C" w14:textId="4FAC9836" w:rsidR="0088005F" w:rsidRPr="0083242F" w:rsidRDefault="0088005F" w:rsidP="0088005F">
      <w:pPr>
        <w:pStyle w:val="Heading2"/>
        <w:numPr>
          <w:ilvl w:val="0"/>
          <w:numId w:val="3"/>
        </w:numPr>
        <w:rPr>
          <w:rFonts w:ascii="Aptos" w:eastAsiaTheme="minorHAnsi" w:hAnsi="Aptos" w:cstheme="minorBidi"/>
          <w:color w:val="auto"/>
          <w:sz w:val="22"/>
          <w:szCs w:val="22"/>
        </w:rPr>
      </w:pPr>
      <w:r w:rsidRPr="0083242F">
        <w:rPr>
          <w:rFonts w:ascii="Aptos" w:eastAsiaTheme="minorHAnsi" w:hAnsi="Aptos" w:cstheme="minorBidi"/>
          <w:color w:val="auto"/>
          <w:sz w:val="22"/>
          <w:szCs w:val="22"/>
        </w:rPr>
        <w:t>Major Architectural Change: Prior to deploying new core infrastructure, adopting new cloud environments, or significantly altering the SaaS analytics engine.</w:t>
      </w:r>
      <w:r w:rsidRPr="0083242F">
        <w:rPr>
          <w:rFonts w:ascii="MS Gothic" w:eastAsia="MS Gothic" w:hAnsi="MS Gothic" w:cs="MS Gothic" w:hint="eastAsia"/>
          <w:color w:val="auto"/>
          <w:sz w:val="22"/>
          <w:szCs w:val="22"/>
        </w:rPr>
        <w:t> </w:t>
      </w:r>
      <w:r w:rsidRPr="0083242F">
        <w:rPr>
          <w:rFonts w:ascii="Aptos" w:eastAsiaTheme="minorHAnsi" w:hAnsi="Aptos" w:cstheme="minorBidi"/>
          <w:color w:val="auto"/>
          <w:sz w:val="22"/>
          <w:szCs w:val="22"/>
        </w:rPr>
        <w:tab/>
      </w:r>
    </w:p>
    <w:p w14:paraId="1559ABB9" w14:textId="71E1CC2A" w:rsidR="0088005F" w:rsidRPr="0083242F" w:rsidRDefault="0088005F" w:rsidP="0088005F">
      <w:pPr>
        <w:pStyle w:val="Heading2"/>
        <w:numPr>
          <w:ilvl w:val="0"/>
          <w:numId w:val="3"/>
        </w:numPr>
        <w:rPr>
          <w:rFonts w:ascii="Aptos" w:eastAsia="MS Gothic" w:hAnsi="Aptos" w:cs="MS Gothic"/>
          <w:color w:val="auto"/>
          <w:sz w:val="22"/>
          <w:szCs w:val="22"/>
        </w:rPr>
      </w:pPr>
      <w:r w:rsidRPr="0083242F">
        <w:rPr>
          <w:rFonts w:ascii="Aptos" w:eastAsiaTheme="minorHAnsi" w:hAnsi="Aptos" w:cstheme="minorBidi"/>
          <w:color w:val="auto"/>
          <w:sz w:val="22"/>
          <w:szCs w:val="22"/>
        </w:rPr>
        <w:t>Post-Incident: Immediately following any confirmed security breach, severe near-miss, or SLA-violating outage.</w:t>
      </w:r>
      <w:r w:rsidRPr="0083242F">
        <w:rPr>
          <w:rFonts w:ascii="MS Gothic" w:eastAsia="MS Gothic" w:hAnsi="MS Gothic" w:cs="MS Gothic" w:hint="eastAsia"/>
          <w:color w:val="auto"/>
          <w:sz w:val="22"/>
          <w:szCs w:val="22"/>
        </w:rPr>
        <w:t> </w:t>
      </w:r>
    </w:p>
    <w:p w14:paraId="2B953DD0" w14:textId="2B77E589" w:rsidR="00381BBA" w:rsidRPr="0083242F" w:rsidRDefault="0088005F" w:rsidP="0088005F">
      <w:pPr>
        <w:pStyle w:val="Heading2"/>
        <w:numPr>
          <w:ilvl w:val="0"/>
          <w:numId w:val="3"/>
        </w:numPr>
        <w:rPr>
          <w:rFonts w:ascii="Aptos" w:eastAsiaTheme="minorHAnsi" w:hAnsi="Aptos" w:cstheme="minorBidi"/>
          <w:color w:val="auto"/>
          <w:sz w:val="22"/>
          <w:szCs w:val="22"/>
        </w:rPr>
      </w:pPr>
      <w:r w:rsidRPr="0083242F">
        <w:rPr>
          <w:rFonts w:ascii="Aptos" w:eastAsiaTheme="minorHAnsi" w:hAnsi="Aptos" w:cstheme="minorBidi"/>
          <w:color w:val="auto"/>
          <w:sz w:val="22"/>
          <w:szCs w:val="22"/>
        </w:rPr>
        <w:t>Regulatory Shift: Following major changes in German/EU law (e.g., implementation of national NISG 2.0 legislation).</w:t>
      </w:r>
    </w:p>
    <w:p w14:paraId="464EE0C3" w14:textId="77777777" w:rsidR="0088005F" w:rsidRPr="0083242F" w:rsidRDefault="0088005F" w:rsidP="0088005F">
      <w:pPr>
        <w:rPr>
          <w:rFonts w:ascii="Aptos" w:hAnsi="Aptos"/>
        </w:rPr>
      </w:pPr>
    </w:p>
    <w:p w14:paraId="17712CC2" w14:textId="65211E5A" w:rsidR="00381BBA" w:rsidRPr="0083242F" w:rsidRDefault="00000000" w:rsidP="0040212B">
      <w:pPr>
        <w:pStyle w:val="Heading2"/>
        <w:rPr>
          <w:rFonts w:ascii="Aptos" w:hAnsi="Aptos"/>
          <w:color w:val="1F4E79" w:themeColor="accent1" w:themeShade="80"/>
        </w:rPr>
      </w:pPr>
      <w:r w:rsidRPr="0083242F">
        <w:rPr>
          <w:rFonts w:ascii="Aptos" w:hAnsi="Aptos"/>
          <w:color w:val="1F4E79" w:themeColor="accent1" w:themeShade="80"/>
        </w:rPr>
        <w:t xml:space="preserve">3. </w:t>
      </w:r>
      <w:r w:rsidR="0088005F" w:rsidRPr="0083242F">
        <w:rPr>
          <w:rFonts w:ascii="Aptos" w:hAnsi="Aptos"/>
          <w:color w:val="1F4E79" w:themeColor="accent1" w:themeShade="80"/>
        </w:rPr>
        <w:t>Risk Calculation Methodology</w:t>
      </w:r>
    </w:p>
    <w:p w14:paraId="64E9A8BF" w14:textId="6A3D6B08" w:rsidR="00381BBA" w:rsidRPr="0083242F" w:rsidRDefault="0088005F">
      <w:pPr>
        <w:rPr>
          <w:rFonts w:ascii="Aptos" w:hAnsi="Aptos"/>
        </w:rPr>
      </w:pPr>
      <w:r w:rsidRPr="0083242F">
        <w:rPr>
          <w:rFonts w:ascii="Aptos" w:hAnsi="Aptos"/>
        </w:rPr>
        <w:t xml:space="preserve">MunichTech GmbH utilizes a qualitative, three-factor risk calculation model. The Inherent Risk (the risk level before any mitigating controls </w:t>
      </w:r>
      <w:proofErr w:type="gramStart"/>
      <w:r w:rsidRPr="0083242F">
        <w:rPr>
          <w:rFonts w:ascii="Aptos" w:hAnsi="Aptos"/>
        </w:rPr>
        <w:t>are</w:t>
      </w:r>
      <w:proofErr w:type="gramEnd"/>
      <w:r w:rsidRPr="0083242F">
        <w:rPr>
          <w:rFonts w:ascii="Aptos" w:hAnsi="Aptos"/>
        </w:rPr>
        <w:t xml:space="preserve"> applied) and the Residual Risk (the risk remaining after controls are applied) are calculated using the following formula:</w:t>
      </w:r>
    </w:p>
    <w:p w14:paraId="2B9719F4" w14:textId="00A7D4DA" w:rsidR="00F866D1" w:rsidRPr="0083242F" w:rsidRDefault="00F866D1">
      <w:pPr>
        <w:rPr>
          <w:rFonts w:ascii="Aptos" w:eastAsiaTheme="minorEastAsia" w:hAnsi="Aptos"/>
        </w:rPr>
      </w:pPr>
      <m:oMathPara>
        <m:oMath>
          <m:r>
            <w:rPr>
              <w:rFonts w:ascii="Cambria Math" w:hAnsi="Cambria Math"/>
            </w:rPr>
            <m:t xml:space="preserve">Risk Score = Asset Value </m:t>
          </m:r>
          <m:d>
            <m:dPr>
              <m:ctrlPr>
                <w:rPr>
                  <w:rFonts w:ascii="Cambria Math" w:hAnsi="Cambria Math"/>
                  <w:i/>
                </w:rPr>
              </m:ctrlPr>
            </m:dPr>
            <m:e>
              <m:r>
                <w:rPr>
                  <w:rFonts w:ascii="Cambria Math" w:hAnsi="Cambria Math"/>
                </w:rPr>
                <m:t>Impact</m:t>
              </m:r>
            </m:e>
          </m:d>
          <m:r>
            <w:rPr>
              <w:rFonts w:ascii="Cambria Math" w:hAnsi="Cambria Math"/>
            </w:rPr>
            <m:t>×Threat Likelihood ×Vulnerability Severity</m:t>
          </m:r>
        </m:oMath>
      </m:oMathPara>
    </w:p>
    <w:p w14:paraId="442FF3D8" w14:textId="77777777" w:rsidR="0088005F" w:rsidRPr="0083242F" w:rsidRDefault="0088005F" w:rsidP="0088005F">
      <w:pPr>
        <w:rPr>
          <w:rFonts w:ascii="Aptos" w:hAnsi="Aptos"/>
        </w:rPr>
      </w:pPr>
      <w:r w:rsidRPr="0083242F">
        <w:rPr>
          <w:rFonts w:ascii="Aptos" w:hAnsi="Aptos"/>
        </w:rPr>
        <w:t>Each factor is scored on a scale of 1 to 3.</w:t>
      </w:r>
    </w:p>
    <w:p w14:paraId="550C8164" w14:textId="7EAA908A" w:rsidR="0088005F" w:rsidRPr="0083242F" w:rsidRDefault="0088005F" w:rsidP="0088005F">
      <w:pPr>
        <w:rPr>
          <w:rFonts w:ascii="Aptos" w:hAnsi="Aptos"/>
        </w:rPr>
      </w:pPr>
      <w:r w:rsidRPr="0083242F">
        <w:rPr>
          <w:rFonts w:ascii="Aptos" w:hAnsi="Aptos"/>
        </w:rPr>
        <w:t>The minimum possible score is 1 (1 × 1 × 1). The maximum possible score is 27 (3 × 3 × 3).</w:t>
      </w:r>
    </w:p>
    <w:p w14:paraId="43E3F7C1" w14:textId="77777777" w:rsidR="0088005F" w:rsidRPr="0083242F" w:rsidRDefault="0088005F" w:rsidP="0088005F">
      <w:pPr>
        <w:rPr>
          <w:rFonts w:ascii="Aptos" w:hAnsi="Aptos"/>
        </w:rPr>
      </w:pPr>
    </w:p>
    <w:p w14:paraId="71BA46C7" w14:textId="77777777" w:rsidR="0088005F" w:rsidRPr="0083242F" w:rsidRDefault="0088005F">
      <w:pPr>
        <w:rPr>
          <w:rFonts w:ascii="Aptos" w:eastAsia="Arial" w:hAnsi="Aptos" w:cs="Arial"/>
          <w:color w:val="1F4E79" w:themeColor="accent1" w:themeShade="80"/>
          <w:sz w:val="32"/>
          <w:szCs w:val="32"/>
        </w:rPr>
      </w:pPr>
      <w:r w:rsidRPr="0083242F">
        <w:rPr>
          <w:rFonts w:ascii="Aptos" w:hAnsi="Aptos"/>
          <w:color w:val="1F4E79" w:themeColor="accent1" w:themeShade="80"/>
        </w:rPr>
        <w:br w:type="page"/>
      </w:r>
    </w:p>
    <w:p w14:paraId="72FB96A7" w14:textId="53FB7B69" w:rsidR="00381BBA" w:rsidRPr="0083242F" w:rsidRDefault="00000000" w:rsidP="00D61372">
      <w:pPr>
        <w:pStyle w:val="Heading2"/>
        <w:rPr>
          <w:rFonts w:ascii="Aptos" w:hAnsi="Aptos"/>
          <w:color w:val="1F4E79" w:themeColor="accent1" w:themeShade="80"/>
        </w:rPr>
      </w:pPr>
      <w:r w:rsidRPr="0083242F">
        <w:rPr>
          <w:rFonts w:ascii="Aptos" w:hAnsi="Aptos"/>
          <w:color w:val="1F4E79" w:themeColor="accent1" w:themeShade="80"/>
        </w:rPr>
        <w:lastRenderedPageBreak/>
        <w:t xml:space="preserve">4. </w:t>
      </w:r>
      <w:r w:rsidR="0088005F" w:rsidRPr="0083242F">
        <w:rPr>
          <w:rFonts w:ascii="Aptos" w:hAnsi="Aptos"/>
          <w:color w:val="1F4E79" w:themeColor="accent1" w:themeShade="80"/>
        </w:rPr>
        <w:t>Factor Definitions and Scoring</w:t>
      </w:r>
    </w:p>
    <w:p w14:paraId="0AA52225" w14:textId="3A8323A6" w:rsidR="00381BBA" w:rsidRPr="0083242F" w:rsidRDefault="00000000">
      <w:pPr>
        <w:pStyle w:val="Heading5"/>
        <w:rPr>
          <w:rFonts w:ascii="Aptos" w:hAnsi="Aptos"/>
          <w:color w:val="1F4E79" w:themeColor="accent1" w:themeShade="80"/>
        </w:rPr>
      </w:pPr>
      <w:r w:rsidRPr="0083242F">
        <w:rPr>
          <w:rFonts w:ascii="Aptos" w:hAnsi="Aptos"/>
          <w:color w:val="1F4E79" w:themeColor="accent1" w:themeShade="80"/>
        </w:rPr>
        <w:t xml:space="preserve">4.1 </w:t>
      </w:r>
      <w:r w:rsidR="0088005F" w:rsidRPr="0083242F">
        <w:rPr>
          <w:rFonts w:ascii="Aptos" w:hAnsi="Aptos"/>
          <w:color w:val="1F4E79" w:themeColor="accent1" w:themeShade="80"/>
        </w:rPr>
        <w:t>Asset Value (Business Impact)</w:t>
      </w:r>
    </w:p>
    <w:p w14:paraId="4C97C095" w14:textId="75924A95" w:rsidR="00381BBA" w:rsidRPr="0083242F" w:rsidRDefault="0088005F">
      <w:pPr>
        <w:rPr>
          <w:rFonts w:ascii="Aptos" w:hAnsi="Aptos"/>
        </w:rPr>
      </w:pPr>
      <w:r w:rsidRPr="0083242F">
        <w:rPr>
          <w:rFonts w:ascii="Aptos" w:hAnsi="Aptos"/>
        </w:rPr>
        <w:t>Derived directly from the Confidentiality, Integrity, and Availability (CIA) scores documented in the Information Asset Register (MT-ISMS-IAR-001). The highest CIA value of the targeted asset is used as the base Asset Value score.</w:t>
      </w:r>
    </w:p>
    <w:tbl>
      <w:tblPr>
        <w:tblStyle w:val="TableGrid"/>
        <w:tblW w:w="0" w:type="auto"/>
        <w:tblLook w:val="04A0" w:firstRow="1" w:lastRow="0" w:firstColumn="1" w:lastColumn="0" w:noHBand="0" w:noVBand="1"/>
      </w:tblPr>
      <w:tblGrid>
        <w:gridCol w:w="3117"/>
        <w:gridCol w:w="3116"/>
        <w:gridCol w:w="3117"/>
      </w:tblGrid>
      <w:tr w:rsidR="0060178D" w:rsidRPr="0083242F" w14:paraId="217F0449" w14:textId="77777777" w:rsidTr="0088005F">
        <w:tc>
          <w:tcPr>
            <w:tcW w:w="3117" w:type="dxa"/>
            <w:vAlign w:val="center"/>
          </w:tcPr>
          <w:p w14:paraId="74C3EF04" w14:textId="58E44372" w:rsidR="00381BBA" w:rsidRPr="0083242F" w:rsidRDefault="00B73676" w:rsidP="00B73676">
            <w:pPr>
              <w:pStyle w:val="Heading4"/>
              <w:rPr>
                <w:rFonts w:ascii="Aptos" w:hAnsi="Aptos"/>
              </w:rPr>
            </w:pPr>
            <w:r w:rsidRPr="0083242F">
              <w:rPr>
                <w:rFonts w:ascii="Aptos" w:hAnsi="Aptos"/>
              </w:rPr>
              <w:t>Score</w:t>
            </w:r>
          </w:p>
        </w:tc>
        <w:tc>
          <w:tcPr>
            <w:tcW w:w="3116" w:type="dxa"/>
            <w:vAlign w:val="center"/>
          </w:tcPr>
          <w:p w14:paraId="1BB552F5" w14:textId="79B2A495" w:rsidR="00381BBA" w:rsidRPr="0083242F" w:rsidRDefault="00B73676" w:rsidP="00B73676">
            <w:pPr>
              <w:pStyle w:val="Heading4"/>
              <w:rPr>
                <w:rFonts w:ascii="Aptos" w:hAnsi="Aptos"/>
              </w:rPr>
            </w:pPr>
            <w:r w:rsidRPr="0083242F">
              <w:rPr>
                <w:rFonts w:ascii="Aptos" w:hAnsi="Aptos"/>
              </w:rPr>
              <w:t>Level</w:t>
            </w:r>
          </w:p>
        </w:tc>
        <w:tc>
          <w:tcPr>
            <w:tcW w:w="3117" w:type="dxa"/>
            <w:vAlign w:val="center"/>
          </w:tcPr>
          <w:p w14:paraId="163C4711" w14:textId="6FAD8F37" w:rsidR="00381BBA" w:rsidRPr="0083242F" w:rsidRDefault="00B73676" w:rsidP="00B73676">
            <w:pPr>
              <w:pStyle w:val="Heading4"/>
              <w:rPr>
                <w:rFonts w:ascii="Aptos" w:hAnsi="Aptos"/>
              </w:rPr>
            </w:pPr>
            <w:r w:rsidRPr="0083242F">
              <w:rPr>
                <w:rFonts w:ascii="Aptos" w:hAnsi="Aptos"/>
              </w:rPr>
              <w:t>Definition &amp; Business Context</w:t>
            </w:r>
          </w:p>
        </w:tc>
      </w:tr>
      <w:tr w:rsidR="00381BBA" w:rsidRPr="0083242F" w14:paraId="334DAFAD" w14:textId="77777777" w:rsidTr="0088005F">
        <w:tc>
          <w:tcPr>
            <w:tcW w:w="3117" w:type="dxa"/>
            <w:vAlign w:val="center"/>
          </w:tcPr>
          <w:p w14:paraId="20D42556" w14:textId="45988F50" w:rsidR="00381BBA" w:rsidRPr="0083242F" w:rsidRDefault="00B73676">
            <w:pPr>
              <w:rPr>
                <w:rFonts w:ascii="Aptos" w:hAnsi="Aptos"/>
              </w:rPr>
            </w:pPr>
            <w:r w:rsidRPr="0083242F">
              <w:rPr>
                <w:rFonts w:ascii="Aptos" w:hAnsi="Aptos"/>
              </w:rPr>
              <w:t>3</w:t>
            </w:r>
          </w:p>
        </w:tc>
        <w:tc>
          <w:tcPr>
            <w:tcW w:w="3116" w:type="dxa"/>
            <w:vAlign w:val="center"/>
          </w:tcPr>
          <w:p w14:paraId="05A90C4B" w14:textId="6D04F327" w:rsidR="00381BBA" w:rsidRPr="0083242F" w:rsidRDefault="00B73676">
            <w:pPr>
              <w:rPr>
                <w:rFonts w:ascii="Aptos" w:hAnsi="Aptos"/>
              </w:rPr>
            </w:pPr>
            <w:r w:rsidRPr="0083242F">
              <w:rPr>
                <w:rFonts w:ascii="Aptos" w:hAnsi="Aptos"/>
              </w:rPr>
              <w:t>High</w:t>
            </w:r>
          </w:p>
        </w:tc>
        <w:tc>
          <w:tcPr>
            <w:tcW w:w="3117" w:type="dxa"/>
            <w:vAlign w:val="center"/>
          </w:tcPr>
          <w:p w14:paraId="414947A1" w14:textId="402522AE" w:rsidR="00381BBA" w:rsidRPr="0083242F" w:rsidRDefault="00B73676">
            <w:pPr>
              <w:rPr>
                <w:rFonts w:ascii="Aptos" w:hAnsi="Aptos"/>
              </w:rPr>
            </w:pPr>
            <w:r w:rsidRPr="0083242F">
              <w:rPr>
                <w:rFonts w:ascii="Aptos" w:hAnsi="Aptos"/>
              </w:rPr>
              <w:t>Critical impact on business operations. Data breach involving client financial data or PII triggering mandatory 72-hour DSGVO/BayLDA notification. SaaS platform outage exceeding contractual SLAs and triggering NIS2 Article 23 reporting thresholds. Severe reputational damage and client churn.</w:t>
            </w:r>
          </w:p>
        </w:tc>
      </w:tr>
      <w:tr w:rsidR="00381BBA" w:rsidRPr="0083242F" w14:paraId="062412A4" w14:textId="77777777" w:rsidTr="0088005F">
        <w:tc>
          <w:tcPr>
            <w:tcW w:w="3117" w:type="dxa"/>
            <w:vAlign w:val="center"/>
          </w:tcPr>
          <w:p w14:paraId="46593E90" w14:textId="1C17C04A" w:rsidR="00381BBA" w:rsidRPr="0083242F" w:rsidRDefault="00B73676">
            <w:pPr>
              <w:rPr>
                <w:rFonts w:ascii="Aptos" w:hAnsi="Aptos"/>
              </w:rPr>
            </w:pPr>
            <w:r w:rsidRPr="0083242F">
              <w:rPr>
                <w:rFonts w:ascii="Aptos" w:hAnsi="Aptos"/>
              </w:rPr>
              <w:t>2</w:t>
            </w:r>
          </w:p>
        </w:tc>
        <w:tc>
          <w:tcPr>
            <w:tcW w:w="3116" w:type="dxa"/>
            <w:vAlign w:val="center"/>
          </w:tcPr>
          <w:p w14:paraId="68C1F56C" w14:textId="169B6238" w:rsidR="00381BBA" w:rsidRPr="0083242F" w:rsidRDefault="00B73676">
            <w:pPr>
              <w:rPr>
                <w:rFonts w:ascii="Aptos" w:hAnsi="Aptos"/>
              </w:rPr>
            </w:pPr>
            <w:r w:rsidRPr="0083242F">
              <w:rPr>
                <w:rFonts w:ascii="Aptos" w:hAnsi="Aptos"/>
              </w:rPr>
              <w:t>Medium</w:t>
            </w:r>
          </w:p>
        </w:tc>
        <w:tc>
          <w:tcPr>
            <w:tcW w:w="3117" w:type="dxa"/>
            <w:vAlign w:val="center"/>
          </w:tcPr>
          <w:p w14:paraId="73F12BA3" w14:textId="443F61E5" w:rsidR="00381BBA" w:rsidRPr="0083242F" w:rsidRDefault="00B73676">
            <w:pPr>
              <w:rPr>
                <w:rFonts w:ascii="Aptos" w:hAnsi="Aptos"/>
              </w:rPr>
            </w:pPr>
            <w:r w:rsidRPr="0083242F">
              <w:rPr>
                <w:rFonts w:ascii="Aptos" w:hAnsi="Aptos"/>
              </w:rPr>
              <w:t>Moderate impact. Degradation of internal systems affecting engineering productivity but not directly impacting client-facing SaaS delivery. Minor data exposure not requiring regulatory notification. Recoverable within standard RTO without severe financial penalty.</w:t>
            </w:r>
          </w:p>
        </w:tc>
      </w:tr>
      <w:tr w:rsidR="00381BBA" w:rsidRPr="0083242F" w14:paraId="15C752AF" w14:textId="77777777" w:rsidTr="0088005F">
        <w:tc>
          <w:tcPr>
            <w:tcW w:w="3117" w:type="dxa"/>
            <w:vAlign w:val="center"/>
          </w:tcPr>
          <w:p w14:paraId="30EBCBCF" w14:textId="52D5D4F2" w:rsidR="00381BBA" w:rsidRPr="0083242F" w:rsidRDefault="00B73676">
            <w:pPr>
              <w:rPr>
                <w:rFonts w:ascii="Aptos" w:hAnsi="Aptos"/>
              </w:rPr>
            </w:pPr>
            <w:r w:rsidRPr="0083242F">
              <w:rPr>
                <w:rFonts w:ascii="Aptos" w:hAnsi="Aptos"/>
              </w:rPr>
              <w:t>1</w:t>
            </w:r>
          </w:p>
        </w:tc>
        <w:tc>
          <w:tcPr>
            <w:tcW w:w="3116" w:type="dxa"/>
            <w:vAlign w:val="center"/>
          </w:tcPr>
          <w:p w14:paraId="60F6A0CF" w14:textId="04CDEBA3" w:rsidR="00381BBA" w:rsidRPr="0083242F" w:rsidRDefault="00B73676">
            <w:pPr>
              <w:rPr>
                <w:rFonts w:ascii="Aptos" w:hAnsi="Aptos"/>
              </w:rPr>
            </w:pPr>
            <w:r w:rsidRPr="0083242F">
              <w:rPr>
                <w:rFonts w:ascii="Aptos" w:hAnsi="Aptos"/>
              </w:rPr>
              <w:t>Low</w:t>
            </w:r>
          </w:p>
        </w:tc>
        <w:tc>
          <w:tcPr>
            <w:tcW w:w="3117" w:type="dxa"/>
            <w:vAlign w:val="center"/>
          </w:tcPr>
          <w:p w14:paraId="70841284" w14:textId="520A32B9" w:rsidR="00381BBA" w:rsidRPr="0083242F" w:rsidRDefault="00B73676">
            <w:pPr>
              <w:rPr>
                <w:rFonts w:ascii="Aptos" w:hAnsi="Aptos"/>
              </w:rPr>
            </w:pPr>
            <w:r w:rsidRPr="0083242F">
              <w:rPr>
                <w:rFonts w:ascii="Aptos" w:hAnsi="Aptos"/>
              </w:rPr>
              <w:t>Negligible impact. Publicly available data, or isolated disruption to non-critical internal tools (e.g., meeting room booking systems) with readily available manual workarounds. No regulatory impact.</w:t>
            </w:r>
          </w:p>
        </w:tc>
      </w:tr>
    </w:tbl>
    <w:p w14:paraId="31F3C989" w14:textId="77777777" w:rsidR="00381BBA" w:rsidRPr="0083242F" w:rsidRDefault="00381BBA">
      <w:pPr>
        <w:rPr>
          <w:rFonts w:ascii="Aptos" w:hAnsi="Aptos"/>
        </w:rPr>
      </w:pPr>
    </w:p>
    <w:p w14:paraId="0C9D29B8" w14:textId="77777777" w:rsidR="00B73676" w:rsidRPr="0083242F" w:rsidRDefault="00B73676">
      <w:pPr>
        <w:rPr>
          <w:rFonts w:ascii="Aptos" w:eastAsia="Arial" w:hAnsi="Aptos" w:cs="Arial"/>
          <w:color w:val="1F4E79" w:themeColor="accent1" w:themeShade="80"/>
        </w:rPr>
      </w:pPr>
      <w:r w:rsidRPr="0083242F">
        <w:rPr>
          <w:rFonts w:ascii="Aptos" w:eastAsia="Arial" w:hAnsi="Aptos" w:cs="Arial"/>
          <w:color w:val="1F4E79" w:themeColor="accent1" w:themeShade="80"/>
        </w:rPr>
        <w:br w:type="page"/>
      </w:r>
    </w:p>
    <w:p w14:paraId="3E4D8B92" w14:textId="16210A84" w:rsidR="00EC650A" w:rsidRPr="0083242F" w:rsidRDefault="00B73676">
      <w:pPr>
        <w:rPr>
          <w:rFonts w:ascii="Aptos" w:hAnsi="Aptos"/>
          <w:b/>
          <w:bCs/>
        </w:rPr>
      </w:pPr>
      <w:r w:rsidRPr="0083242F">
        <w:rPr>
          <w:rFonts w:ascii="Aptos" w:eastAsia="Arial" w:hAnsi="Aptos" w:cs="Arial"/>
          <w:color w:val="1F4E79" w:themeColor="accent1" w:themeShade="80"/>
        </w:rPr>
        <w:lastRenderedPageBreak/>
        <w:t>4.2 Threat Likelihood</w:t>
      </w:r>
    </w:p>
    <w:p w14:paraId="265AC081" w14:textId="433CFF75" w:rsidR="00B73676" w:rsidRPr="0083242F" w:rsidRDefault="00B73676" w:rsidP="00B73676">
      <w:pPr>
        <w:rPr>
          <w:rFonts w:ascii="Aptos" w:hAnsi="Aptos"/>
        </w:rPr>
      </w:pPr>
      <w:r w:rsidRPr="0083242F">
        <w:rPr>
          <w:rFonts w:ascii="Aptos" w:hAnsi="Aptos"/>
        </w:rPr>
        <w:t>The probability of a threat actor or natural event attempting to exploit the asset. Informed by industry threat intelligence (e.g., ENISA Threat Landscape).</w:t>
      </w:r>
    </w:p>
    <w:tbl>
      <w:tblPr>
        <w:tblStyle w:val="TableGrid"/>
        <w:tblW w:w="0" w:type="auto"/>
        <w:tblLook w:val="04A0" w:firstRow="1" w:lastRow="0" w:firstColumn="1" w:lastColumn="0" w:noHBand="0" w:noVBand="1"/>
      </w:tblPr>
      <w:tblGrid>
        <w:gridCol w:w="3116"/>
        <w:gridCol w:w="3117"/>
        <w:gridCol w:w="3117"/>
      </w:tblGrid>
      <w:tr w:rsidR="0060178D" w:rsidRPr="0083242F" w14:paraId="6A94600F" w14:textId="77777777" w:rsidTr="00B73676">
        <w:tc>
          <w:tcPr>
            <w:tcW w:w="3116" w:type="dxa"/>
            <w:vAlign w:val="center"/>
          </w:tcPr>
          <w:p w14:paraId="4D55463B" w14:textId="173A9005"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Score</w:t>
            </w:r>
          </w:p>
        </w:tc>
        <w:tc>
          <w:tcPr>
            <w:tcW w:w="3117" w:type="dxa"/>
            <w:vAlign w:val="center"/>
          </w:tcPr>
          <w:p w14:paraId="5B742D82" w14:textId="16704D73"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Level</w:t>
            </w:r>
          </w:p>
        </w:tc>
        <w:tc>
          <w:tcPr>
            <w:tcW w:w="3117" w:type="dxa"/>
            <w:vAlign w:val="center"/>
          </w:tcPr>
          <w:p w14:paraId="1302B988" w14:textId="70CA60AA"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Definition &amp; Business Context</w:t>
            </w:r>
          </w:p>
        </w:tc>
      </w:tr>
      <w:tr w:rsidR="00381BBA" w:rsidRPr="0083242F" w14:paraId="5457936D" w14:textId="77777777" w:rsidTr="00B73676">
        <w:tc>
          <w:tcPr>
            <w:tcW w:w="3116" w:type="dxa"/>
            <w:vAlign w:val="center"/>
          </w:tcPr>
          <w:p w14:paraId="59360E7E" w14:textId="6C823FC6" w:rsidR="00381BBA" w:rsidRPr="0083242F" w:rsidRDefault="00B73676">
            <w:pPr>
              <w:tabs>
                <w:tab w:val="center" w:pos="1452"/>
              </w:tabs>
              <w:rPr>
                <w:rFonts w:ascii="Aptos" w:hAnsi="Aptos"/>
              </w:rPr>
            </w:pPr>
            <w:r w:rsidRPr="0083242F">
              <w:rPr>
                <w:rFonts w:ascii="Aptos" w:hAnsi="Aptos"/>
              </w:rPr>
              <w:t>3</w:t>
            </w:r>
          </w:p>
        </w:tc>
        <w:tc>
          <w:tcPr>
            <w:tcW w:w="3117" w:type="dxa"/>
            <w:vAlign w:val="center"/>
          </w:tcPr>
          <w:p w14:paraId="09D6D8F6" w14:textId="5CFBDDA9" w:rsidR="00381BBA" w:rsidRPr="0083242F" w:rsidRDefault="00B73676">
            <w:pPr>
              <w:rPr>
                <w:rFonts w:ascii="Aptos" w:hAnsi="Aptos"/>
              </w:rPr>
            </w:pPr>
            <w:r w:rsidRPr="0083242F">
              <w:rPr>
                <w:rFonts w:ascii="Aptos" w:hAnsi="Aptos"/>
              </w:rPr>
              <w:t>High</w:t>
            </w:r>
          </w:p>
        </w:tc>
        <w:tc>
          <w:tcPr>
            <w:tcW w:w="3117" w:type="dxa"/>
            <w:vAlign w:val="center"/>
          </w:tcPr>
          <w:p w14:paraId="124DF909" w14:textId="3536A032" w:rsidR="00381BBA" w:rsidRPr="0083242F" w:rsidRDefault="00B73676">
            <w:pPr>
              <w:rPr>
                <w:rFonts w:ascii="Aptos" w:hAnsi="Aptos"/>
              </w:rPr>
            </w:pPr>
            <w:r w:rsidRPr="0083242F">
              <w:rPr>
                <w:rFonts w:ascii="Aptos" w:hAnsi="Aptos"/>
              </w:rPr>
              <w:t>Highly motivated and capable threat actors (e.g., ransomware gangs targeting financial sector supply chains, malicious insiders). The threat event occurs frequently in the industry or is actively occurring against MunichTech GmbH infrastructure (e.g., continuous automated credential stuffing).</w:t>
            </w:r>
          </w:p>
        </w:tc>
      </w:tr>
      <w:tr w:rsidR="00381BBA" w:rsidRPr="0083242F" w14:paraId="4C9F9FB7" w14:textId="77777777" w:rsidTr="00B73676">
        <w:tc>
          <w:tcPr>
            <w:tcW w:w="3116" w:type="dxa"/>
            <w:vAlign w:val="center"/>
          </w:tcPr>
          <w:p w14:paraId="3EBFAF8A" w14:textId="35EE1AE2" w:rsidR="00381BBA" w:rsidRPr="0083242F" w:rsidRDefault="00B73676">
            <w:pPr>
              <w:rPr>
                <w:rFonts w:ascii="Aptos" w:hAnsi="Aptos"/>
              </w:rPr>
            </w:pPr>
            <w:r w:rsidRPr="0083242F">
              <w:rPr>
                <w:rFonts w:ascii="Aptos" w:hAnsi="Aptos"/>
              </w:rPr>
              <w:t>2</w:t>
            </w:r>
          </w:p>
        </w:tc>
        <w:tc>
          <w:tcPr>
            <w:tcW w:w="3117" w:type="dxa"/>
            <w:vAlign w:val="center"/>
          </w:tcPr>
          <w:p w14:paraId="5ABE0D09" w14:textId="0C00782B" w:rsidR="00381BBA" w:rsidRPr="0083242F" w:rsidRDefault="00B73676">
            <w:pPr>
              <w:rPr>
                <w:rFonts w:ascii="Aptos" w:hAnsi="Aptos"/>
              </w:rPr>
            </w:pPr>
            <w:r w:rsidRPr="0083242F">
              <w:rPr>
                <w:rFonts w:ascii="Aptos" w:hAnsi="Aptos"/>
              </w:rPr>
              <w:t>Medium</w:t>
            </w:r>
          </w:p>
        </w:tc>
        <w:tc>
          <w:tcPr>
            <w:tcW w:w="3117" w:type="dxa"/>
            <w:vAlign w:val="center"/>
          </w:tcPr>
          <w:p w14:paraId="4806EC2F" w14:textId="3068CF06" w:rsidR="00381BBA" w:rsidRPr="0083242F" w:rsidRDefault="00B73676">
            <w:pPr>
              <w:rPr>
                <w:rFonts w:ascii="Aptos" w:hAnsi="Aptos"/>
              </w:rPr>
            </w:pPr>
            <w:r w:rsidRPr="0083242F">
              <w:rPr>
                <w:rFonts w:ascii="Aptos" w:hAnsi="Aptos"/>
              </w:rPr>
              <w:t>Opportunistic or automated threats without specific targeting of MunichTech GmbH (e.g., untargeted phishing campaigns, automated vulnerability scanners). Expected to occur at least once a year.</w:t>
            </w:r>
          </w:p>
        </w:tc>
      </w:tr>
      <w:tr w:rsidR="00381BBA" w:rsidRPr="0083242F" w14:paraId="00975DD6" w14:textId="77777777" w:rsidTr="00B73676">
        <w:tc>
          <w:tcPr>
            <w:tcW w:w="3116" w:type="dxa"/>
            <w:vAlign w:val="center"/>
          </w:tcPr>
          <w:p w14:paraId="22BF04C0" w14:textId="4E717D1F" w:rsidR="00381BBA" w:rsidRPr="0083242F" w:rsidRDefault="00B73676">
            <w:pPr>
              <w:rPr>
                <w:rFonts w:ascii="Aptos" w:hAnsi="Aptos"/>
              </w:rPr>
            </w:pPr>
            <w:r w:rsidRPr="0083242F">
              <w:rPr>
                <w:rFonts w:ascii="Aptos" w:hAnsi="Aptos"/>
              </w:rPr>
              <w:t>1</w:t>
            </w:r>
          </w:p>
        </w:tc>
        <w:tc>
          <w:tcPr>
            <w:tcW w:w="3117" w:type="dxa"/>
            <w:vAlign w:val="center"/>
          </w:tcPr>
          <w:p w14:paraId="1526085A" w14:textId="4C80B2EE" w:rsidR="00381BBA" w:rsidRPr="0083242F" w:rsidRDefault="00B73676">
            <w:pPr>
              <w:rPr>
                <w:rFonts w:ascii="Aptos" w:hAnsi="Aptos"/>
              </w:rPr>
            </w:pPr>
            <w:r w:rsidRPr="0083242F">
              <w:rPr>
                <w:rFonts w:ascii="Aptos" w:hAnsi="Aptos"/>
              </w:rPr>
              <w:t>Low</w:t>
            </w:r>
          </w:p>
        </w:tc>
        <w:tc>
          <w:tcPr>
            <w:tcW w:w="3117" w:type="dxa"/>
            <w:vAlign w:val="center"/>
          </w:tcPr>
          <w:p w14:paraId="6F1B2CEC" w14:textId="4CBEF838" w:rsidR="00381BBA" w:rsidRPr="0083242F" w:rsidRDefault="00B73676">
            <w:pPr>
              <w:rPr>
                <w:rFonts w:ascii="Aptos" w:hAnsi="Aptos"/>
              </w:rPr>
            </w:pPr>
            <w:r w:rsidRPr="0083242F">
              <w:rPr>
                <w:rFonts w:ascii="Aptos" w:hAnsi="Aptos"/>
              </w:rPr>
              <w:t>Rare or purely theoretical threats. Highly complex attack vectors requiring physical access to the Munich AWS data centers, or rare natural disasters (e.g., severe earthquakes in Bavaria).</w:t>
            </w:r>
          </w:p>
        </w:tc>
      </w:tr>
    </w:tbl>
    <w:p w14:paraId="3909CEB3" w14:textId="77777777" w:rsidR="0040212B" w:rsidRPr="0083242F" w:rsidRDefault="0040212B" w:rsidP="0040212B">
      <w:pPr>
        <w:pStyle w:val="Heading5"/>
        <w:rPr>
          <w:rFonts w:ascii="Aptos" w:hAnsi="Aptos"/>
        </w:rPr>
      </w:pPr>
    </w:p>
    <w:p w14:paraId="5438773C" w14:textId="6CF07316" w:rsidR="00B73676" w:rsidRPr="0083242F" w:rsidRDefault="00B73676">
      <w:pPr>
        <w:rPr>
          <w:rFonts w:ascii="Aptos" w:eastAsia="Arial" w:hAnsi="Aptos" w:cs="Arial"/>
          <w:color w:val="2E74B5" w:themeColor="accent1" w:themeShade="BF"/>
        </w:rPr>
      </w:pPr>
      <w:r w:rsidRPr="0083242F">
        <w:rPr>
          <w:rFonts w:ascii="Aptos" w:eastAsia="Arial" w:hAnsi="Aptos" w:cs="Arial"/>
          <w:color w:val="1F4E79" w:themeColor="accent1" w:themeShade="80"/>
        </w:rPr>
        <w:t>4.3 Vulnerability Severity</w:t>
      </w:r>
    </w:p>
    <w:p w14:paraId="338035B5" w14:textId="327CD082" w:rsidR="00381BBA" w:rsidRPr="0083242F" w:rsidRDefault="00B73676" w:rsidP="00B73676">
      <w:pPr>
        <w:rPr>
          <w:rFonts w:ascii="Aptos" w:hAnsi="Aptos"/>
        </w:rPr>
      </w:pPr>
      <w:r w:rsidRPr="0083242F">
        <w:rPr>
          <w:rFonts w:ascii="Aptos" w:hAnsi="Aptos"/>
        </w:rPr>
        <w:t>The ease with which a threat can exploit a weakness in the system, processes, or personnel.</w:t>
      </w:r>
    </w:p>
    <w:tbl>
      <w:tblPr>
        <w:tblStyle w:val="TableGrid"/>
        <w:tblW w:w="0" w:type="auto"/>
        <w:tblLook w:val="04A0" w:firstRow="1" w:lastRow="0" w:firstColumn="1" w:lastColumn="0" w:noHBand="0" w:noVBand="1"/>
      </w:tblPr>
      <w:tblGrid>
        <w:gridCol w:w="2965"/>
        <w:gridCol w:w="3258"/>
        <w:gridCol w:w="3127"/>
      </w:tblGrid>
      <w:tr w:rsidR="0060178D" w:rsidRPr="0083242F" w14:paraId="1802D79D" w14:textId="77777777" w:rsidTr="00DD2F61">
        <w:tc>
          <w:tcPr>
            <w:tcW w:w="2965" w:type="dxa"/>
            <w:vAlign w:val="center"/>
          </w:tcPr>
          <w:p w14:paraId="58992B75" w14:textId="17C44C79"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Score</w:t>
            </w:r>
          </w:p>
        </w:tc>
        <w:tc>
          <w:tcPr>
            <w:tcW w:w="3258" w:type="dxa"/>
            <w:vAlign w:val="center"/>
          </w:tcPr>
          <w:p w14:paraId="07250505" w14:textId="16BDFAA8"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Level</w:t>
            </w:r>
          </w:p>
        </w:tc>
        <w:tc>
          <w:tcPr>
            <w:tcW w:w="3127" w:type="dxa"/>
            <w:vAlign w:val="center"/>
          </w:tcPr>
          <w:p w14:paraId="323E384E" w14:textId="12EC0AA6" w:rsidR="00381BBA" w:rsidRPr="0083242F" w:rsidRDefault="00B73676">
            <w:pPr>
              <w:pStyle w:val="Heading4"/>
              <w:rPr>
                <w:rFonts w:ascii="Aptos" w:hAnsi="Aptos"/>
                <w:color w:val="1F4E79" w:themeColor="accent1" w:themeShade="80"/>
              </w:rPr>
            </w:pPr>
            <w:r w:rsidRPr="0083242F">
              <w:rPr>
                <w:rFonts w:ascii="Aptos" w:hAnsi="Aptos"/>
                <w:color w:val="1F4E79" w:themeColor="accent1" w:themeShade="80"/>
              </w:rPr>
              <w:t>Definition &amp; Business Context</w:t>
            </w:r>
          </w:p>
        </w:tc>
      </w:tr>
      <w:tr w:rsidR="00381BBA" w:rsidRPr="0083242F" w14:paraId="51387168" w14:textId="77777777" w:rsidTr="00DD2F61">
        <w:tc>
          <w:tcPr>
            <w:tcW w:w="2965" w:type="dxa"/>
            <w:vAlign w:val="center"/>
          </w:tcPr>
          <w:p w14:paraId="40165C41" w14:textId="05D37EDA" w:rsidR="00381BBA" w:rsidRPr="0083242F" w:rsidRDefault="00B73676">
            <w:pPr>
              <w:rPr>
                <w:rFonts w:ascii="Aptos" w:hAnsi="Aptos"/>
              </w:rPr>
            </w:pPr>
            <w:r w:rsidRPr="0083242F">
              <w:rPr>
                <w:rFonts w:ascii="Aptos" w:hAnsi="Aptos"/>
              </w:rPr>
              <w:t>3</w:t>
            </w:r>
          </w:p>
        </w:tc>
        <w:tc>
          <w:tcPr>
            <w:tcW w:w="3258" w:type="dxa"/>
            <w:vAlign w:val="center"/>
          </w:tcPr>
          <w:p w14:paraId="34DE08A0" w14:textId="35EB5648" w:rsidR="00381BBA" w:rsidRPr="0083242F" w:rsidRDefault="00B73676">
            <w:pPr>
              <w:rPr>
                <w:rFonts w:ascii="Aptos" w:hAnsi="Aptos"/>
              </w:rPr>
            </w:pPr>
            <w:r w:rsidRPr="0083242F">
              <w:rPr>
                <w:rFonts w:ascii="Aptos" w:hAnsi="Aptos"/>
              </w:rPr>
              <w:t>High</w:t>
            </w:r>
          </w:p>
        </w:tc>
        <w:tc>
          <w:tcPr>
            <w:tcW w:w="3127" w:type="dxa"/>
            <w:vAlign w:val="center"/>
          </w:tcPr>
          <w:p w14:paraId="44FDA1E4" w14:textId="18CDE9A8" w:rsidR="00381BBA" w:rsidRPr="0083242F" w:rsidRDefault="00B73676">
            <w:pPr>
              <w:rPr>
                <w:rFonts w:ascii="Aptos" w:hAnsi="Aptos"/>
              </w:rPr>
            </w:pPr>
            <w:r w:rsidRPr="0083242F">
              <w:rPr>
                <w:rFonts w:ascii="Aptos" w:hAnsi="Aptos"/>
              </w:rPr>
              <w:t>Trivial to exploit. Unauthenticated Remote Code Execution (RCE), exposed S3 buckets, lack of MFA on external interfaces, or known critical CVEs with active exploits available in the wild.</w:t>
            </w:r>
          </w:p>
        </w:tc>
      </w:tr>
      <w:tr w:rsidR="00381BBA" w:rsidRPr="0083242F" w14:paraId="202B694F" w14:textId="77777777" w:rsidTr="00DD2F61">
        <w:tc>
          <w:tcPr>
            <w:tcW w:w="2965" w:type="dxa"/>
            <w:vAlign w:val="center"/>
          </w:tcPr>
          <w:p w14:paraId="7D638ADA" w14:textId="5B0A1F15" w:rsidR="00381BBA" w:rsidRPr="0083242F" w:rsidRDefault="00B73676">
            <w:pPr>
              <w:rPr>
                <w:rFonts w:ascii="Aptos" w:hAnsi="Aptos"/>
              </w:rPr>
            </w:pPr>
            <w:r w:rsidRPr="0083242F">
              <w:rPr>
                <w:rFonts w:ascii="Aptos" w:hAnsi="Aptos"/>
              </w:rPr>
              <w:lastRenderedPageBreak/>
              <w:t>2</w:t>
            </w:r>
          </w:p>
        </w:tc>
        <w:tc>
          <w:tcPr>
            <w:tcW w:w="3258" w:type="dxa"/>
            <w:vAlign w:val="center"/>
          </w:tcPr>
          <w:p w14:paraId="6ED2D8DC" w14:textId="6CD078A4" w:rsidR="00381BBA" w:rsidRPr="0083242F" w:rsidRDefault="00B73676">
            <w:pPr>
              <w:rPr>
                <w:rFonts w:ascii="Aptos" w:hAnsi="Aptos"/>
              </w:rPr>
            </w:pPr>
            <w:r w:rsidRPr="0083242F">
              <w:rPr>
                <w:rFonts w:ascii="Aptos" w:hAnsi="Aptos"/>
              </w:rPr>
              <w:t>Medium</w:t>
            </w:r>
          </w:p>
        </w:tc>
        <w:tc>
          <w:tcPr>
            <w:tcW w:w="3127" w:type="dxa"/>
            <w:vAlign w:val="center"/>
          </w:tcPr>
          <w:p w14:paraId="29D65FF1" w14:textId="2E8358D9" w:rsidR="00381BBA" w:rsidRPr="0083242F" w:rsidRDefault="00B73676">
            <w:pPr>
              <w:rPr>
                <w:rFonts w:ascii="Aptos" w:hAnsi="Aptos"/>
              </w:rPr>
            </w:pPr>
            <w:r w:rsidRPr="0083242F">
              <w:rPr>
                <w:rFonts w:ascii="Aptos" w:hAnsi="Aptos"/>
              </w:rPr>
              <w:t>Requires some effort to exploit. Requires authenticated access, user interaction (e.g., clicking a phishing link), or chaining multiple medium-severity vulnerabilities together.</w:t>
            </w:r>
          </w:p>
        </w:tc>
      </w:tr>
      <w:tr w:rsidR="00381BBA" w:rsidRPr="0083242F" w14:paraId="5951A635" w14:textId="77777777" w:rsidTr="00DD2F61">
        <w:tc>
          <w:tcPr>
            <w:tcW w:w="2965" w:type="dxa"/>
            <w:vAlign w:val="center"/>
          </w:tcPr>
          <w:p w14:paraId="3C73BD7D" w14:textId="5BD41777" w:rsidR="00381BBA" w:rsidRPr="0083242F" w:rsidRDefault="00B73676">
            <w:pPr>
              <w:rPr>
                <w:rFonts w:ascii="Aptos" w:hAnsi="Aptos"/>
              </w:rPr>
            </w:pPr>
            <w:r w:rsidRPr="0083242F">
              <w:rPr>
                <w:rFonts w:ascii="Aptos" w:hAnsi="Aptos"/>
              </w:rPr>
              <w:t>1</w:t>
            </w:r>
          </w:p>
        </w:tc>
        <w:tc>
          <w:tcPr>
            <w:tcW w:w="3258" w:type="dxa"/>
            <w:vAlign w:val="center"/>
          </w:tcPr>
          <w:p w14:paraId="3F392A52" w14:textId="0D3CC3AB" w:rsidR="00381BBA" w:rsidRPr="0083242F" w:rsidRDefault="00B73676">
            <w:pPr>
              <w:rPr>
                <w:rFonts w:ascii="Aptos" w:hAnsi="Aptos"/>
              </w:rPr>
            </w:pPr>
            <w:r w:rsidRPr="0083242F">
              <w:rPr>
                <w:rFonts w:ascii="Aptos" w:hAnsi="Aptos"/>
              </w:rPr>
              <w:t>Medium</w:t>
            </w:r>
          </w:p>
        </w:tc>
        <w:tc>
          <w:tcPr>
            <w:tcW w:w="3127" w:type="dxa"/>
            <w:vAlign w:val="center"/>
          </w:tcPr>
          <w:p w14:paraId="0F195153" w14:textId="32A93295" w:rsidR="00381BBA" w:rsidRPr="0083242F" w:rsidRDefault="00B73676">
            <w:pPr>
              <w:rPr>
                <w:rFonts w:ascii="Aptos" w:hAnsi="Aptos"/>
              </w:rPr>
            </w:pPr>
            <w:r w:rsidRPr="0083242F">
              <w:rPr>
                <w:rFonts w:ascii="Aptos" w:hAnsi="Aptos"/>
              </w:rPr>
              <w:t>Requires some effort to exploit. Requires authenticated access, user interaction (e.g., clicking a phishing link), or chaining multiple medium-severity vulnerabilities together.</w:t>
            </w:r>
          </w:p>
        </w:tc>
      </w:tr>
    </w:tbl>
    <w:p w14:paraId="71506B1A" w14:textId="77777777" w:rsidR="00381BBA" w:rsidRPr="0083242F" w:rsidRDefault="00381BBA">
      <w:pPr>
        <w:pStyle w:val="Heading2"/>
        <w:rPr>
          <w:rFonts w:ascii="Aptos" w:hAnsi="Aptos"/>
          <w:b/>
          <w:bCs/>
        </w:rPr>
      </w:pPr>
    </w:p>
    <w:p w14:paraId="3529AD45" w14:textId="1AD2FA5E" w:rsidR="00381BBA" w:rsidRPr="0083242F" w:rsidRDefault="00000000" w:rsidP="0040212B">
      <w:pPr>
        <w:pStyle w:val="Heading2"/>
        <w:rPr>
          <w:rFonts w:ascii="Aptos" w:hAnsi="Aptos"/>
          <w:color w:val="1F4E79" w:themeColor="accent1" w:themeShade="80"/>
        </w:rPr>
      </w:pPr>
      <w:r w:rsidRPr="0083242F">
        <w:rPr>
          <w:rFonts w:ascii="Aptos" w:hAnsi="Aptos"/>
          <w:color w:val="1F4E79" w:themeColor="accent1" w:themeShade="80"/>
        </w:rPr>
        <w:t xml:space="preserve">5. </w:t>
      </w:r>
      <w:r w:rsidR="00B73676" w:rsidRPr="0083242F">
        <w:rPr>
          <w:rFonts w:ascii="Aptos" w:hAnsi="Aptos"/>
          <w:color w:val="1F4E79" w:themeColor="accent1" w:themeShade="80"/>
        </w:rPr>
        <w:t>Risk Classification Matrix</w:t>
      </w:r>
    </w:p>
    <w:p w14:paraId="1AE90E67" w14:textId="3A5D6144" w:rsidR="00381BBA" w:rsidRPr="0083242F" w:rsidRDefault="00B73676">
      <w:pPr>
        <w:rPr>
          <w:rFonts w:ascii="Aptos" w:hAnsi="Aptos"/>
          <w:b/>
          <w:bCs/>
        </w:rPr>
      </w:pPr>
      <w:r w:rsidRPr="0083242F">
        <w:rPr>
          <w:rFonts w:ascii="Aptos" w:hAnsi="Aptos"/>
        </w:rPr>
        <w:t>By multiplying the three factors (1–3 scale), the resulting Risk Score dictates the overall Risk Classification and urgency of response.</w:t>
      </w:r>
    </w:p>
    <w:tbl>
      <w:tblPr>
        <w:tblStyle w:val="TableGrid"/>
        <w:tblW w:w="9355" w:type="dxa"/>
        <w:tblLook w:val="04A0" w:firstRow="1" w:lastRow="0" w:firstColumn="1" w:lastColumn="0" w:noHBand="0" w:noVBand="1"/>
      </w:tblPr>
      <w:tblGrid>
        <w:gridCol w:w="2328"/>
        <w:gridCol w:w="2245"/>
        <w:gridCol w:w="4782"/>
      </w:tblGrid>
      <w:tr w:rsidR="00B73676" w:rsidRPr="0083242F" w14:paraId="744E990F" w14:textId="77777777" w:rsidTr="00B73676">
        <w:tc>
          <w:tcPr>
            <w:tcW w:w="2328" w:type="dxa"/>
            <w:vAlign w:val="center"/>
          </w:tcPr>
          <w:p w14:paraId="79DA5331" w14:textId="40DEBD9E" w:rsidR="00B73676" w:rsidRPr="0083242F" w:rsidRDefault="003E2C5A">
            <w:pPr>
              <w:pStyle w:val="Heading4"/>
              <w:rPr>
                <w:rFonts w:ascii="Aptos" w:hAnsi="Aptos"/>
                <w:color w:val="1F4E79" w:themeColor="accent1" w:themeShade="80"/>
              </w:rPr>
            </w:pPr>
            <w:r w:rsidRPr="0083242F">
              <w:rPr>
                <w:rFonts w:ascii="Aptos" w:hAnsi="Aptos"/>
                <w:color w:val="1F4E79" w:themeColor="accent1" w:themeShade="80"/>
              </w:rPr>
              <w:t>Risk Score</w:t>
            </w:r>
          </w:p>
        </w:tc>
        <w:tc>
          <w:tcPr>
            <w:tcW w:w="2245" w:type="dxa"/>
            <w:vAlign w:val="center"/>
          </w:tcPr>
          <w:p w14:paraId="47B66D78" w14:textId="5C2C6364" w:rsidR="00B73676" w:rsidRPr="0083242F" w:rsidRDefault="003E2C5A">
            <w:pPr>
              <w:pStyle w:val="Heading4"/>
              <w:rPr>
                <w:rFonts w:ascii="Aptos" w:hAnsi="Aptos"/>
                <w:color w:val="1F4E79" w:themeColor="accent1" w:themeShade="80"/>
              </w:rPr>
            </w:pPr>
            <w:r w:rsidRPr="0083242F">
              <w:rPr>
                <w:rFonts w:ascii="Aptos" w:hAnsi="Aptos"/>
                <w:color w:val="1F4E79" w:themeColor="accent1" w:themeShade="80"/>
              </w:rPr>
              <w:t>Classification</w:t>
            </w:r>
          </w:p>
        </w:tc>
        <w:tc>
          <w:tcPr>
            <w:tcW w:w="4782" w:type="dxa"/>
            <w:vAlign w:val="center"/>
          </w:tcPr>
          <w:p w14:paraId="3C92795F" w14:textId="4A2097DF" w:rsidR="00B73676" w:rsidRPr="0083242F" w:rsidRDefault="003E2C5A">
            <w:pPr>
              <w:pStyle w:val="Heading4"/>
              <w:rPr>
                <w:rFonts w:ascii="Aptos" w:hAnsi="Aptos"/>
                <w:color w:val="1F4E79" w:themeColor="accent1" w:themeShade="80"/>
              </w:rPr>
            </w:pPr>
            <w:r w:rsidRPr="0083242F">
              <w:rPr>
                <w:rFonts w:ascii="Aptos" w:hAnsi="Aptos"/>
                <w:color w:val="1F4E79" w:themeColor="accent1" w:themeShade="80"/>
              </w:rPr>
              <w:t>Action Required &amp; SLA</w:t>
            </w:r>
          </w:p>
        </w:tc>
      </w:tr>
      <w:tr w:rsidR="00B73676" w:rsidRPr="0083242F" w14:paraId="4F781C49" w14:textId="77777777" w:rsidTr="00B73676">
        <w:tc>
          <w:tcPr>
            <w:tcW w:w="2328" w:type="dxa"/>
            <w:vAlign w:val="center"/>
          </w:tcPr>
          <w:p w14:paraId="0652D960" w14:textId="7DFE6202" w:rsidR="00B73676" w:rsidRPr="0083242F" w:rsidRDefault="003E2C5A">
            <w:pPr>
              <w:rPr>
                <w:rFonts w:ascii="Aptos" w:hAnsi="Aptos"/>
              </w:rPr>
            </w:pPr>
            <w:r w:rsidRPr="0083242F">
              <w:rPr>
                <w:rFonts w:ascii="Aptos" w:hAnsi="Aptos"/>
              </w:rPr>
              <w:t>27</w:t>
            </w:r>
          </w:p>
        </w:tc>
        <w:tc>
          <w:tcPr>
            <w:tcW w:w="2245" w:type="dxa"/>
            <w:vAlign w:val="center"/>
          </w:tcPr>
          <w:p w14:paraId="3369F432" w14:textId="7ED03543" w:rsidR="00B73676" w:rsidRPr="0083242F" w:rsidRDefault="003E2C5A">
            <w:pPr>
              <w:rPr>
                <w:rFonts w:ascii="Aptos" w:hAnsi="Aptos"/>
              </w:rPr>
            </w:pPr>
            <w:r w:rsidRPr="0083242F">
              <w:rPr>
                <w:rFonts w:ascii="Aptos" w:hAnsi="Aptos"/>
              </w:rPr>
              <w:t>CRITICAL</w:t>
            </w:r>
          </w:p>
        </w:tc>
        <w:tc>
          <w:tcPr>
            <w:tcW w:w="4782" w:type="dxa"/>
            <w:vAlign w:val="center"/>
          </w:tcPr>
          <w:p w14:paraId="02C9DE1C" w14:textId="3FFD224F" w:rsidR="00B73676" w:rsidRPr="0083242F" w:rsidRDefault="003E2C5A">
            <w:pPr>
              <w:rPr>
                <w:rFonts w:ascii="Aptos" w:hAnsi="Aptos"/>
              </w:rPr>
            </w:pPr>
            <w:r w:rsidRPr="0083242F">
              <w:rPr>
                <w:rFonts w:ascii="Aptos" w:hAnsi="Aptos"/>
              </w:rPr>
              <w:t>Unacceptable risk. Immediate cessation of the affected business process or system until mitigated. Requires emergency CEO/Board notification. Remediation SLA: 24 Hours.</w:t>
            </w:r>
          </w:p>
        </w:tc>
      </w:tr>
      <w:tr w:rsidR="00B73676" w:rsidRPr="0083242F" w14:paraId="0839EA74" w14:textId="77777777" w:rsidTr="00B73676">
        <w:tc>
          <w:tcPr>
            <w:tcW w:w="2328" w:type="dxa"/>
            <w:vAlign w:val="center"/>
          </w:tcPr>
          <w:p w14:paraId="4DE205B8" w14:textId="3F6F940E" w:rsidR="00B73676" w:rsidRPr="0083242F" w:rsidRDefault="003E2C5A">
            <w:pPr>
              <w:rPr>
                <w:rFonts w:ascii="Aptos" w:hAnsi="Aptos"/>
              </w:rPr>
            </w:pPr>
            <w:r w:rsidRPr="0083242F">
              <w:rPr>
                <w:rFonts w:ascii="Aptos" w:hAnsi="Aptos"/>
              </w:rPr>
              <w:t>12 – 18</w:t>
            </w:r>
          </w:p>
        </w:tc>
        <w:tc>
          <w:tcPr>
            <w:tcW w:w="2245" w:type="dxa"/>
            <w:vAlign w:val="center"/>
          </w:tcPr>
          <w:p w14:paraId="73023E94" w14:textId="63907305" w:rsidR="00B73676" w:rsidRPr="0083242F" w:rsidRDefault="003E2C5A">
            <w:pPr>
              <w:rPr>
                <w:rFonts w:ascii="Aptos" w:hAnsi="Aptos"/>
              </w:rPr>
            </w:pPr>
            <w:r w:rsidRPr="0083242F">
              <w:rPr>
                <w:rFonts w:ascii="Aptos" w:hAnsi="Aptos"/>
              </w:rPr>
              <w:t>HIGH</w:t>
            </w:r>
          </w:p>
        </w:tc>
        <w:tc>
          <w:tcPr>
            <w:tcW w:w="4782" w:type="dxa"/>
            <w:vAlign w:val="center"/>
          </w:tcPr>
          <w:p w14:paraId="3827B2B2" w14:textId="3B5F3CEE" w:rsidR="00B73676" w:rsidRPr="0083242F" w:rsidRDefault="003E2C5A">
            <w:pPr>
              <w:rPr>
                <w:rFonts w:ascii="Aptos" w:hAnsi="Aptos"/>
              </w:rPr>
            </w:pPr>
            <w:r w:rsidRPr="0083242F">
              <w:rPr>
                <w:rFonts w:ascii="Aptos" w:hAnsi="Aptos"/>
              </w:rPr>
              <w:t>Significant exposure. Immediate mitigation project must be prioritized over feature development. Requires CISO/Head of Engineering approval. Remediation SLA: 14 Days.</w:t>
            </w:r>
          </w:p>
        </w:tc>
      </w:tr>
      <w:tr w:rsidR="00B73676" w:rsidRPr="0083242F" w14:paraId="6DB0FD0E" w14:textId="77777777" w:rsidTr="00B73676">
        <w:tc>
          <w:tcPr>
            <w:tcW w:w="2328" w:type="dxa"/>
            <w:vAlign w:val="center"/>
          </w:tcPr>
          <w:p w14:paraId="30E42C00" w14:textId="3315A5A8" w:rsidR="00B73676" w:rsidRPr="0083242F" w:rsidRDefault="003E2C5A">
            <w:pPr>
              <w:rPr>
                <w:rFonts w:ascii="Aptos" w:hAnsi="Aptos"/>
              </w:rPr>
            </w:pPr>
            <w:r w:rsidRPr="0083242F">
              <w:rPr>
                <w:rFonts w:ascii="Aptos" w:hAnsi="Aptos"/>
              </w:rPr>
              <w:t>6 – 9</w:t>
            </w:r>
          </w:p>
        </w:tc>
        <w:tc>
          <w:tcPr>
            <w:tcW w:w="2245" w:type="dxa"/>
            <w:vAlign w:val="center"/>
          </w:tcPr>
          <w:p w14:paraId="3C78B6E5" w14:textId="7A6F76B6" w:rsidR="00B73676" w:rsidRPr="0083242F" w:rsidRDefault="003E2C5A">
            <w:pPr>
              <w:rPr>
                <w:rFonts w:ascii="Aptos" w:hAnsi="Aptos"/>
              </w:rPr>
            </w:pPr>
            <w:r w:rsidRPr="0083242F">
              <w:rPr>
                <w:rFonts w:ascii="Aptos" w:hAnsi="Aptos"/>
              </w:rPr>
              <w:t>MODERATE</w:t>
            </w:r>
          </w:p>
        </w:tc>
        <w:tc>
          <w:tcPr>
            <w:tcW w:w="4782" w:type="dxa"/>
            <w:vAlign w:val="center"/>
          </w:tcPr>
          <w:p w14:paraId="7E0D402F" w14:textId="2755EB22" w:rsidR="00B73676" w:rsidRPr="0083242F" w:rsidRDefault="003E2C5A">
            <w:pPr>
              <w:rPr>
                <w:rFonts w:ascii="Aptos" w:hAnsi="Aptos"/>
              </w:rPr>
            </w:pPr>
            <w:r w:rsidRPr="0083242F">
              <w:rPr>
                <w:rFonts w:ascii="Aptos" w:hAnsi="Aptos"/>
              </w:rPr>
              <w:t>Standard operational risk. Mitigate during normal operational cycles or accept with documented business justification. Remediation SLA: 90 Days.</w:t>
            </w:r>
          </w:p>
        </w:tc>
      </w:tr>
      <w:tr w:rsidR="00B73676" w:rsidRPr="0083242F" w14:paraId="7D56EE22" w14:textId="77777777" w:rsidTr="00B73676">
        <w:tc>
          <w:tcPr>
            <w:tcW w:w="2328" w:type="dxa"/>
            <w:vAlign w:val="center"/>
          </w:tcPr>
          <w:p w14:paraId="39E8F0D5" w14:textId="2D5BF023" w:rsidR="00B73676" w:rsidRPr="0083242F" w:rsidRDefault="003E2C5A">
            <w:pPr>
              <w:rPr>
                <w:rFonts w:ascii="Aptos" w:hAnsi="Aptos"/>
              </w:rPr>
            </w:pPr>
            <w:r w:rsidRPr="0083242F">
              <w:rPr>
                <w:rFonts w:ascii="Aptos" w:hAnsi="Aptos"/>
              </w:rPr>
              <w:t>1 – 4</w:t>
            </w:r>
          </w:p>
        </w:tc>
        <w:tc>
          <w:tcPr>
            <w:tcW w:w="2245" w:type="dxa"/>
            <w:vAlign w:val="center"/>
          </w:tcPr>
          <w:p w14:paraId="386BE0B0" w14:textId="2DF61257" w:rsidR="00B73676" w:rsidRPr="0083242F" w:rsidRDefault="003E2C5A">
            <w:pPr>
              <w:rPr>
                <w:rFonts w:ascii="Aptos" w:hAnsi="Aptos"/>
              </w:rPr>
            </w:pPr>
            <w:r w:rsidRPr="0083242F">
              <w:rPr>
                <w:rFonts w:ascii="Aptos" w:hAnsi="Aptos"/>
              </w:rPr>
              <w:t>LOW</w:t>
            </w:r>
          </w:p>
        </w:tc>
        <w:tc>
          <w:tcPr>
            <w:tcW w:w="4782" w:type="dxa"/>
            <w:vAlign w:val="center"/>
          </w:tcPr>
          <w:p w14:paraId="1D979A74" w14:textId="063B1DCD" w:rsidR="00B73676" w:rsidRPr="0083242F" w:rsidRDefault="003E2C5A">
            <w:pPr>
              <w:rPr>
                <w:rFonts w:ascii="Aptos" w:hAnsi="Aptos"/>
              </w:rPr>
            </w:pPr>
            <w:r w:rsidRPr="0083242F">
              <w:rPr>
                <w:rFonts w:ascii="Aptos" w:hAnsi="Aptos"/>
              </w:rPr>
              <w:t xml:space="preserve">Acceptable risk. </w:t>
            </w:r>
            <w:proofErr w:type="spellStart"/>
            <w:r w:rsidRPr="0083242F">
              <w:rPr>
                <w:rFonts w:ascii="Aptos" w:hAnsi="Aptos"/>
              </w:rPr>
              <w:t>Moniled</w:t>
            </w:r>
            <w:proofErr w:type="spellEnd"/>
            <w:r w:rsidRPr="0083242F">
              <w:rPr>
                <w:rFonts w:ascii="Aptos" w:hAnsi="Aptos"/>
              </w:rPr>
              <w:t xml:space="preserve"> via standard operational procedures. No immediate action required.</w:t>
            </w:r>
          </w:p>
        </w:tc>
      </w:tr>
    </w:tbl>
    <w:p w14:paraId="23613FCF" w14:textId="77777777" w:rsidR="00D61372" w:rsidRPr="0083242F" w:rsidRDefault="00D61372" w:rsidP="0040212B">
      <w:pPr>
        <w:pStyle w:val="Heading2"/>
        <w:rPr>
          <w:rFonts w:ascii="Aptos" w:hAnsi="Aptos"/>
        </w:rPr>
      </w:pPr>
    </w:p>
    <w:p w14:paraId="166FE6E6" w14:textId="73E82EB7" w:rsidR="00381BBA" w:rsidRPr="0083242F" w:rsidRDefault="00000000" w:rsidP="00F866D1">
      <w:pPr>
        <w:pStyle w:val="Heading2"/>
        <w:rPr>
          <w:rFonts w:ascii="Aptos" w:hAnsi="Aptos"/>
        </w:rPr>
      </w:pPr>
      <w:r w:rsidRPr="0083242F">
        <w:rPr>
          <w:rFonts w:ascii="Aptos" w:hAnsi="Aptos"/>
          <w:color w:val="1F4E79" w:themeColor="accent1" w:themeShade="80"/>
        </w:rPr>
        <w:t xml:space="preserve">6. </w:t>
      </w:r>
      <w:r w:rsidR="003E2C5A" w:rsidRPr="0083242F">
        <w:rPr>
          <w:rFonts w:ascii="Aptos" w:hAnsi="Aptos"/>
          <w:color w:val="1F4E79" w:themeColor="accent1" w:themeShade="80"/>
        </w:rPr>
        <w:t>Risk Acceptance Criteria</w:t>
      </w:r>
    </w:p>
    <w:p w14:paraId="5DF9B4E8" w14:textId="1253FBE3" w:rsidR="00381BBA" w:rsidRPr="0083242F" w:rsidRDefault="003E2C5A">
      <w:pPr>
        <w:rPr>
          <w:rFonts w:ascii="Aptos" w:hAnsi="Aptos"/>
        </w:rPr>
      </w:pPr>
      <w:r w:rsidRPr="0083242F">
        <w:rPr>
          <w:rFonts w:ascii="Aptos" w:hAnsi="Aptos"/>
        </w:rPr>
        <w:t>In alignment with ISO 27001:2022 Clause 6.1.2(a) and the MunichTech GmbH Risk Appetite Statement (MT-ISMS-SCO-001 Section 7), the following acceptance criteria apply to all Residual Risks (the risk remaining after treatment):</w:t>
      </w:r>
    </w:p>
    <w:p w14:paraId="2F6448A0" w14:textId="228376A3" w:rsidR="003E2C5A" w:rsidRPr="0083242F" w:rsidRDefault="003E2C5A" w:rsidP="003E2C5A">
      <w:pPr>
        <w:pStyle w:val="ListParagraph"/>
        <w:numPr>
          <w:ilvl w:val="0"/>
          <w:numId w:val="4"/>
        </w:numPr>
        <w:rPr>
          <w:rFonts w:ascii="Aptos" w:hAnsi="Aptos"/>
        </w:rPr>
      </w:pPr>
      <w:r w:rsidRPr="0083242F">
        <w:rPr>
          <w:rFonts w:ascii="Aptos" w:hAnsi="Aptos"/>
        </w:rPr>
        <w:lastRenderedPageBreak/>
        <w:t>Low and Moderate Risks (Scores 1–9): May be accepted by the respective Asset Owner (e.g., VP of Product, HR Manager) without further executive escalation, provided the acceptance is formally documented in the Risk Register.</w:t>
      </w:r>
      <w:r w:rsidRPr="0083242F">
        <w:rPr>
          <w:rFonts w:ascii="MS Gothic" w:eastAsia="MS Gothic" w:hAnsi="MS Gothic" w:cs="MS Gothic" w:hint="eastAsia"/>
        </w:rPr>
        <w:t> </w:t>
      </w:r>
      <w:r w:rsidRPr="0083242F">
        <w:rPr>
          <w:rFonts w:ascii="Aptos" w:hAnsi="Aptos"/>
        </w:rPr>
        <w:tab/>
      </w:r>
    </w:p>
    <w:p w14:paraId="65560993" w14:textId="0C63C489" w:rsidR="003E2C5A" w:rsidRPr="0083242F" w:rsidRDefault="003E2C5A" w:rsidP="003E2C5A">
      <w:pPr>
        <w:pStyle w:val="ListParagraph"/>
        <w:numPr>
          <w:ilvl w:val="0"/>
          <w:numId w:val="4"/>
        </w:numPr>
        <w:rPr>
          <w:rFonts w:ascii="Aptos" w:hAnsi="Aptos"/>
        </w:rPr>
      </w:pPr>
      <w:r w:rsidRPr="0083242F">
        <w:rPr>
          <w:rFonts w:ascii="Aptos" w:hAnsi="Aptos"/>
        </w:rPr>
        <w:t>High Risks (Scores 12–18): Fall outside the standard risk appetite. May only be accepted with a formally documented business justification signed by the CEO / Managing Director.</w:t>
      </w:r>
      <w:r w:rsidRPr="0083242F">
        <w:rPr>
          <w:rFonts w:ascii="Aptos" w:hAnsi="Aptos"/>
        </w:rPr>
        <w:tab/>
      </w:r>
    </w:p>
    <w:p w14:paraId="41CEA4E2" w14:textId="4D26DA3E" w:rsidR="00381BBA" w:rsidRPr="0083242F" w:rsidRDefault="003E2C5A" w:rsidP="003E2C5A">
      <w:pPr>
        <w:pStyle w:val="ListParagraph"/>
        <w:numPr>
          <w:ilvl w:val="0"/>
          <w:numId w:val="4"/>
        </w:numPr>
        <w:rPr>
          <w:rFonts w:ascii="Aptos" w:hAnsi="Aptos"/>
        </w:rPr>
      </w:pPr>
      <w:r w:rsidRPr="0083242F">
        <w:rPr>
          <w:rFonts w:ascii="Aptos" w:hAnsi="Aptos"/>
        </w:rPr>
        <w:t>Critical Risks (Score 27): Zero tolerance. May not be accepted under any circumstances. Must be mitigated, transferred, or the associated business activity must be avoided.</w:t>
      </w:r>
    </w:p>
    <w:p w14:paraId="2F98389C" w14:textId="77777777" w:rsidR="00381BBA" w:rsidRPr="0083242F" w:rsidRDefault="00381BBA">
      <w:pPr>
        <w:rPr>
          <w:rFonts w:ascii="Aptos" w:hAnsi="Aptos"/>
        </w:rPr>
      </w:pPr>
    </w:p>
    <w:p w14:paraId="7DC08F96" w14:textId="1E36E494" w:rsidR="00381BBA" w:rsidRPr="0083242F" w:rsidRDefault="00000000" w:rsidP="0040212B">
      <w:pPr>
        <w:pStyle w:val="Heading2"/>
        <w:rPr>
          <w:rFonts w:ascii="Aptos" w:hAnsi="Aptos"/>
          <w:color w:val="1F4E79" w:themeColor="accent1" w:themeShade="80"/>
        </w:rPr>
      </w:pPr>
      <w:r w:rsidRPr="0083242F">
        <w:rPr>
          <w:rFonts w:ascii="Aptos" w:hAnsi="Aptos"/>
          <w:color w:val="1F4E79" w:themeColor="accent1" w:themeShade="80"/>
        </w:rPr>
        <w:t xml:space="preserve">7. </w:t>
      </w:r>
      <w:r w:rsidR="003E2C5A" w:rsidRPr="0083242F">
        <w:rPr>
          <w:rFonts w:ascii="Aptos" w:hAnsi="Aptos"/>
          <w:color w:val="1F4E79" w:themeColor="accent1" w:themeShade="80"/>
        </w:rPr>
        <w:t>Risk Treatment Process</w:t>
      </w:r>
    </w:p>
    <w:p w14:paraId="50352B11" w14:textId="40A379F1" w:rsidR="00381BBA" w:rsidRPr="0083242F" w:rsidRDefault="003E2C5A">
      <w:pPr>
        <w:rPr>
          <w:rFonts w:ascii="Aptos" w:hAnsi="Aptos"/>
        </w:rPr>
      </w:pPr>
      <w:r w:rsidRPr="0083242F">
        <w:rPr>
          <w:rFonts w:ascii="Aptos" w:hAnsi="Aptos"/>
        </w:rPr>
        <w:t xml:space="preserve">For all risks identified, MunichTech GmbH will select one of the following treatment options in accordance with </w:t>
      </w:r>
      <w:r w:rsidRPr="0083242F">
        <w:rPr>
          <w:rFonts w:ascii="Aptos" w:hAnsi="Aptos"/>
          <w:b/>
          <w:bCs/>
        </w:rPr>
        <w:t>ISO 27001:2022 Clause 6.1.3:</w:t>
      </w:r>
    </w:p>
    <w:p w14:paraId="0D0DDEFD" w14:textId="52F7C1F2" w:rsidR="003E2C5A" w:rsidRPr="0083242F" w:rsidRDefault="003E2C5A" w:rsidP="003E2C5A">
      <w:pPr>
        <w:pStyle w:val="ListParagraph"/>
        <w:numPr>
          <w:ilvl w:val="0"/>
          <w:numId w:val="5"/>
        </w:numPr>
        <w:rPr>
          <w:rFonts w:ascii="Aptos" w:hAnsi="Aptos"/>
        </w:rPr>
      </w:pPr>
      <w:r w:rsidRPr="0083242F">
        <w:rPr>
          <w:rFonts w:ascii="Aptos" w:hAnsi="Aptos"/>
        </w:rPr>
        <w:t>Mitigate (Modify): Apply appropriate security controls from ISO 27001:2022 Annex A to reduce the Threat Likelihood or Vulnerability Severity (e.g., implementing MFA [Annex A 5.17] to mitigate credential theft).</w:t>
      </w:r>
      <w:r w:rsidRPr="0083242F">
        <w:rPr>
          <w:rFonts w:ascii="MS Gothic" w:eastAsia="MS Gothic" w:hAnsi="MS Gothic" w:cs="MS Gothic" w:hint="eastAsia"/>
        </w:rPr>
        <w:t> </w:t>
      </w:r>
      <w:r w:rsidRPr="0083242F">
        <w:rPr>
          <w:rFonts w:ascii="Aptos" w:hAnsi="Aptos"/>
        </w:rPr>
        <w:tab/>
      </w:r>
    </w:p>
    <w:p w14:paraId="1DC9E7D2" w14:textId="3E3D4E43" w:rsidR="003E2C5A" w:rsidRPr="0083242F" w:rsidRDefault="003E2C5A" w:rsidP="003E2C5A">
      <w:pPr>
        <w:pStyle w:val="ListParagraph"/>
        <w:numPr>
          <w:ilvl w:val="0"/>
          <w:numId w:val="5"/>
        </w:numPr>
        <w:rPr>
          <w:rFonts w:ascii="Aptos" w:hAnsi="Aptos"/>
        </w:rPr>
      </w:pPr>
      <w:r w:rsidRPr="0083242F">
        <w:rPr>
          <w:rFonts w:ascii="Aptos" w:hAnsi="Aptos"/>
        </w:rPr>
        <w:t>Transfer (Share): Shift the financial or operational impact of the risk to a third party (e.g., purchasing Cyber Liability Insurance, or utilizing AWS for physical security).</w:t>
      </w:r>
      <w:r w:rsidRPr="0083242F">
        <w:rPr>
          <w:rFonts w:ascii="MS Gothic" w:eastAsia="MS Gothic" w:hAnsi="MS Gothic" w:cs="MS Gothic" w:hint="eastAsia"/>
        </w:rPr>
        <w:t> </w:t>
      </w:r>
      <w:r w:rsidRPr="0083242F">
        <w:rPr>
          <w:rFonts w:ascii="Aptos" w:hAnsi="Aptos"/>
        </w:rPr>
        <w:tab/>
      </w:r>
    </w:p>
    <w:p w14:paraId="5832A623" w14:textId="0DBE322A" w:rsidR="003E2C5A" w:rsidRPr="0083242F" w:rsidRDefault="003E2C5A" w:rsidP="003E2C5A">
      <w:pPr>
        <w:pStyle w:val="ListParagraph"/>
        <w:numPr>
          <w:ilvl w:val="0"/>
          <w:numId w:val="5"/>
        </w:numPr>
        <w:rPr>
          <w:rFonts w:ascii="Aptos" w:hAnsi="Aptos"/>
        </w:rPr>
      </w:pPr>
      <w:r w:rsidRPr="0083242F">
        <w:rPr>
          <w:rFonts w:ascii="Aptos" w:hAnsi="Aptos"/>
        </w:rPr>
        <w:t>Avoid: Halt the activity causing the risk (e.g., choosing not to ingest a highly toxic financial dataset because the compliance cost outweighs the revenue).</w:t>
      </w:r>
      <w:r w:rsidRPr="0083242F">
        <w:rPr>
          <w:rFonts w:ascii="MS Gothic" w:eastAsia="MS Gothic" w:hAnsi="MS Gothic" w:cs="MS Gothic" w:hint="eastAsia"/>
        </w:rPr>
        <w:t> </w:t>
      </w:r>
      <w:r w:rsidRPr="0083242F">
        <w:rPr>
          <w:rFonts w:ascii="Aptos" w:hAnsi="Aptos"/>
        </w:rPr>
        <w:tab/>
      </w:r>
    </w:p>
    <w:p w14:paraId="71CD0943" w14:textId="77777777" w:rsidR="003E2C5A" w:rsidRPr="0083242F" w:rsidRDefault="003E2C5A" w:rsidP="003E2C5A">
      <w:pPr>
        <w:pStyle w:val="ListParagraph"/>
        <w:numPr>
          <w:ilvl w:val="0"/>
          <w:numId w:val="5"/>
        </w:numPr>
        <w:rPr>
          <w:rFonts w:ascii="Aptos" w:hAnsi="Aptos"/>
        </w:rPr>
      </w:pPr>
      <w:r w:rsidRPr="0083242F">
        <w:rPr>
          <w:rFonts w:ascii="Aptos" w:hAnsi="Aptos"/>
        </w:rPr>
        <w:t>Accept (Retain): Acknowledge the risk and proceed without further mitigation, subject to the Risk Acceptance Criteria in Section 6.</w:t>
      </w:r>
    </w:p>
    <w:p w14:paraId="289D0542" w14:textId="024F11C9" w:rsidR="00381BBA" w:rsidRPr="0083242F" w:rsidRDefault="003E2C5A" w:rsidP="003E2C5A">
      <w:pPr>
        <w:rPr>
          <w:rFonts w:ascii="Aptos" w:hAnsi="Aptos"/>
        </w:rPr>
      </w:pPr>
      <w:r w:rsidRPr="0083242F">
        <w:rPr>
          <w:rFonts w:ascii="Aptos" w:hAnsi="Aptos"/>
        </w:rPr>
        <w:t>All selected treatments, alongside their corresponding Annex A control references and assigned owners, are documented in the Risk Register (MT-ISMS-RR-001).</w:t>
      </w:r>
      <w:r w:rsidR="00000000" w:rsidRPr="0083242F">
        <w:rPr>
          <w:rFonts w:ascii="Aptos" w:hAnsi="Aptos"/>
        </w:rPr>
        <w:br w:type="page" w:clear="all"/>
      </w:r>
    </w:p>
    <w:tbl>
      <w:tblPr>
        <w:tblStyle w:val="TableGrid"/>
        <w:tblW w:w="0" w:type="auto"/>
        <w:tblLook w:val="04A0" w:firstRow="1" w:lastRow="0" w:firstColumn="1" w:lastColumn="0" w:noHBand="0" w:noVBand="1"/>
      </w:tblPr>
      <w:tblGrid>
        <w:gridCol w:w="9350"/>
      </w:tblGrid>
      <w:tr w:rsidR="00381BBA" w:rsidRPr="0083242F" w14:paraId="596E338C" w14:textId="77777777" w:rsidTr="0040212B">
        <w:trPr>
          <w:trHeight w:val="8552"/>
        </w:trPr>
        <w:tc>
          <w:tcPr>
            <w:tcW w:w="9360" w:type="dxa"/>
            <w:vAlign w:val="center"/>
          </w:tcPr>
          <w:p w14:paraId="2ADF7172" w14:textId="77777777" w:rsidR="00381BBA" w:rsidRPr="0083242F" w:rsidRDefault="00381BBA">
            <w:pPr>
              <w:jc w:val="center"/>
              <w:rPr>
                <w:rFonts w:ascii="Aptos" w:hAnsi="Aptos"/>
              </w:rPr>
            </w:pPr>
          </w:p>
          <w:p w14:paraId="590FEC4B" w14:textId="77777777" w:rsidR="00381BBA" w:rsidRPr="0083242F" w:rsidRDefault="00000000">
            <w:pPr>
              <w:pStyle w:val="Heading2"/>
              <w:jc w:val="center"/>
              <w:rPr>
                <w:rFonts w:ascii="Aptos" w:hAnsi="Aptos"/>
                <w:color w:val="1F4E79" w:themeColor="accent1" w:themeShade="80"/>
              </w:rPr>
            </w:pPr>
            <w:r w:rsidRPr="0083242F">
              <w:rPr>
                <w:rFonts w:ascii="Aptos" w:hAnsi="Aptos"/>
                <w:color w:val="1F4E79" w:themeColor="accent1" w:themeShade="80"/>
              </w:rPr>
              <w:t>DOCUMENT APPROVAL</w:t>
            </w:r>
          </w:p>
          <w:p w14:paraId="52E8D6D5" w14:textId="77777777" w:rsidR="00381BBA" w:rsidRPr="0083242F" w:rsidRDefault="00381BBA">
            <w:pPr>
              <w:jc w:val="center"/>
              <w:rPr>
                <w:rFonts w:ascii="Aptos" w:hAnsi="Aptos"/>
              </w:rPr>
            </w:pPr>
          </w:p>
          <w:tbl>
            <w:tblPr>
              <w:tblStyle w:val="TableGrid"/>
              <w:tblW w:w="0" w:type="auto"/>
              <w:tblLook w:val="04A0" w:firstRow="1" w:lastRow="0" w:firstColumn="1" w:lastColumn="0" w:noHBand="0" w:noVBand="1"/>
            </w:tblPr>
            <w:tblGrid>
              <w:gridCol w:w="4562"/>
              <w:gridCol w:w="4562"/>
            </w:tblGrid>
            <w:tr w:rsidR="00381BBA" w:rsidRPr="0083242F" w14:paraId="01AC352C" w14:textId="77777777" w:rsidTr="0040212B">
              <w:trPr>
                <w:trHeight w:val="417"/>
              </w:trPr>
              <w:tc>
                <w:tcPr>
                  <w:tcW w:w="4572" w:type="dxa"/>
                  <w:vAlign w:val="center"/>
                </w:tcPr>
                <w:p w14:paraId="49867E33" w14:textId="77777777" w:rsidR="00381BBA" w:rsidRPr="0083242F" w:rsidRDefault="00000000">
                  <w:pPr>
                    <w:pStyle w:val="Heading4"/>
                    <w:rPr>
                      <w:rFonts w:ascii="Aptos" w:hAnsi="Aptos"/>
                      <w:color w:val="1F4E79" w:themeColor="accent1" w:themeShade="80"/>
                    </w:rPr>
                  </w:pPr>
                  <w:r w:rsidRPr="0083242F">
                    <w:rPr>
                      <w:rFonts w:ascii="Aptos" w:hAnsi="Aptos"/>
                      <w:color w:val="1F4E79" w:themeColor="accent1" w:themeShade="80"/>
                    </w:rPr>
                    <w:t>PREPARED BY</w:t>
                  </w:r>
                </w:p>
              </w:tc>
              <w:tc>
                <w:tcPr>
                  <w:tcW w:w="4572" w:type="dxa"/>
                  <w:vAlign w:val="center"/>
                </w:tcPr>
                <w:p w14:paraId="47A435AE" w14:textId="77777777" w:rsidR="00381BBA" w:rsidRPr="0083242F" w:rsidRDefault="00381BBA">
                  <w:pPr>
                    <w:jc w:val="center"/>
                    <w:rPr>
                      <w:rFonts w:ascii="Aptos" w:hAnsi="Aptos"/>
                    </w:rPr>
                  </w:pPr>
                </w:p>
              </w:tc>
            </w:tr>
            <w:tr w:rsidR="00381BBA" w:rsidRPr="0083242F" w14:paraId="2C8D241F" w14:textId="77777777" w:rsidTr="0040212B">
              <w:trPr>
                <w:trHeight w:val="438"/>
              </w:trPr>
              <w:tc>
                <w:tcPr>
                  <w:tcW w:w="4572" w:type="dxa"/>
                  <w:vAlign w:val="center"/>
                </w:tcPr>
                <w:p w14:paraId="46808E1C" w14:textId="77777777" w:rsidR="00381BBA" w:rsidRPr="0083242F" w:rsidRDefault="00000000">
                  <w:pPr>
                    <w:jc w:val="center"/>
                    <w:rPr>
                      <w:rFonts w:ascii="Aptos" w:hAnsi="Aptos"/>
                    </w:rPr>
                  </w:pPr>
                  <w:r w:rsidRPr="0083242F">
                    <w:rPr>
                      <w:rFonts w:ascii="Aptos" w:hAnsi="Aptos"/>
                    </w:rPr>
                    <w:t>Name</w:t>
                  </w:r>
                </w:p>
              </w:tc>
              <w:tc>
                <w:tcPr>
                  <w:tcW w:w="4572" w:type="dxa"/>
                  <w:vAlign w:val="center"/>
                </w:tcPr>
                <w:p w14:paraId="4CD899B2" w14:textId="77777777" w:rsidR="00381BBA" w:rsidRPr="0083242F" w:rsidRDefault="00000000">
                  <w:pPr>
                    <w:jc w:val="center"/>
                    <w:rPr>
                      <w:rFonts w:ascii="Aptos" w:hAnsi="Aptos"/>
                    </w:rPr>
                  </w:pPr>
                  <w:r w:rsidRPr="0083242F">
                    <w:rPr>
                      <w:rFonts w:ascii="Aptos" w:hAnsi="Aptos"/>
                    </w:rPr>
                    <w:t>Austin Bond</w:t>
                  </w:r>
                </w:p>
              </w:tc>
            </w:tr>
            <w:tr w:rsidR="00381BBA" w:rsidRPr="0083242F" w14:paraId="25069471" w14:textId="77777777" w:rsidTr="0040212B">
              <w:trPr>
                <w:trHeight w:val="415"/>
              </w:trPr>
              <w:tc>
                <w:tcPr>
                  <w:tcW w:w="4572" w:type="dxa"/>
                  <w:vAlign w:val="center"/>
                </w:tcPr>
                <w:p w14:paraId="3DAF86AA" w14:textId="77777777" w:rsidR="00381BBA" w:rsidRPr="0083242F" w:rsidRDefault="00000000">
                  <w:pPr>
                    <w:jc w:val="center"/>
                    <w:rPr>
                      <w:rFonts w:ascii="Aptos" w:hAnsi="Aptos"/>
                    </w:rPr>
                  </w:pPr>
                  <w:r w:rsidRPr="0083242F">
                    <w:rPr>
                      <w:rFonts w:ascii="Aptos" w:hAnsi="Aptos"/>
                    </w:rPr>
                    <w:t>Title</w:t>
                  </w:r>
                </w:p>
              </w:tc>
              <w:tc>
                <w:tcPr>
                  <w:tcW w:w="4572" w:type="dxa"/>
                  <w:vAlign w:val="center"/>
                </w:tcPr>
                <w:p w14:paraId="11CDF397" w14:textId="77777777" w:rsidR="00381BBA" w:rsidRPr="0083242F" w:rsidRDefault="00000000">
                  <w:pPr>
                    <w:jc w:val="center"/>
                    <w:rPr>
                      <w:rFonts w:ascii="Aptos" w:hAnsi="Aptos"/>
                    </w:rPr>
                  </w:pPr>
                  <w:r w:rsidRPr="0083242F">
                    <w:rPr>
                      <w:rFonts w:ascii="Aptos" w:hAnsi="Aptos"/>
                    </w:rPr>
                    <w:t>Junior GRC Consultant</w:t>
                  </w:r>
                </w:p>
              </w:tc>
            </w:tr>
            <w:tr w:rsidR="00381BBA" w:rsidRPr="0083242F" w14:paraId="0C4AD99C" w14:textId="77777777" w:rsidTr="0040212B">
              <w:trPr>
                <w:trHeight w:val="415"/>
              </w:trPr>
              <w:tc>
                <w:tcPr>
                  <w:tcW w:w="4572" w:type="dxa"/>
                  <w:vAlign w:val="center"/>
                </w:tcPr>
                <w:p w14:paraId="08796974" w14:textId="77777777" w:rsidR="00381BBA" w:rsidRPr="0083242F" w:rsidRDefault="00000000">
                  <w:pPr>
                    <w:jc w:val="center"/>
                    <w:rPr>
                      <w:rFonts w:ascii="Aptos" w:hAnsi="Aptos"/>
                    </w:rPr>
                  </w:pPr>
                  <w:r w:rsidRPr="0083242F">
                    <w:rPr>
                      <w:rFonts w:ascii="Aptos" w:hAnsi="Aptos"/>
                    </w:rPr>
                    <w:t>Date</w:t>
                  </w:r>
                </w:p>
              </w:tc>
              <w:tc>
                <w:tcPr>
                  <w:tcW w:w="4572" w:type="dxa"/>
                  <w:vAlign w:val="center"/>
                </w:tcPr>
                <w:p w14:paraId="34CF35AC" w14:textId="77777777" w:rsidR="00381BBA" w:rsidRPr="0083242F" w:rsidRDefault="00000000">
                  <w:pPr>
                    <w:jc w:val="center"/>
                    <w:rPr>
                      <w:rFonts w:ascii="Aptos" w:hAnsi="Aptos"/>
                    </w:rPr>
                  </w:pPr>
                  <w:r w:rsidRPr="0083242F">
                    <w:rPr>
                      <w:rFonts w:ascii="Aptos" w:hAnsi="Aptos"/>
                    </w:rPr>
                    <w:t>[Date]</w:t>
                  </w:r>
                </w:p>
              </w:tc>
            </w:tr>
            <w:tr w:rsidR="00381BBA" w:rsidRPr="0083242F" w14:paraId="5B613556" w14:textId="77777777" w:rsidTr="0040212B">
              <w:trPr>
                <w:trHeight w:val="641"/>
              </w:trPr>
              <w:tc>
                <w:tcPr>
                  <w:tcW w:w="4572" w:type="dxa"/>
                  <w:vAlign w:val="center"/>
                </w:tcPr>
                <w:p w14:paraId="2E8AEC25" w14:textId="77777777" w:rsidR="00381BBA" w:rsidRPr="0083242F" w:rsidRDefault="00000000">
                  <w:pPr>
                    <w:jc w:val="center"/>
                    <w:rPr>
                      <w:rFonts w:ascii="Aptos" w:hAnsi="Aptos"/>
                    </w:rPr>
                  </w:pPr>
                  <w:r w:rsidRPr="0083242F">
                    <w:rPr>
                      <w:rFonts w:ascii="Aptos" w:hAnsi="Aptos"/>
                    </w:rPr>
                    <w:t>Signature</w:t>
                  </w:r>
                </w:p>
              </w:tc>
              <w:tc>
                <w:tcPr>
                  <w:tcW w:w="4572" w:type="dxa"/>
                  <w:vAlign w:val="center"/>
                </w:tcPr>
                <w:p w14:paraId="2292234E" w14:textId="77777777" w:rsidR="00381BBA" w:rsidRPr="0083242F" w:rsidRDefault="00381BBA">
                  <w:pPr>
                    <w:jc w:val="center"/>
                    <w:rPr>
                      <w:rFonts w:ascii="Aptos" w:hAnsi="Aptos"/>
                    </w:rPr>
                  </w:pPr>
                </w:p>
              </w:tc>
            </w:tr>
            <w:tr w:rsidR="00381BBA" w:rsidRPr="0083242F" w14:paraId="64FC2971" w14:textId="77777777" w:rsidTr="0040212B">
              <w:trPr>
                <w:trHeight w:val="329"/>
              </w:trPr>
              <w:tc>
                <w:tcPr>
                  <w:tcW w:w="4572" w:type="dxa"/>
                  <w:vAlign w:val="center"/>
                </w:tcPr>
                <w:p w14:paraId="3B480174" w14:textId="77777777" w:rsidR="00381BBA" w:rsidRPr="0083242F" w:rsidRDefault="00000000">
                  <w:pPr>
                    <w:pStyle w:val="Heading4"/>
                    <w:rPr>
                      <w:rFonts w:ascii="Aptos" w:hAnsi="Aptos"/>
                    </w:rPr>
                  </w:pPr>
                  <w:r w:rsidRPr="0083242F">
                    <w:rPr>
                      <w:rFonts w:ascii="Aptos" w:hAnsi="Aptos"/>
                      <w:color w:val="1F4E79" w:themeColor="accent1" w:themeShade="80"/>
                    </w:rPr>
                    <w:t>REVIEWED BY</w:t>
                  </w:r>
                </w:p>
              </w:tc>
              <w:tc>
                <w:tcPr>
                  <w:tcW w:w="4572" w:type="dxa"/>
                  <w:vAlign w:val="center"/>
                </w:tcPr>
                <w:p w14:paraId="546C977B" w14:textId="77777777" w:rsidR="00381BBA" w:rsidRPr="0083242F" w:rsidRDefault="00381BBA">
                  <w:pPr>
                    <w:jc w:val="center"/>
                    <w:rPr>
                      <w:rFonts w:ascii="Aptos" w:hAnsi="Aptos"/>
                    </w:rPr>
                  </w:pPr>
                </w:p>
              </w:tc>
            </w:tr>
            <w:tr w:rsidR="00381BBA" w:rsidRPr="0083242F" w14:paraId="5ED95D3C" w14:textId="77777777" w:rsidTr="0040212B">
              <w:trPr>
                <w:trHeight w:val="415"/>
              </w:trPr>
              <w:tc>
                <w:tcPr>
                  <w:tcW w:w="4572" w:type="dxa"/>
                  <w:vAlign w:val="center"/>
                </w:tcPr>
                <w:p w14:paraId="38CEB323" w14:textId="77777777" w:rsidR="00381BBA" w:rsidRPr="0083242F" w:rsidRDefault="00000000">
                  <w:pPr>
                    <w:jc w:val="center"/>
                    <w:rPr>
                      <w:rFonts w:ascii="Aptos" w:hAnsi="Aptos"/>
                    </w:rPr>
                  </w:pPr>
                  <w:r w:rsidRPr="0083242F">
                    <w:rPr>
                      <w:rFonts w:ascii="Aptos" w:hAnsi="Aptos"/>
                    </w:rPr>
                    <w:t>Name</w:t>
                  </w:r>
                </w:p>
              </w:tc>
              <w:tc>
                <w:tcPr>
                  <w:tcW w:w="4572" w:type="dxa"/>
                  <w:vAlign w:val="center"/>
                </w:tcPr>
                <w:p w14:paraId="6CBB0C72" w14:textId="77777777" w:rsidR="00381BBA" w:rsidRPr="0083242F" w:rsidRDefault="00000000">
                  <w:pPr>
                    <w:tabs>
                      <w:tab w:val="left" w:pos="1424"/>
                    </w:tabs>
                    <w:jc w:val="center"/>
                    <w:rPr>
                      <w:rFonts w:ascii="Aptos" w:hAnsi="Aptos"/>
                    </w:rPr>
                  </w:pPr>
                  <w:r w:rsidRPr="0083242F">
                    <w:rPr>
                      <w:rFonts w:ascii="Aptos" w:hAnsi="Aptos"/>
                    </w:rPr>
                    <w:t>[Senior GRC Partner Name]</w:t>
                  </w:r>
                </w:p>
              </w:tc>
            </w:tr>
            <w:tr w:rsidR="00381BBA" w:rsidRPr="0083242F" w14:paraId="0B9B166E" w14:textId="77777777" w:rsidTr="0040212B">
              <w:trPr>
                <w:trHeight w:val="557"/>
              </w:trPr>
              <w:tc>
                <w:tcPr>
                  <w:tcW w:w="4572" w:type="dxa"/>
                  <w:vAlign w:val="center"/>
                </w:tcPr>
                <w:p w14:paraId="53DAAF52" w14:textId="77777777" w:rsidR="00381BBA" w:rsidRPr="0083242F" w:rsidRDefault="00000000">
                  <w:pPr>
                    <w:jc w:val="center"/>
                    <w:rPr>
                      <w:rFonts w:ascii="Aptos" w:hAnsi="Aptos"/>
                    </w:rPr>
                  </w:pPr>
                  <w:r w:rsidRPr="0083242F">
                    <w:rPr>
                      <w:rFonts w:ascii="Aptos" w:hAnsi="Aptos"/>
                    </w:rPr>
                    <w:t>Title</w:t>
                  </w:r>
                </w:p>
              </w:tc>
              <w:tc>
                <w:tcPr>
                  <w:tcW w:w="4572" w:type="dxa"/>
                  <w:vAlign w:val="center"/>
                </w:tcPr>
                <w:p w14:paraId="0784C58B" w14:textId="77777777" w:rsidR="00381BBA" w:rsidRPr="0083242F" w:rsidRDefault="00000000">
                  <w:pPr>
                    <w:jc w:val="center"/>
                    <w:rPr>
                      <w:rFonts w:ascii="Aptos" w:hAnsi="Aptos"/>
                    </w:rPr>
                  </w:pPr>
                  <w:r w:rsidRPr="0083242F">
                    <w:rPr>
                      <w:rFonts w:ascii="Aptos" w:hAnsi="Aptos"/>
                    </w:rPr>
                    <w:t>Senior GRC Partner, CISM | ISO 27001 Lead Auditor</w:t>
                  </w:r>
                </w:p>
              </w:tc>
            </w:tr>
            <w:tr w:rsidR="00381BBA" w:rsidRPr="0083242F" w14:paraId="0CCF9993" w14:textId="77777777" w:rsidTr="0040212B">
              <w:trPr>
                <w:trHeight w:val="415"/>
              </w:trPr>
              <w:tc>
                <w:tcPr>
                  <w:tcW w:w="4572" w:type="dxa"/>
                  <w:vAlign w:val="center"/>
                </w:tcPr>
                <w:p w14:paraId="57B81E86" w14:textId="77777777" w:rsidR="00381BBA" w:rsidRPr="0083242F" w:rsidRDefault="00000000">
                  <w:pPr>
                    <w:jc w:val="center"/>
                    <w:rPr>
                      <w:rFonts w:ascii="Aptos" w:hAnsi="Aptos"/>
                    </w:rPr>
                  </w:pPr>
                  <w:r w:rsidRPr="0083242F">
                    <w:rPr>
                      <w:rFonts w:ascii="Aptos" w:hAnsi="Aptos"/>
                    </w:rPr>
                    <w:t>Date</w:t>
                  </w:r>
                </w:p>
              </w:tc>
              <w:tc>
                <w:tcPr>
                  <w:tcW w:w="4572" w:type="dxa"/>
                  <w:vAlign w:val="center"/>
                </w:tcPr>
                <w:p w14:paraId="4D77ED18" w14:textId="77777777" w:rsidR="00381BBA" w:rsidRPr="0083242F" w:rsidRDefault="00000000">
                  <w:pPr>
                    <w:jc w:val="center"/>
                    <w:rPr>
                      <w:rFonts w:ascii="Aptos" w:hAnsi="Aptos"/>
                    </w:rPr>
                  </w:pPr>
                  <w:r w:rsidRPr="0083242F">
                    <w:rPr>
                      <w:rFonts w:ascii="Aptos" w:hAnsi="Aptos"/>
                    </w:rPr>
                    <w:t>[Date]</w:t>
                  </w:r>
                </w:p>
              </w:tc>
            </w:tr>
            <w:tr w:rsidR="00381BBA" w:rsidRPr="0083242F" w14:paraId="5EDE434F" w14:textId="77777777" w:rsidTr="0040212B">
              <w:trPr>
                <w:trHeight w:val="701"/>
              </w:trPr>
              <w:tc>
                <w:tcPr>
                  <w:tcW w:w="4572" w:type="dxa"/>
                  <w:vAlign w:val="center"/>
                </w:tcPr>
                <w:p w14:paraId="13434671" w14:textId="77777777" w:rsidR="00381BBA" w:rsidRPr="0083242F" w:rsidRDefault="00000000">
                  <w:pPr>
                    <w:jc w:val="center"/>
                    <w:rPr>
                      <w:rFonts w:ascii="Aptos" w:hAnsi="Aptos"/>
                    </w:rPr>
                  </w:pPr>
                  <w:r w:rsidRPr="0083242F">
                    <w:rPr>
                      <w:rFonts w:ascii="Aptos" w:hAnsi="Aptos"/>
                    </w:rPr>
                    <w:t>Signature</w:t>
                  </w:r>
                </w:p>
              </w:tc>
              <w:tc>
                <w:tcPr>
                  <w:tcW w:w="4572" w:type="dxa"/>
                  <w:vAlign w:val="center"/>
                </w:tcPr>
                <w:p w14:paraId="16F20CB5" w14:textId="77777777" w:rsidR="00381BBA" w:rsidRPr="0083242F" w:rsidRDefault="00381BBA">
                  <w:pPr>
                    <w:jc w:val="center"/>
                    <w:rPr>
                      <w:rFonts w:ascii="Aptos" w:hAnsi="Aptos"/>
                    </w:rPr>
                  </w:pPr>
                </w:p>
              </w:tc>
            </w:tr>
            <w:tr w:rsidR="00381BBA" w:rsidRPr="0083242F" w14:paraId="6AEF3617" w14:textId="77777777" w:rsidTr="0040212B">
              <w:trPr>
                <w:trHeight w:val="444"/>
              </w:trPr>
              <w:tc>
                <w:tcPr>
                  <w:tcW w:w="4572" w:type="dxa"/>
                  <w:vAlign w:val="center"/>
                </w:tcPr>
                <w:p w14:paraId="0FC91973" w14:textId="77777777" w:rsidR="00381BBA" w:rsidRPr="0083242F" w:rsidRDefault="00000000">
                  <w:pPr>
                    <w:pStyle w:val="Heading4"/>
                    <w:rPr>
                      <w:rFonts w:ascii="Aptos" w:hAnsi="Aptos"/>
                    </w:rPr>
                  </w:pPr>
                  <w:r w:rsidRPr="0083242F">
                    <w:rPr>
                      <w:rFonts w:ascii="Aptos" w:hAnsi="Aptos"/>
                      <w:color w:val="1F4E79" w:themeColor="accent1" w:themeShade="80"/>
                    </w:rPr>
                    <w:t>APPROVED BY</w:t>
                  </w:r>
                </w:p>
              </w:tc>
              <w:tc>
                <w:tcPr>
                  <w:tcW w:w="4572" w:type="dxa"/>
                  <w:vAlign w:val="center"/>
                </w:tcPr>
                <w:p w14:paraId="30E20BE6" w14:textId="77777777" w:rsidR="00381BBA" w:rsidRPr="0083242F" w:rsidRDefault="00381BBA">
                  <w:pPr>
                    <w:jc w:val="center"/>
                    <w:rPr>
                      <w:rFonts w:ascii="Aptos" w:hAnsi="Aptos"/>
                    </w:rPr>
                  </w:pPr>
                </w:p>
              </w:tc>
            </w:tr>
            <w:tr w:rsidR="00381BBA" w:rsidRPr="0083242F" w14:paraId="5D489E59" w14:textId="77777777" w:rsidTr="0040212B">
              <w:trPr>
                <w:trHeight w:val="415"/>
              </w:trPr>
              <w:tc>
                <w:tcPr>
                  <w:tcW w:w="4572" w:type="dxa"/>
                  <w:vAlign w:val="center"/>
                </w:tcPr>
                <w:p w14:paraId="75FB11C1" w14:textId="77777777" w:rsidR="00381BBA" w:rsidRPr="0083242F" w:rsidRDefault="00000000">
                  <w:pPr>
                    <w:jc w:val="center"/>
                    <w:rPr>
                      <w:rFonts w:ascii="Aptos" w:hAnsi="Aptos"/>
                    </w:rPr>
                  </w:pPr>
                  <w:r w:rsidRPr="0083242F">
                    <w:rPr>
                      <w:rFonts w:ascii="Aptos" w:hAnsi="Aptos"/>
                    </w:rPr>
                    <w:t>Name</w:t>
                  </w:r>
                </w:p>
              </w:tc>
              <w:tc>
                <w:tcPr>
                  <w:tcW w:w="4572" w:type="dxa"/>
                  <w:vAlign w:val="center"/>
                </w:tcPr>
                <w:p w14:paraId="3BE50DA1" w14:textId="77777777" w:rsidR="00381BBA" w:rsidRPr="0083242F" w:rsidRDefault="00000000">
                  <w:pPr>
                    <w:jc w:val="center"/>
                    <w:rPr>
                      <w:rFonts w:ascii="Aptos" w:hAnsi="Aptos"/>
                    </w:rPr>
                  </w:pPr>
                  <w:r w:rsidRPr="0083242F">
                    <w:rPr>
                      <w:rFonts w:ascii="Aptos" w:hAnsi="Aptos"/>
                    </w:rPr>
                    <w:t>[CEO / Managing Director Name]</w:t>
                  </w:r>
                </w:p>
              </w:tc>
            </w:tr>
            <w:tr w:rsidR="00381BBA" w:rsidRPr="0083242F" w14:paraId="1776A378" w14:textId="77777777" w:rsidTr="0040212B">
              <w:trPr>
                <w:trHeight w:val="415"/>
              </w:trPr>
              <w:tc>
                <w:tcPr>
                  <w:tcW w:w="4572" w:type="dxa"/>
                  <w:vAlign w:val="center"/>
                </w:tcPr>
                <w:p w14:paraId="45EF9366" w14:textId="77777777" w:rsidR="00381BBA" w:rsidRPr="0083242F" w:rsidRDefault="00000000">
                  <w:pPr>
                    <w:jc w:val="center"/>
                    <w:rPr>
                      <w:rFonts w:ascii="Aptos" w:hAnsi="Aptos"/>
                    </w:rPr>
                  </w:pPr>
                  <w:r w:rsidRPr="0083242F">
                    <w:rPr>
                      <w:rFonts w:ascii="Aptos" w:hAnsi="Aptos"/>
                    </w:rPr>
                    <w:t>Title</w:t>
                  </w:r>
                </w:p>
              </w:tc>
              <w:tc>
                <w:tcPr>
                  <w:tcW w:w="4572" w:type="dxa"/>
                  <w:vAlign w:val="center"/>
                </w:tcPr>
                <w:p w14:paraId="12F68C72" w14:textId="77777777" w:rsidR="00381BBA" w:rsidRPr="0083242F" w:rsidRDefault="00000000">
                  <w:pPr>
                    <w:jc w:val="center"/>
                    <w:rPr>
                      <w:rFonts w:ascii="Aptos" w:hAnsi="Aptos"/>
                    </w:rPr>
                  </w:pPr>
                  <w:r w:rsidRPr="0083242F">
                    <w:rPr>
                      <w:rFonts w:ascii="Aptos" w:hAnsi="Aptos"/>
                    </w:rPr>
                    <w:t>Chief Executive Officer, MunichTech GmbH</w:t>
                  </w:r>
                </w:p>
              </w:tc>
            </w:tr>
            <w:tr w:rsidR="00381BBA" w:rsidRPr="0083242F" w14:paraId="5592A033" w14:textId="77777777" w:rsidTr="0040212B">
              <w:trPr>
                <w:trHeight w:val="415"/>
              </w:trPr>
              <w:tc>
                <w:tcPr>
                  <w:tcW w:w="4572" w:type="dxa"/>
                  <w:vMerge w:val="restart"/>
                  <w:vAlign w:val="center"/>
                </w:tcPr>
                <w:p w14:paraId="3D69F2F5" w14:textId="77777777" w:rsidR="00381BBA" w:rsidRPr="0083242F" w:rsidRDefault="00000000">
                  <w:pPr>
                    <w:jc w:val="center"/>
                    <w:rPr>
                      <w:rFonts w:ascii="Aptos" w:hAnsi="Aptos"/>
                    </w:rPr>
                  </w:pPr>
                  <w:r w:rsidRPr="0083242F">
                    <w:rPr>
                      <w:rFonts w:ascii="Aptos" w:hAnsi="Aptos"/>
                    </w:rPr>
                    <w:t>Date</w:t>
                  </w:r>
                </w:p>
              </w:tc>
              <w:tc>
                <w:tcPr>
                  <w:tcW w:w="4572" w:type="dxa"/>
                  <w:vMerge w:val="restart"/>
                  <w:vAlign w:val="center"/>
                </w:tcPr>
                <w:p w14:paraId="249A7BF8" w14:textId="77777777" w:rsidR="00381BBA" w:rsidRPr="0083242F" w:rsidRDefault="00000000">
                  <w:pPr>
                    <w:jc w:val="center"/>
                    <w:rPr>
                      <w:rFonts w:ascii="Aptos" w:hAnsi="Aptos"/>
                    </w:rPr>
                  </w:pPr>
                  <w:r w:rsidRPr="0083242F">
                    <w:rPr>
                      <w:rFonts w:ascii="Aptos" w:hAnsi="Aptos"/>
                    </w:rPr>
                    <w:t>[Date]</w:t>
                  </w:r>
                </w:p>
              </w:tc>
            </w:tr>
            <w:tr w:rsidR="00381BBA" w:rsidRPr="0083242F" w14:paraId="144C1FA8" w14:textId="77777777" w:rsidTr="0040212B">
              <w:trPr>
                <w:trHeight w:val="670"/>
              </w:trPr>
              <w:tc>
                <w:tcPr>
                  <w:tcW w:w="4572" w:type="dxa"/>
                  <w:vMerge w:val="restart"/>
                  <w:vAlign w:val="center"/>
                </w:tcPr>
                <w:p w14:paraId="7518ACD3" w14:textId="77777777" w:rsidR="00381BBA" w:rsidRPr="0083242F" w:rsidRDefault="00000000">
                  <w:pPr>
                    <w:jc w:val="center"/>
                    <w:rPr>
                      <w:rFonts w:ascii="Aptos" w:hAnsi="Aptos"/>
                    </w:rPr>
                  </w:pPr>
                  <w:r w:rsidRPr="0083242F">
                    <w:rPr>
                      <w:rFonts w:ascii="Aptos" w:hAnsi="Aptos"/>
                    </w:rPr>
                    <w:t>Signature</w:t>
                  </w:r>
                </w:p>
              </w:tc>
              <w:tc>
                <w:tcPr>
                  <w:tcW w:w="4572" w:type="dxa"/>
                  <w:vMerge w:val="restart"/>
                  <w:vAlign w:val="center"/>
                </w:tcPr>
                <w:p w14:paraId="4EAB14DC" w14:textId="77777777" w:rsidR="00381BBA" w:rsidRPr="0083242F" w:rsidRDefault="00381BBA">
                  <w:pPr>
                    <w:jc w:val="center"/>
                    <w:rPr>
                      <w:rFonts w:ascii="Aptos" w:hAnsi="Aptos"/>
                    </w:rPr>
                  </w:pPr>
                </w:p>
              </w:tc>
            </w:tr>
          </w:tbl>
          <w:p w14:paraId="47671A71" w14:textId="77777777" w:rsidR="00381BBA" w:rsidRPr="0083242F" w:rsidRDefault="00381BBA">
            <w:pPr>
              <w:jc w:val="center"/>
              <w:rPr>
                <w:rFonts w:ascii="Aptos" w:hAnsi="Aptos"/>
              </w:rPr>
            </w:pPr>
          </w:p>
        </w:tc>
      </w:tr>
    </w:tbl>
    <w:p w14:paraId="73BC5B2C" w14:textId="77777777" w:rsidR="00381BBA" w:rsidRPr="0083242F" w:rsidRDefault="00381BBA">
      <w:pPr>
        <w:rPr>
          <w:rFonts w:ascii="Aptos" w:hAnsi="Aptos"/>
        </w:rPr>
      </w:pPr>
    </w:p>
    <w:p w14:paraId="1C02949B" w14:textId="77777777" w:rsidR="00381BBA" w:rsidRPr="0083242F" w:rsidRDefault="00381BBA">
      <w:pPr>
        <w:rPr>
          <w:rFonts w:ascii="Aptos" w:hAnsi="Aptos"/>
        </w:rPr>
      </w:pPr>
    </w:p>
    <w:sectPr w:rsidR="00381BBA" w:rsidRPr="0083242F" w:rsidSect="00413FE1">
      <w:headerReference w:type="default" r:id="rId8"/>
      <w:headerReference w:type="first" r:id="rId9"/>
      <w:pgSz w:w="12240" w:h="15840"/>
      <w:pgMar w:top="1115" w:right="1440" w:bottom="1440" w:left="1440" w:header="534"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0D094" w14:textId="77777777" w:rsidR="008D496C" w:rsidRDefault="008D496C">
      <w:pPr>
        <w:spacing w:after="0" w:line="240" w:lineRule="auto"/>
      </w:pPr>
      <w:r>
        <w:separator/>
      </w:r>
    </w:p>
  </w:endnote>
  <w:endnote w:type="continuationSeparator" w:id="0">
    <w:p w14:paraId="05D98C0A" w14:textId="77777777" w:rsidR="008D496C" w:rsidRDefault="008D4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Sigma Sans">
    <w:panose1 w:val="00000000000000000000"/>
    <w:charset w:val="4D"/>
    <w:family w:val="auto"/>
    <w:pitch w:val="variable"/>
    <w:sig w:usb0="A00000EF" w:usb1="400020FB" w:usb2="00000000" w:usb3="00000000" w:csb0="00000093" w:csb1="00000000"/>
  </w:font>
  <w:font w:name="Academy Engraved LET">
    <w:panose1 w:val="02000000000000000000"/>
    <w:charset w:val="00"/>
    <w:family w:val="auto"/>
    <w:pitch w:val="variable"/>
    <w:sig w:usb0="8000007F" w:usb1="4000000A"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7D6E4" w14:textId="77777777" w:rsidR="008D496C" w:rsidRDefault="008D496C">
      <w:pPr>
        <w:spacing w:after="0" w:line="240" w:lineRule="auto"/>
      </w:pPr>
      <w:r>
        <w:separator/>
      </w:r>
    </w:p>
  </w:footnote>
  <w:footnote w:type="continuationSeparator" w:id="0">
    <w:p w14:paraId="1374BF62" w14:textId="77777777" w:rsidR="008D496C" w:rsidRDefault="008D4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A007B" w14:textId="77777777" w:rsidR="00381BBA" w:rsidRDefault="00000000">
    <w:pPr>
      <w:pStyle w:val="Header"/>
      <w:jc w:val="right"/>
    </w:pPr>
    <w:r>
      <w:fldChar w:fldCharType="begin"/>
    </w:r>
    <w:r>
      <w:instrText>PAGE \* MERGEFORMAT</w:instrText>
    </w:r>
    <w:r>
      <w:fldChar w:fldCharType="separate"/>
    </w:r>
    <w:r>
      <w:t>1</w:t>
    </w:r>
    <w:r>
      <w:fldChar w:fldCharType="end"/>
    </w:r>
  </w:p>
  <w:p w14:paraId="23C11F9D" w14:textId="77777777" w:rsidR="00381BBA" w:rsidRDefault="00381B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96E24" w14:textId="60A745CD" w:rsidR="008D24CF" w:rsidRPr="00635D60" w:rsidRDefault="00000000" w:rsidP="009B2193">
    <w:pPr>
      <w:pStyle w:val="Heading1"/>
      <w:pBdr>
        <w:bottom w:val="single" w:sz="6" w:space="1" w:color="auto"/>
      </w:pBdr>
      <w:rPr>
        <w:rFonts w:ascii="Sigma Sans" w:eastAsia="Academy Engraved LET" w:hAnsi="Sigma Sans" w:cs="Academy Engraved LET"/>
        <w:color w:val="002060"/>
        <w:sz w:val="72"/>
        <w:szCs w:val="72"/>
      </w:rPr>
    </w:pPr>
    <w:r w:rsidRPr="00635D60">
      <w:rPr>
        <w:rFonts w:ascii="Sigma Sans" w:eastAsia="Academy Engraved LET" w:hAnsi="Sigma Sans" w:cs="Academy Engraved LET"/>
        <w:b/>
        <w:bCs/>
        <w:color w:val="002060"/>
        <w:sz w:val="72"/>
        <w:szCs w:val="72"/>
      </w:rPr>
      <w:t>MunichTech</w:t>
    </w:r>
    <w:r w:rsidRPr="00635D60">
      <w:rPr>
        <w:rFonts w:ascii="Sigma Sans" w:eastAsia="Academy Engraved LET" w:hAnsi="Sigma Sans" w:cs="Academy Engraved LET"/>
        <w:color w:val="002060"/>
        <w:sz w:val="72"/>
        <w:szCs w:val="72"/>
      </w:rPr>
      <w:t xml:space="preserve"> GmbH</w:t>
    </w:r>
  </w:p>
  <w:p w14:paraId="6185D6C6" w14:textId="25CDBBB8" w:rsidR="00413FE1" w:rsidRDefault="00413FE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F0F"/>
    <w:multiLevelType w:val="hybridMultilevel"/>
    <w:tmpl w:val="8C5C23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AA63F2"/>
    <w:multiLevelType w:val="hybridMultilevel"/>
    <w:tmpl w:val="03A4F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A26D9A"/>
    <w:multiLevelType w:val="hybridMultilevel"/>
    <w:tmpl w:val="08F01F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B60A97"/>
    <w:multiLevelType w:val="multilevel"/>
    <w:tmpl w:val="D85820DE"/>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abstractNum w:abstractNumId="4" w15:restartNumberingAfterBreak="0">
    <w:nsid w:val="623AF6B1"/>
    <w:multiLevelType w:val="multilevel"/>
    <w:tmpl w:val="446C4170"/>
    <w:lvl w:ilvl="0">
      <w:start w:val="1"/>
      <w:numFmt w:val="bullet"/>
      <w:lvlText w:val="·"/>
      <w:lvlJc w:val="left"/>
      <w:pPr>
        <w:ind w:left="720" w:hanging="360"/>
      </w:pPr>
      <w:rPr>
        <w:rFonts w:ascii="Symbol" w:eastAsia="Symbol" w:hAnsi="Symbol" w:cs="Symbol" w:hint="default"/>
      </w:rPr>
    </w:lvl>
    <w:lvl w:ilvl="1">
      <w:start w:val="1"/>
      <w:numFmt w:val="bullet"/>
      <w:lvlText w:val="o"/>
      <w:lvlJc w:val="left"/>
      <w:pPr>
        <w:ind w:left="1440" w:hanging="360"/>
      </w:pPr>
      <w:rPr>
        <w:rFonts w:ascii="Courier New" w:eastAsia="Courier New" w:hAnsi="Courier New" w:cs="Courier New" w:hint="default"/>
      </w:rPr>
    </w:lvl>
    <w:lvl w:ilvl="2">
      <w:start w:val="1"/>
      <w:numFmt w:val="bullet"/>
      <w:lvlText w:val="§"/>
      <w:lvlJc w:val="left"/>
      <w:pPr>
        <w:ind w:left="2160" w:hanging="360"/>
      </w:pPr>
      <w:rPr>
        <w:rFonts w:ascii="Wingdings" w:eastAsia="Wingdings" w:hAnsi="Wingdings" w:cs="Wingdings" w:hint="default"/>
      </w:rPr>
    </w:lvl>
    <w:lvl w:ilvl="3">
      <w:start w:val="1"/>
      <w:numFmt w:val="bullet"/>
      <w:lvlText w:val="·"/>
      <w:lvlJc w:val="left"/>
      <w:pPr>
        <w:ind w:left="2880" w:hanging="360"/>
      </w:pPr>
      <w:rPr>
        <w:rFonts w:ascii="Symbol" w:eastAsia="Symbol" w:hAnsi="Symbol" w:cs="Symbol" w:hint="default"/>
      </w:rPr>
    </w:lvl>
    <w:lvl w:ilvl="4">
      <w:start w:val="1"/>
      <w:numFmt w:val="bullet"/>
      <w:lvlText w:val="o"/>
      <w:lvlJc w:val="left"/>
      <w:pPr>
        <w:ind w:left="3600" w:hanging="360"/>
      </w:pPr>
      <w:rPr>
        <w:rFonts w:ascii="Courier New" w:eastAsia="Courier New" w:hAnsi="Courier New" w:cs="Courier New" w:hint="default"/>
      </w:rPr>
    </w:lvl>
    <w:lvl w:ilvl="5">
      <w:start w:val="1"/>
      <w:numFmt w:val="bullet"/>
      <w:lvlText w:val="§"/>
      <w:lvlJc w:val="left"/>
      <w:pPr>
        <w:ind w:left="4320" w:hanging="360"/>
      </w:pPr>
      <w:rPr>
        <w:rFonts w:ascii="Wingdings" w:eastAsia="Wingdings" w:hAnsi="Wingdings" w:cs="Wingdings" w:hint="default"/>
      </w:rPr>
    </w:lvl>
    <w:lvl w:ilvl="6">
      <w:start w:val="1"/>
      <w:numFmt w:val="bullet"/>
      <w:lvlText w:val="·"/>
      <w:lvlJc w:val="left"/>
      <w:pPr>
        <w:ind w:left="5040" w:hanging="360"/>
      </w:pPr>
      <w:rPr>
        <w:rFonts w:ascii="Symbol" w:eastAsia="Symbol" w:hAnsi="Symbol" w:cs="Symbol" w:hint="default"/>
      </w:rPr>
    </w:lvl>
    <w:lvl w:ilvl="7">
      <w:start w:val="1"/>
      <w:numFmt w:val="bullet"/>
      <w:lvlText w:val="o"/>
      <w:lvlJc w:val="left"/>
      <w:pPr>
        <w:ind w:left="5760" w:hanging="360"/>
      </w:pPr>
      <w:rPr>
        <w:rFonts w:ascii="Courier New" w:eastAsia="Courier New" w:hAnsi="Courier New" w:cs="Courier New" w:hint="default"/>
      </w:rPr>
    </w:lvl>
    <w:lvl w:ilvl="8">
      <w:start w:val="1"/>
      <w:numFmt w:val="bullet"/>
      <w:lvlText w:val="§"/>
      <w:lvlJc w:val="left"/>
      <w:pPr>
        <w:ind w:left="6480" w:hanging="360"/>
      </w:pPr>
      <w:rPr>
        <w:rFonts w:ascii="Wingdings" w:eastAsia="Wingdings" w:hAnsi="Wingdings" w:cs="Wingdings" w:hint="default"/>
      </w:rPr>
    </w:lvl>
  </w:abstractNum>
  <w:num w:numId="1" w16cid:durableId="1389915039">
    <w:abstractNumId w:val="3"/>
  </w:num>
  <w:num w:numId="2" w16cid:durableId="219480438">
    <w:abstractNumId w:val="4"/>
  </w:num>
  <w:num w:numId="3" w16cid:durableId="519200017">
    <w:abstractNumId w:val="1"/>
  </w:num>
  <w:num w:numId="4" w16cid:durableId="1066025449">
    <w:abstractNumId w:val="2"/>
  </w:num>
  <w:num w:numId="5" w16cid:durableId="3221295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46"/>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1BBA"/>
    <w:rsid w:val="00036C15"/>
    <w:rsid w:val="00037438"/>
    <w:rsid w:val="00092D82"/>
    <w:rsid w:val="0024598B"/>
    <w:rsid w:val="00381BBA"/>
    <w:rsid w:val="003E2C5A"/>
    <w:rsid w:val="0040212B"/>
    <w:rsid w:val="00413FE1"/>
    <w:rsid w:val="00442826"/>
    <w:rsid w:val="004451E2"/>
    <w:rsid w:val="0053129D"/>
    <w:rsid w:val="005F2BE0"/>
    <w:rsid w:val="0060178D"/>
    <w:rsid w:val="00635D60"/>
    <w:rsid w:val="00681D6C"/>
    <w:rsid w:val="006B04E8"/>
    <w:rsid w:val="006F4C25"/>
    <w:rsid w:val="0083242F"/>
    <w:rsid w:val="0088005F"/>
    <w:rsid w:val="008D24CF"/>
    <w:rsid w:val="008D496C"/>
    <w:rsid w:val="009B2193"/>
    <w:rsid w:val="009E60C9"/>
    <w:rsid w:val="00A0120D"/>
    <w:rsid w:val="00AF125F"/>
    <w:rsid w:val="00B73676"/>
    <w:rsid w:val="00B94F48"/>
    <w:rsid w:val="00C6323F"/>
    <w:rsid w:val="00CF5327"/>
    <w:rsid w:val="00D61372"/>
    <w:rsid w:val="00DA46F9"/>
    <w:rsid w:val="00DD2F61"/>
    <w:rsid w:val="00EB74AB"/>
    <w:rsid w:val="00EC650A"/>
    <w:rsid w:val="00F86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E5314"/>
  <w15:docId w15:val="{35DEE46D-7A6D-7447-9811-2EFDCF8DF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3676"/>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NoSpacing">
    <w:name w:val="No Spacing"/>
    <w:basedOn w:val="Normal"/>
    <w:uiPriority w:val="1"/>
    <w:qFormat/>
    <w:pPr>
      <w:spacing w:after="0" w:line="240" w:lineRule="auto"/>
    </w:p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C676C-B0FD-F84B-B1C4-5DD22CEAAE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8</Pages>
  <Words>1278</Words>
  <Characters>7288</Characters>
  <Application>Microsoft Office Word</Application>
  <DocSecurity>2</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Austin B.</cp:lastModifiedBy>
  <cp:revision>25</cp:revision>
  <cp:lastPrinted>2026-04-12T19:23:00Z</cp:lastPrinted>
  <dcterms:created xsi:type="dcterms:W3CDTF">2026-04-12T18:12:00Z</dcterms:created>
  <dcterms:modified xsi:type="dcterms:W3CDTF">2026-04-15T13:13:00Z</dcterms:modified>
</cp:coreProperties>
</file>