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4F53B4" w:rsidRDefault="00000000" w:rsidP="00EC650A">
      <w:pPr>
        <w:pStyle w:val="Title"/>
        <w:rPr>
          <w:rFonts w:ascii="Aptos" w:hAnsi="Aptos"/>
          <w:sz w:val="40"/>
          <w:szCs w:val="40"/>
        </w:rPr>
      </w:pPr>
      <w:r w:rsidRPr="004F53B4">
        <w:rPr>
          <w:rFonts w:ascii="Aptos" w:hAnsi="Aptos"/>
          <w:sz w:val="40"/>
          <w:szCs w:val="40"/>
        </w:rPr>
        <w:t xml:space="preserve">INFORMATION SECURITY MANAGEMENT SYSTEM </w:t>
      </w:r>
    </w:p>
    <w:p w14:paraId="20DE26A2" w14:textId="56D376C9" w:rsidR="00EC650A" w:rsidRDefault="007867A0" w:rsidP="00EC650A">
      <w:pPr>
        <w:rPr>
          <w:rStyle w:val="SubtitleChar"/>
          <w:rFonts w:ascii="Aptos" w:eastAsia="Arial" w:hAnsi="Aptos" w:cstheme="minorHAnsi"/>
        </w:rPr>
      </w:pPr>
      <w:r w:rsidRPr="007867A0">
        <w:rPr>
          <w:rStyle w:val="SubtitleChar"/>
          <w:rFonts w:ascii="Aptos" w:eastAsia="Arial" w:hAnsi="Aptos" w:cstheme="minorHAnsi"/>
        </w:rPr>
        <w:t>NIS2 Incident Reporting Workflow</w:t>
      </w:r>
    </w:p>
    <w:p w14:paraId="31E46362" w14:textId="77777777" w:rsidR="007867A0" w:rsidRPr="004F53B4" w:rsidRDefault="007867A0"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4F53B4" w14:paraId="77EAC466" w14:textId="77777777" w:rsidTr="0040212B">
        <w:trPr>
          <w:trHeight w:val="432"/>
        </w:trPr>
        <w:tc>
          <w:tcPr>
            <w:tcW w:w="3662" w:type="dxa"/>
            <w:vAlign w:val="center"/>
          </w:tcPr>
          <w:p w14:paraId="2558D5ED" w14:textId="77777777" w:rsidR="00381BBA" w:rsidRPr="004F53B4" w:rsidRDefault="00000000">
            <w:pPr>
              <w:rPr>
                <w:rFonts w:ascii="Aptos" w:hAnsi="Aptos"/>
              </w:rPr>
            </w:pPr>
            <w:r w:rsidRPr="004F53B4">
              <w:rPr>
                <w:rFonts w:ascii="Aptos" w:hAnsi="Aptos"/>
              </w:rPr>
              <w:t>Document Reference</w:t>
            </w:r>
          </w:p>
        </w:tc>
        <w:tc>
          <w:tcPr>
            <w:tcW w:w="5698" w:type="dxa"/>
            <w:vAlign w:val="center"/>
          </w:tcPr>
          <w:p w14:paraId="5C139FEA" w14:textId="1DC9DA0E" w:rsidR="00381BBA" w:rsidRPr="004F53B4" w:rsidRDefault="00A061A2">
            <w:pPr>
              <w:rPr>
                <w:rFonts w:ascii="Aptos" w:hAnsi="Aptos"/>
              </w:rPr>
            </w:pPr>
            <w:r w:rsidRPr="004F53B4">
              <w:rPr>
                <w:rFonts w:ascii="Aptos" w:hAnsi="Aptos"/>
              </w:rPr>
              <w:t>MT-NIS2-IRP-001</w:t>
            </w:r>
          </w:p>
        </w:tc>
      </w:tr>
      <w:tr w:rsidR="00381BBA" w:rsidRPr="004F53B4" w14:paraId="5C2C55BE" w14:textId="77777777" w:rsidTr="0040212B">
        <w:trPr>
          <w:trHeight w:val="432"/>
        </w:trPr>
        <w:tc>
          <w:tcPr>
            <w:tcW w:w="3662" w:type="dxa"/>
            <w:vAlign w:val="center"/>
          </w:tcPr>
          <w:p w14:paraId="047D6895" w14:textId="77777777" w:rsidR="00381BBA" w:rsidRPr="004F53B4" w:rsidRDefault="00000000">
            <w:pPr>
              <w:rPr>
                <w:rFonts w:ascii="Aptos" w:hAnsi="Aptos"/>
              </w:rPr>
            </w:pPr>
            <w:r w:rsidRPr="004F53B4">
              <w:rPr>
                <w:rFonts w:ascii="Aptos" w:hAnsi="Aptos"/>
              </w:rPr>
              <w:t>Version</w:t>
            </w:r>
          </w:p>
        </w:tc>
        <w:tc>
          <w:tcPr>
            <w:tcW w:w="5698" w:type="dxa"/>
            <w:vAlign w:val="center"/>
          </w:tcPr>
          <w:p w14:paraId="5A21C26A" w14:textId="77777777" w:rsidR="00381BBA" w:rsidRPr="004F53B4" w:rsidRDefault="00000000">
            <w:pPr>
              <w:rPr>
                <w:rFonts w:ascii="Aptos" w:hAnsi="Aptos"/>
              </w:rPr>
            </w:pPr>
            <w:r w:rsidRPr="004F53B4">
              <w:rPr>
                <w:rFonts w:ascii="Aptos" w:hAnsi="Aptos"/>
              </w:rPr>
              <w:t>1.0</w:t>
            </w:r>
          </w:p>
        </w:tc>
      </w:tr>
      <w:tr w:rsidR="00381BBA" w:rsidRPr="004F53B4" w14:paraId="0AC2184D" w14:textId="77777777" w:rsidTr="0040212B">
        <w:trPr>
          <w:trHeight w:val="432"/>
        </w:trPr>
        <w:tc>
          <w:tcPr>
            <w:tcW w:w="3662" w:type="dxa"/>
            <w:vAlign w:val="center"/>
          </w:tcPr>
          <w:p w14:paraId="2BE22FD1" w14:textId="77777777" w:rsidR="00381BBA" w:rsidRPr="004F53B4" w:rsidRDefault="00000000">
            <w:pPr>
              <w:rPr>
                <w:rFonts w:ascii="Aptos" w:hAnsi="Aptos"/>
              </w:rPr>
            </w:pPr>
            <w:r w:rsidRPr="004F53B4">
              <w:rPr>
                <w:rFonts w:ascii="Aptos" w:hAnsi="Aptos"/>
              </w:rPr>
              <w:t>Effective Date</w:t>
            </w:r>
          </w:p>
        </w:tc>
        <w:tc>
          <w:tcPr>
            <w:tcW w:w="5698" w:type="dxa"/>
            <w:vAlign w:val="center"/>
          </w:tcPr>
          <w:p w14:paraId="1F513DF1" w14:textId="77777777" w:rsidR="00381BBA" w:rsidRPr="004F53B4" w:rsidRDefault="00000000">
            <w:pPr>
              <w:rPr>
                <w:rFonts w:ascii="Aptos" w:hAnsi="Aptos"/>
              </w:rPr>
            </w:pPr>
            <w:r w:rsidRPr="004F53B4">
              <w:rPr>
                <w:rFonts w:ascii="Aptos" w:hAnsi="Aptos"/>
              </w:rPr>
              <w:t>[Date]</w:t>
            </w:r>
          </w:p>
        </w:tc>
      </w:tr>
      <w:tr w:rsidR="00381BBA" w:rsidRPr="004F53B4" w14:paraId="338027A8" w14:textId="77777777" w:rsidTr="0040212B">
        <w:trPr>
          <w:trHeight w:val="432"/>
        </w:trPr>
        <w:tc>
          <w:tcPr>
            <w:tcW w:w="3662" w:type="dxa"/>
            <w:vAlign w:val="center"/>
          </w:tcPr>
          <w:p w14:paraId="532AFBF7" w14:textId="77777777" w:rsidR="00381BBA" w:rsidRPr="004F53B4" w:rsidRDefault="00000000">
            <w:pPr>
              <w:rPr>
                <w:rFonts w:ascii="Aptos" w:hAnsi="Aptos"/>
              </w:rPr>
            </w:pPr>
            <w:r w:rsidRPr="004F53B4">
              <w:rPr>
                <w:rFonts w:ascii="Aptos" w:hAnsi="Aptos"/>
              </w:rPr>
              <w:t>Prepared By</w:t>
            </w:r>
          </w:p>
        </w:tc>
        <w:tc>
          <w:tcPr>
            <w:tcW w:w="5698" w:type="dxa"/>
            <w:vAlign w:val="center"/>
          </w:tcPr>
          <w:p w14:paraId="33112333" w14:textId="77777777" w:rsidR="00381BBA" w:rsidRPr="004F53B4" w:rsidRDefault="00000000">
            <w:pPr>
              <w:rPr>
                <w:rFonts w:ascii="Aptos" w:hAnsi="Aptos"/>
              </w:rPr>
            </w:pPr>
            <w:r w:rsidRPr="004F53B4">
              <w:rPr>
                <w:rFonts w:ascii="Aptos" w:hAnsi="Aptos"/>
              </w:rPr>
              <w:t>Austin Bond, Junior GRC Consultant</w:t>
            </w:r>
          </w:p>
        </w:tc>
      </w:tr>
      <w:tr w:rsidR="00381BBA" w:rsidRPr="004F53B4" w14:paraId="0A4C6155" w14:textId="77777777" w:rsidTr="0040212B">
        <w:trPr>
          <w:trHeight w:val="432"/>
        </w:trPr>
        <w:tc>
          <w:tcPr>
            <w:tcW w:w="3662" w:type="dxa"/>
            <w:vAlign w:val="center"/>
          </w:tcPr>
          <w:p w14:paraId="567E207C" w14:textId="77777777" w:rsidR="00381BBA" w:rsidRPr="004F53B4" w:rsidRDefault="00000000">
            <w:pPr>
              <w:rPr>
                <w:rFonts w:ascii="Aptos" w:hAnsi="Aptos"/>
              </w:rPr>
            </w:pPr>
            <w:r w:rsidRPr="004F53B4">
              <w:rPr>
                <w:rFonts w:ascii="Aptos" w:hAnsi="Aptos"/>
              </w:rPr>
              <w:t>Reviewed By</w:t>
            </w:r>
          </w:p>
        </w:tc>
        <w:tc>
          <w:tcPr>
            <w:tcW w:w="5698" w:type="dxa"/>
            <w:vAlign w:val="center"/>
          </w:tcPr>
          <w:p w14:paraId="3FB127B0" w14:textId="77777777" w:rsidR="00381BBA" w:rsidRPr="004F53B4" w:rsidRDefault="00000000">
            <w:pPr>
              <w:rPr>
                <w:rFonts w:ascii="Aptos" w:hAnsi="Aptos"/>
              </w:rPr>
            </w:pPr>
            <w:r w:rsidRPr="004F53B4">
              <w:rPr>
                <w:rFonts w:ascii="Aptos" w:hAnsi="Aptos"/>
              </w:rPr>
              <w:t>[Senior GRC Partner Name], CISM, ISO LA</w:t>
            </w:r>
          </w:p>
        </w:tc>
      </w:tr>
      <w:tr w:rsidR="00381BBA" w:rsidRPr="004F53B4" w14:paraId="04B5422A" w14:textId="77777777" w:rsidTr="0040212B">
        <w:trPr>
          <w:trHeight w:val="432"/>
        </w:trPr>
        <w:tc>
          <w:tcPr>
            <w:tcW w:w="3662" w:type="dxa"/>
            <w:vAlign w:val="center"/>
          </w:tcPr>
          <w:p w14:paraId="2F3EBDEA" w14:textId="77777777" w:rsidR="00381BBA" w:rsidRPr="004F53B4" w:rsidRDefault="00000000">
            <w:pPr>
              <w:rPr>
                <w:rFonts w:ascii="Aptos" w:hAnsi="Aptos"/>
              </w:rPr>
            </w:pPr>
            <w:r w:rsidRPr="004F53B4">
              <w:rPr>
                <w:rFonts w:ascii="Aptos" w:hAnsi="Aptos"/>
              </w:rPr>
              <w:t>Approved By</w:t>
            </w:r>
          </w:p>
        </w:tc>
        <w:tc>
          <w:tcPr>
            <w:tcW w:w="5698" w:type="dxa"/>
            <w:vAlign w:val="center"/>
          </w:tcPr>
          <w:p w14:paraId="15089127" w14:textId="77777777" w:rsidR="00381BBA" w:rsidRPr="004F53B4" w:rsidRDefault="00000000">
            <w:pPr>
              <w:rPr>
                <w:rFonts w:ascii="Aptos" w:hAnsi="Aptos"/>
              </w:rPr>
            </w:pPr>
            <w:r w:rsidRPr="004F53B4">
              <w:rPr>
                <w:rFonts w:ascii="Aptos" w:hAnsi="Aptos"/>
              </w:rPr>
              <w:t>CEO / Managing Director, MunichTech GmbH</w:t>
            </w:r>
          </w:p>
        </w:tc>
      </w:tr>
      <w:tr w:rsidR="00381BBA" w:rsidRPr="004F53B4" w14:paraId="10D30894" w14:textId="77777777" w:rsidTr="0040212B">
        <w:trPr>
          <w:trHeight w:val="432"/>
        </w:trPr>
        <w:tc>
          <w:tcPr>
            <w:tcW w:w="3662" w:type="dxa"/>
            <w:vAlign w:val="center"/>
          </w:tcPr>
          <w:p w14:paraId="38B7F331" w14:textId="77777777" w:rsidR="00381BBA" w:rsidRPr="004F53B4" w:rsidRDefault="00000000">
            <w:pPr>
              <w:rPr>
                <w:rFonts w:ascii="Aptos" w:hAnsi="Aptos"/>
              </w:rPr>
            </w:pPr>
            <w:r w:rsidRPr="004F53B4">
              <w:rPr>
                <w:rFonts w:ascii="Aptos" w:hAnsi="Aptos"/>
              </w:rPr>
              <w:t>Confidentiality Level</w:t>
            </w:r>
          </w:p>
        </w:tc>
        <w:tc>
          <w:tcPr>
            <w:tcW w:w="5698" w:type="dxa"/>
            <w:vAlign w:val="center"/>
          </w:tcPr>
          <w:p w14:paraId="03F95F8B" w14:textId="77777777" w:rsidR="00381BBA" w:rsidRPr="004F53B4" w:rsidRDefault="00000000">
            <w:pPr>
              <w:rPr>
                <w:rFonts w:ascii="Aptos" w:hAnsi="Aptos"/>
              </w:rPr>
            </w:pPr>
            <w:r w:rsidRPr="004F53B4">
              <w:rPr>
                <w:rFonts w:ascii="Aptos" w:hAnsi="Aptos"/>
                <w:b/>
                <w:bCs/>
              </w:rPr>
              <w:t>CONFIDENTIAL</w:t>
            </w:r>
            <w:r w:rsidRPr="004F53B4">
              <w:rPr>
                <w:rFonts w:ascii="Aptos" w:hAnsi="Aptos"/>
              </w:rPr>
              <w:t xml:space="preserve"> — Internal Use Only</w:t>
            </w:r>
          </w:p>
        </w:tc>
      </w:tr>
    </w:tbl>
    <w:p w14:paraId="0AFCC845" w14:textId="77777777" w:rsidR="00381BBA" w:rsidRPr="004F53B4" w:rsidRDefault="00381BBA">
      <w:pPr>
        <w:rPr>
          <w:rFonts w:ascii="Aptos" w:hAnsi="Aptos"/>
        </w:rPr>
      </w:pPr>
    </w:p>
    <w:p w14:paraId="1E9BC2E1" w14:textId="77777777" w:rsidR="00381BBA" w:rsidRPr="004F53B4" w:rsidRDefault="00381BBA">
      <w:pPr>
        <w:rPr>
          <w:rFonts w:ascii="Aptos" w:hAnsi="Aptos"/>
        </w:rPr>
      </w:pPr>
    </w:p>
    <w:tbl>
      <w:tblPr>
        <w:tblStyle w:val="TableGrid"/>
        <w:tblW w:w="0" w:type="auto"/>
        <w:tblLayout w:type="fixed"/>
        <w:tblLook w:val="04A0" w:firstRow="1" w:lastRow="0" w:firstColumn="1" w:lastColumn="0" w:noHBand="0" w:noVBand="1"/>
      </w:tblPr>
      <w:tblGrid>
        <w:gridCol w:w="1253"/>
        <w:gridCol w:w="1843"/>
        <w:gridCol w:w="1843"/>
        <w:gridCol w:w="4422"/>
      </w:tblGrid>
      <w:tr w:rsidR="0060178D" w:rsidRPr="004F53B4" w14:paraId="572D4D4B" w14:textId="77777777" w:rsidTr="0040212B">
        <w:trPr>
          <w:trHeight w:val="432"/>
        </w:trPr>
        <w:tc>
          <w:tcPr>
            <w:tcW w:w="1253" w:type="dxa"/>
            <w:vAlign w:val="center"/>
          </w:tcPr>
          <w:p w14:paraId="588FF3F9"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Version</w:t>
            </w:r>
          </w:p>
        </w:tc>
        <w:tc>
          <w:tcPr>
            <w:tcW w:w="1843" w:type="dxa"/>
            <w:vAlign w:val="center"/>
          </w:tcPr>
          <w:p w14:paraId="258F872D"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Date</w:t>
            </w:r>
          </w:p>
        </w:tc>
        <w:tc>
          <w:tcPr>
            <w:tcW w:w="1843" w:type="dxa"/>
            <w:vAlign w:val="center"/>
          </w:tcPr>
          <w:p w14:paraId="0E419C85"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Author</w:t>
            </w:r>
          </w:p>
        </w:tc>
        <w:tc>
          <w:tcPr>
            <w:tcW w:w="4422" w:type="dxa"/>
            <w:vAlign w:val="center"/>
          </w:tcPr>
          <w:p w14:paraId="061E65A0"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Change Description</w:t>
            </w:r>
          </w:p>
        </w:tc>
      </w:tr>
      <w:tr w:rsidR="00381BBA" w:rsidRPr="004F53B4" w14:paraId="763B422F" w14:textId="77777777" w:rsidTr="0040212B">
        <w:trPr>
          <w:trHeight w:val="432"/>
        </w:trPr>
        <w:tc>
          <w:tcPr>
            <w:tcW w:w="1253" w:type="dxa"/>
            <w:vAlign w:val="center"/>
          </w:tcPr>
          <w:p w14:paraId="7FFB097D" w14:textId="77777777" w:rsidR="00381BBA" w:rsidRPr="004F53B4" w:rsidRDefault="00000000">
            <w:pPr>
              <w:rPr>
                <w:rFonts w:ascii="Aptos" w:hAnsi="Aptos"/>
              </w:rPr>
            </w:pPr>
            <w:r w:rsidRPr="004F53B4">
              <w:rPr>
                <w:rFonts w:ascii="Aptos" w:hAnsi="Aptos"/>
              </w:rPr>
              <w:t>1.0</w:t>
            </w:r>
          </w:p>
        </w:tc>
        <w:tc>
          <w:tcPr>
            <w:tcW w:w="1843" w:type="dxa"/>
            <w:vAlign w:val="center"/>
          </w:tcPr>
          <w:p w14:paraId="5CA7F90B" w14:textId="02E4EBE9" w:rsidR="00381BBA" w:rsidRPr="004F53B4" w:rsidRDefault="006B04E8">
            <w:pPr>
              <w:rPr>
                <w:rFonts w:ascii="Aptos" w:hAnsi="Aptos"/>
              </w:rPr>
            </w:pPr>
            <w:r w:rsidRPr="004F53B4">
              <w:rPr>
                <w:rFonts w:ascii="Aptos" w:hAnsi="Aptos"/>
              </w:rPr>
              <w:t>[Date]</w:t>
            </w:r>
          </w:p>
        </w:tc>
        <w:tc>
          <w:tcPr>
            <w:tcW w:w="1843" w:type="dxa"/>
            <w:vAlign w:val="center"/>
          </w:tcPr>
          <w:p w14:paraId="330A05C5" w14:textId="77777777" w:rsidR="00381BBA" w:rsidRPr="004F53B4" w:rsidRDefault="00000000">
            <w:pPr>
              <w:rPr>
                <w:rFonts w:ascii="Aptos" w:hAnsi="Aptos"/>
              </w:rPr>
            </w:pPr>
            <w:r w:rsidRPr="004F53B4">
              <w:rPr>
                <w:rFonts w:ascii="Aptos" w:hAnsi="Aptos"/>
              </w:rPr>
              <w:t>Austin Bond</w:t>
            </w:r>
          </w:p>
        </w:tc>
        <w:tc>
          <w:tcPr>
            <w:tcW w:w="4422" w:type="dxa"/>
            <w:vAlign w:val="center"/>
          </w:tcPr>
          <w:p w14:paraId="228C2A30" w14:textId="25830572" w:rsidR="00381BBA" w:rsidRPr="004F53B4" w:rsidRDefault="00A061A2">
            <w:pPr>
              <w:rPr>
                <w:rFonts w:ascii="Aptos" w:hAnsi="Aptos"/>
              </w:rPr>
            </w:pPr>
            <w:r w:rsidRPr="004F53B4">
              <w:rPr>
                <w:rFonts w:ascii="Aptos" w:hAnsi="Aptos"/>
              </w:rPr>
              <w:t>Initial workflow creation; aligned with NIS2 Article 23, BSIG § 32/35, and DSGVO reporting timelines</w:t>
            </w:r>
          </w:p>
        </w:tc>
      </w:tr>
    </w:tbl>
    <w:p w14:paraId="0C392E57" w14:textId="77777777" w:rsidR="00381BBA" w:rsidRPr="004F53B4" w:rsidRDefault="00381BBA">
      <w:pPr>
        <w:rPr>
          <w:rFonts w:ascii="Aptos" w:hAnsi="Aptos"/>
        </w:rPr>
      </w:pPr>
    </w:p>
    <w:p w14:paraId="08B37183" w14:textId="77777777" w:rsidR="00381BBA" w:rsidRPr="004F53B4" w:rsidRDefault="00000000">
      <w:pPr>
        <w:rPr>
          <w:rFonts w:ascii="Aptos" w:hAnsi="Aptos"/>
        </w:rPr>
      </w:pPr>
      <w:r w:rsidRPr="004F53B4">
        <w:rPr>
          <w:rFonts w:ascii="Aptos" w:hAnsi="Aptos"/>
        </w:rPr>
        <w:br w:type="page" w:clear="all"/>
      </w:r>
    </w:p>
    <w:p w14:paraId="67166104" w14:textId="77777777" w:rsidR="00381BBA" w:rsidRPr="004F53B4" w:rsidRDefault="00000000" w:rsidP="00EC650A">
      <w:pPr>
        <w:pStyle w:val="Heading2"/>
        <w:rPr>
          <w:rFonts w:ascii="Aptos" w:hAnsi="Aptos"/>
          <w:color w:val="1F4E79" w:themeColor="accent1" w:themeShade="80"/>
        </w:rPr>
      </w:pPr>
      <w:r w:rsidRPr="004F53B4">
        <w:rPr>
          <w:rFonts w:ascii="Aptos" w:hAnsi="Aptos"/>
          <w:color w:val="1F4E79" w:themeColor="accent1" w:themeShade="80"/>
        </w:rPr>
        <w:lastRenderedPageBreak/>
        <w:t>Table of Contents</w:t>
      </w:r>
    </w:p>
    <w:p w14:paraId="6094B9A8" w14:textId="77777777" w:rsidR="00381BBA" w:rsidRPr="004F53B4" w:rsidRDefault="00381BBA">
      <w:pPr>
        <w:ind w:left="709"/>
        <w:rPr>
          <w:rFonts w:ascii="Aptos" w:hAnsi="Aptos"/>
        </w:rPr>
      </w:pPr>
    </w:p>
    <w:p w14:paraId="44A34EC1" w14:textId="724E3CC2" w:rsidR="00381BBA" w:rsidRPr="004F53B4" w:rsidRDefault="00000000">
      <w:pPr>
        <w:ind w:left="709"/>
        <w:rPr>
          <w:rFonts w:ascii="Aptos" w:hAnsi="Aptos"/>
        </w:rPr>
      </w:pPr>
      <w:r w:rsidRPr="004F53B4">
        <w:rPr>
          <w:rFonts w:ascii="Aptos" w:hAnsi="Aptos"/>
        </w:rPr>
        <w:t>1.</w:t>
      </w:r>
      <w:r w:rsidRPr="004F53B4">
        <w:rPr>
          <w:rFonts w:ascii="Aptos" w:hAnsi="Aptos"/>
        </w:rPr>
        <w:tab/>
      </w:r>
      <w:r w:rsidR="00A061A2" w:rsidRPr="004F53B4">
        <w:rPr>
          <w:rFonts w:ascii="Aptos" w:hAnsi="Aptos"/>
        </w:rPr>
        <w:t>Purpose and Scope</w:t>
      </w:r>
      <w:r w:rsidRPr="004F53B4">
        <w:rPr>
          <w:rFonts w:ascii="Aptos" w:hAnsi="Aptos"/>
        </w:rPr>
        <w:tab/>
      </w:r>
    </w:p>
    <w:p w14:paraId="48110B18" w14:textId="6E2B66B4" w:rsidR="00381BBA" w:rsidRPr="004F53B4" w:rsidRDefault="00000000">
      <w:pPr>
        <w:ind w:left="709"/>
        <w:rPr>
          <w:rFonts w:ascii="Aptos" w:hAnsi="Aptos"/>
        </w:rPr>
      </w:pPr>
      <w:r w:rsidRPr="004F53B4">
        <w:rPr>
          <w:rFonts w:ascii="Aptos" w:hAnsi="Aptos"/>
        </w:rPr>
        <w:t>2.</w:t>
      </w:r>
      <w:r w:rsidRPr="004F53B4">
        <w:rPr>
          <w:rFonts w:ascii="Aptos" w:hAnsi="Aptos"/>
        </w:rPr>
        <w:tab/>
      </w:r>
      <w:r w:rsidR="00A061A2" w:rsidRPr="004F53B4">
        <w:rPr>
          <w:rFonts w:ascii="Aptos" w:hAnsi="Aptos"/>
        </w:rPr>
        <w:t>Trigger: Definition of "Awareness" and "Significant Incident"</w:t>
      </w:r>
      <w:r w:rsidRPr="004F53B4">
        <w:rPr>
          <w:rFonts w:ascii="Aptos" w:hAnsi="Aptos"/>
        </w:rPr>
        <w:tab/>
      </w:r>
    </w:p>
    <w:p w14:paraId="5DAE02E0" w14:textId="20436B36" w:rsidR="00381BBA" w:rsidRPr="004F53B4" w:rsidRDefault="00000000" w:rsidP="00A061A2">
      <w:pPr>
        <w:ind w:left="709"/>
        <w:rPr>
          <w:rFonts w:ascii="Aptos" w:hAnsi="Aptos"/>
        </w:rPr>
      </w:pPr>
      <w:r w:rsidRPr="004F53B4">
        <w:rPr>
          <w:rFonts w:ascii="Aptos" w:hAnsi="Aptos"/>
        </w:rPr>
        <w:t>3.</w:t>
      </w:r>
      <w:r w:rsidRPr="004F53B4">
        <w:rPr>
          <w:rFonts w:ascii="Aptos" w:hAnsi="Aptos"/>
        </w:rPr>
        <w:tab/>
      </w:r>
      <w:r w:rsidR="00A061A2" w:rsidRPr="004F53B4">
        <w:rPr>
          <w:rFonts w:ascii="Aptos" w:hAnsi="Aptos"/>
        </w:rPr>
        <w:t>The 24–72–30 Reporting Timeline</w:t>
      </w:r>
    </w:p>
    <w:p w14:paraId="0EB2BAB3" w14:textId="77777777" w:rsidR="00A061A2" w:rsidRPr="004F53B4" w:rsidRDefault="00000000" w:rsidP="00A061A2">
      <w:pPr>
        <w:ind w:left="709"/>
        <w:rPr>
          <w:rFonts w:ascii="Aptos" w:hAnsi="Aptos"/>
        </w:rPr>
      </w:pPr>
      <w:r w:rsidRPr="004F53B4">
        <w:rPr>
          <w:rFonts w:ascii="Aptos" w:hAnsi="Aptos"/>
        </w:rPr>
        <w:t>4.</w:t>
      </w:r>
      <w:r w:rsidRPr="004F53B4">
        <w:rPr>
          <w:rFonts w:ascii="Aptos" w:hAnsi="Aptos"/>
        </w:rPr>
        <w:tab/>
      </w:r>
      <w:r w:rsidR="00A061A2" w:rsidRPr="004F53B4">
        <w:rPr>
          <w:rFonts w:ascii="Aptos" w:hAnsi="Aptos"/>
        </w:rPr>
        <w:t>Parallel Reporting Obligations (The "Double Notification" Rule)</w:t>
      </w:r>
    </w:p>
    <w:p w14:paraId="0A91405F" w14:textId="270D5474" w:rsidR="00381BBA" w:rsidRPr="004F53B4" w:rsidRDefault="00000000" w:rsidP="00A061A2">
      <w:pPr>
        <w:ind w:left="709"/>
        <w:rPr>
          <w:rFonts w:ascii="Aptos" w:hAnsi="Aptos"/>
        </w:rPr>
      </w:pPr>
      <w:r w:rsidRPr="004F53B4">
        <w:rPr>
          <w:rFonts w:ascii="Aptos" w:hAnsi="Aptos"/>
        </w:rPr>
        <w:t>5.</w:t>
      </w:r>
      <w:r w:rsidRPr="004F53B4">
        <w:rPr>
          <w:rFonts w:ascii="Aptos" w:hAnsi="Aptos"/>
        </w:rPr>
        <w:tab/>
      </w:r>
      <w:r w:rsidR="00A061A2" w:rsidRPr="004F53B4">
        <w:rPr>
          <w:rFonts w:ascii="Aptos" w:hAnsi="Aptos"/>
        </w:rPr>
        <w:t>Executive Accountability (NIS2 Article 20)</w:t>
      </w:r>
    </w:p>
    <w:p w14:paraId="7C0E20A7" w14:textId="6A26B132" w:rsidR="00381BBA" w:rsidRPr="004F53B4" w:rsidRDefault="00000000" w:rsidP="00A061A2">
      <w:pPr>
        <w:ind w:left="709"/>
        <w:rPr>
          <w:rFonts w:ascii="Aptos" w:hAnsi="Aptos"/>
        </w:rPr>
      </w:pPr>
      <w:r w:rsidRPr="004F53B4">
        <w:rPr>
          <w:rFonts w:ascii="Aptos" w:hAnsi="Aptos"/>
        </w:rPr>
        <w:t>6.</w:t>
      </w:r>
      <w:r w:rsidRPr="004F53B4">
        <w:rPr>
          <w:rFonts w:ascii="Aptos" w:hAnsi="Aptos"/>
        </w:rPr>
        <w:tab/>
      </w:r>
      <w:r w:rsidR="00A061A2" w:rsidRPr="004F53B4">
        <w:rPr>
          <w:rFonts w:ascii="Aptos" w:hAnsi="Aptos"/>
        </w:rPr>
        <w:t>Document Sign-Off</w:t>
      </w:r>
      <w:r w:rsidRPr="004F53B4">
        <w:rPr>
          <w:rFonts w:ascii="Aptos" w:hAnsi="Aptos"/>
        </w:rPr>
        <w:br w:type="page" w:clear="all"/>
      </w:r>
    </w:p>
    <w:p w14:paraId="45079DF4" w14:textId="36514774" w:rsidR="00381BBA" w:rsidRPr="004F53B4" w:rsidRDefault="00000000">
      <w:pPr>
        <w:pStyle w:val="Heading2"/>
        <w:rPr>
          <w:rFonts w:ascii="Aptos" w:hAnsi="Aptos"/>
          <w:color w:val="1F4E79" w:themeColor="accent1" w:themeShade="80"/>
        </w:rPr>
      </w:pPr>
      <w:r w:rsidRPr="004F53B4">
        <w:rPr>
          <w:rFonts w:ascii="Aptos" w:hAnsi="Aptos"/>
          <w:color w:val="1F4E79" w:themeColor="accent1" w:themeShade="80"/>
        </w:rPr>
        <w:lastRenderedPageBreak/>
        <w:t xml:space="preserve">1. </w:t>
      </w:r>
      <w:r w:rsidR="00A061A2" w:rsidRPr="004F53B4">
        <w:rPr>
          <w:rFonts w:ascii="Aptos" w:hAnsi="Aptos"/>
          <w:color w:val="1F4E79" w:themeColor="accent1" w:themeShade="80"/>
        </w:rPr>
        <w:t>Purpose and Scope</w:t>
      </w:r>
    </w:p>
    <w:p w14:paraId="2EBE3FF6" w14:textId="77777777" w:rsidR="00A061A2"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This document defines the standard operating procedure (SOP) and mandatory reporting workflow for MunichTech GmbH in the event of a significant cyber security incident. As an "Important Entity" providing digital infrastructure services to the financial sector, MunichTech GmbH is legally obligated under NIS2 Article 23 and the German BSI Act (BSIG) to adhere to strict 24-hour, 72-hour, and 1-month reporting deadlines to the Federal Office for Information Security (</w:t>
      </w:r>
      <w:proofErr w:type="spellStart"/>
      <w:r w:rsidRPr="004F53B4">
        <w:rPr>
          <w:rFonts w:ascii="Aptos" w:eastAsiaTheme="minorHAnsi" w:hAnsi="Aptos" w:cstheme="minorBidi"/>
          <w:color w:val="auto"/>
          <w:sz w:val="22"/>
          <w:szCs w:val="22"/>
        </w:rPr>
        <w:t>Bundesamt</w:t>
      </w:r>
      <w:proofErr w:type="spellEnd"/>
      <w:r w:rsidRPr="004F53B4">
        <w:rPr>
          <w:rFonts w:ascii="Aptos" w:eastAsiaTheme="minorHAnsi" w:hAnsi="Aptos" w:cstheme="minorBidi"/>
          <w:color w:val="auto"/>
          <w:sz w:val="22"/>
          <w:szCs w:val="22"/>
        </w:rPr>
        <w:t xml:space="preserve"> für Sicherheit in der </w:t>
      </w:r>
      <w:proofErr w:type="spellStart"/>
      <w:r w:rsidRPr="004F53B4">
        <w:rPr>
          <w:rFonts w:ascii="Aptos" w:eastAsiaTheme="minorHAnsi" w:hAnsi="Aptos" w:cstheme="minorBidi"/>
          <w:color w:val="auto"/>
          <w:sz w:val="22"/>
          <w:szCs w:val="22"/>
        </w:rPr>
        <w:t>Informationstechnik</w:t>
      </w:r>
      <w:proofErr w:type="spellEnd"/>
      <w:r w:rsidRPr="004F53B4">
        <w:rPr>
          <w:rFonts w:ascii="Aptos" w:eastAsiaTheme="minorHAnsi" w:hAnsi="Aptos" w:cstheme="minorBidi"/>
          <w:color w:val="auto"/>
          <w:sz w:val="22"/>
          <w:szCs w:val="22"/>
        </w:rPr>
        <w:t xml:space="preserve"> - BSI).</w:t>
      </w:r>
    </w:p>
    <w:p w14:paraId="469CE1B2" w14:textId="53A884C7" w:rsidR="00381BBA"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This workflow applies to the IT Security Lead, Head of Engineering, Legal Counsel, and the Executive Management Team.</w:t>
      </w:r>
    </w:p>
    <w:p w14:paraId="1B611176" w14:textId="77777777" w:rsidR="00A061A2" w:rsidRPr="004F53B4" w:rsidRDefault="00A061A2" w:rsidP="00A061A2">
      <w:pPr>
        <w:rPr>
          <w:rFonts w:ascii="Aptos" w:hAnsi="Aptos"/>
        </w:rPr>
      </w:pPr>
    </w:p>
    <w:p w14:paraId="0B8B52F1" w14:textId="66B6FC6F" w:rsidR="00381BBA" w:rsidRPr="004F53B4" w:rsidRDefault="00000000" w:rsidP="0040212B">
      <w:pPr>
        <w:pStyle w:val="Heading2"/>
        <w:rPr>
          <w:rFonts w:ascii="Aptos" w:hAnsi="Aptos"/>
          <w:color w:val="1F4E79" w:themeColor="accent1" w:themeShade="80"/>
        </w:rPr>
      </w:pPr>
      <w:r w:rsidRPr="004F53B4">
        <w:rPr>
          <w:rFonts w:ascii="Aptos" w:hAnsi="Aptos"/>
          <w:color w:val="1F4E79" w:themeColor="accent1" w:themeShade="80"/>
        </w:rPr>
        <w:t xml:space="preserve">2. </w:t>
      </w:r>
      <w:r w:rsidR="00A061A2" w:rsidRPr="004F53B4">
        <w:rPr>
          <w:rFonts w:ascii="Aptos" w:hAnsi="Aptos"/>
          <w:color w:val="1F4E79" w:themeColor="accent1" w:themeShade="80"/>
        </w:rPr>
        <w:t>Trigger: Definition of "Awareness" and "Significant Incident"</w:t>
      </w:r>
    </w:p>
    <w:p w14:paraId="6E842665" w14:textId="77777777" w:rsidR="00A061A2"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The regulatory clock does not start when a generic SIEM alert fires. The clock starts at the moment of Awareness — defined as the point when the incident response team has a reasonable degree of certainty that a "Significant Incident" has occurred based on initial assessment.</w:t>
      </w:r>
    </w:p>
    <w:p w14:paraId="5EC1E282" w14:textId="77777777" w:rsidR="00A061A2"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Under NIS2, an incident is classified as Significant if it meets either of the following thresholds:</w:t>
      </w:r>
    </w:p>
    <w:p w14:paraId="15F87612" w14:textId="4652BDE0" w:rsidR="00A061A2" w:rsidRPr="004F53B4" w:rsidRDefault="00A061A2" w:rsidP="00A061A2">
      <w:pPr>
        <w:pStyle w:val="Heading2"/>
        <w:numPr>
          <w:ilvl w:val="0"/>
          <w:numId w:val="3"/>
        </w:numPr>
        <w:rPr>
          <w:rFonts w:ascii="Aptos" w:eastAsiaTheme="minorHAnsi" w:hAnsi="Aptos" w:cstheme="minorBidi"/>
          <w:color w:val="auto"/>
          <w:sz w:val="22"/>
          <w:szCs w:val="22"/>
        </w:rPr>
      </w:pPr>
      <w:r w:rsidRPr="004F53B4">
        <w:rPr>
          <w:rFonts w:ascii="Aptos" w:eastAsiaTheme="minorHAnsi" w:hAnsi="Aptos" w:cstheme="minorBidi"/>
          <w:color w:val="auto"/>
          <w:sz w:val="22"/>
          <w:szCs w:val="22"/>
        </w:rPr>
        <w:t>Operational/Financial Impact: It has caused, or has the potential to cause, severe operational disruption to the MunichTech SaaS platform (violating client SLAs) or severe financial loss.</w:t>
      </w:r>
      <w:r w:rsidRPr="004F53B4">
        <w:rPr>
          <w:rFonts w:ascii="MS Gothic" w:eastAsia="MS Gothic" w:hAnsi="MS Gothic" w:cs="MS Gothic" w:hint="eastAsia"/>
          <w:color w:val="auto"/>
          <w:sz w:val="22"/>
          <w:szCs w:val="22"/>
        </w:rPr>
        <w:t> </w:t>
      </w:r>
      <w:r w:rsidRPr="004F53B4">
        <w:rPr>
          <w:rFonts w:ascii="Aptos" w:eastAsiaTheme="minorHAnsi" w:hAnsi="Aptos" w:cstheme="minorBidi"/>
          <w:color w:val="auto"/>
          <w:sz w:val="22"/>
          <w:szCs w:val="22"/>
        </w:rPr>
        <w:tab/>
      </w:r>
    </w:p>
    <w:p w14:paraId="4F1B6BC5" w14:textId="756E976B" w:rsidR="00A061A2" w:rsidRPr="004F53B4" w:rsidRDefault="00A061A2" w:rsidP="00A061A2">
      <w:pPr>
        <w:pStyle w:val="Heading2"/>
        <w:numPr>
          <w:ilvl w:val="0"/>
          <w:numId w:val="3"/>
        </w:numPr>
        <w:rPr>
          <w:rFonts w:ascii="Aptos" w:eastAsiaTheme="minorHAnsi" w:hAnsi="Aptos" w:cstheme="minorBidi"/>
          <w:color w:val="auto"/>
          <w:sz w:val="22"/>
          <w:szCs w:val="22"/>
        </w:rPr>
      </w:pPr>
      <w:r w:rsidRPr="004F53B4">
        <w:rPr>
          <w:rFonts w:ascii="Aptos" w:eastAsiaTheme="minorHAnsi" w:hAnsi="Aptos" w:cstheme="minorBidi"/>
          <w:color w:val="auto"/>
          <w:sz w:val="22"/>
          <w:szCs w:val="22"/>
        </w:rPr>
        <w:t>Third-Party Damage: It has affected, or is capable of affecting, other natural or legal persons (e.g., enterprise banking clients) by causing considerable material or non-material damage.</w:t>
      </w:r>
    </w:p>
    <w:p w14:paraId="2B953DD0" w14:textId="6A023689" w:rsidR="00381BBA" w:rsidRPr="004F53B4" w:rsidRDefault="00A061A2" w:rsidP="00A061A2">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If an event is assessed as a Significant Incident by the IT Security Lead, the CEO and Legal Counsel must be notified within 15 minutes, and the following 24-72-30 timeline is immediately activated.</w:t>
      </w:r>
    </w:p>
    <w:p w14:paraId="313FDFB1" w14:textId="77777777" w:rsidR="00A061A2" w:rsidRPr="004F53B4" w:rsidRDefault="00A061A2" w:rsidP="00A061A2">
      <w:pPr>
        <w:rPr>
          <w:rFonts w:ascii="Aptos" w:hAnsi="Aptos"/>
        </w:rPr>
      </w:pPr>
    </w:p>
    <w:p w14:paraId="17712CC2" w14:textId="188E8F5C" w:rsidR="00381BBA" w:rsidRPr="004F53B4" w:rsidRDefault="00000000" w:rsidP="0040212B">
      <w:pPr>
        <w:pStyle w:val="Heading2"/>
        <w:rPr>
          <w:rFonts w:ascii="Aptos" w:hAnsi="Aptos"/>
          <w:color w:val="1F4E79" w:themeColor="accent1" w:themeShade="80"/>
        </w:rPr>
      </w:pPr>
      <w:r w:rsidRPr="004F53B4">
        <w:rPr>
          <w:rFonts w:ascii="Aptos" w:hAnsi="Aptos"/>
          <w:color w:val="1F4E79" w:themeColor="accent1" w:themeShade="80"/>
        </w:rPr>
        <w:t xml:space="preserve">3. </w:t>
      </w:r>
      <w:r w:rsidR="00A061A2" w:rsidRPr="004F53B4">
        <w:rPr>
          <w:rFonts w:ascii="Aptos" w:hAnsi="Aptos"/>
          <w:color w:val="1F4E79" w:themeColor="accent1" w:themeShade="80"/>
        </w:rPr>
        <w:t>The 24–72–30 Reporting Timeline</w:t>
      </w:r>
    </w:p>
    <w:p w14:paraId="6BCEB9EF" w14:textId="5262EDD2" w:rsidR="00381BBA" w:rsidRPr="004F53B4" w:rsidRDefault="00000000">
      <w:pPr>
        <w:pStyle w:val="Heading5"/>
        <w:rPr>
          <w:rFonts w:ascii="Aptos" w:hAnsi="Aptos"/>
          <w:color w:val="1F4E79" w:themeColor="accent1" w:themeShade="80"/>
        </w:rPr>
      </w:pPr>
      <w:r w:rsidRPr="004F53B4">
        <w:rPr>
          <w:rFonts w:ascii="Aptos" w:hAnsi="Aptos"/>
          <w:color w:val="1F4E79" w:themeColor="accent1" w:themeShade="80"/>
        </w:rPr>
        <w:t xml:space="preserve">3.1 </w:t>
      </w:r>
      <w:r w:rsidR="00A061A2" w:rsidRPr="004F53B4">
        <w:rPr>
          <w:rFonts w:ascii="Aptos" w:hAnsi="Aptos"/>
          <w:color w:val="1F4E79" w:themeColor="accent1" w:themeShade="80"/>
        </w:rPr>
        <w:t>Phase 1: The 24-Hour Early Warning</w:t>
      </w:r>
    </w:p>
    <w:p w14:paraId="2C3DF472" w14:textId="77777777" w:rsidR="00D07B7D"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Deadline:</w:t>
      </w:r>
      <w:r w:rsidRPr="004F53B4">
        <w:rPr>
          <w:rFonts w:ascii="Aptos" w:hAnsi="Aptos"/>
        </w:rPr>
        <w:t xml:space="preserve"> Without undue delay, and in any event within 24 hours of Awareness.</w:t>
      </w:r>
      <w:r w:rsidRPr="004F53B4">
        <w:rPr>
          <w:rFonts w:ascii="MS Gothic" w:eastAsia="MS Gothic" w:hAnsi="MS Gothic" w:cs="MS Gothic" w:hint="eastAsia"/>
        </w:rPr>
        <w:t> </w:t>
      </w:r>
      <w:r w:rsidRPr="004F53B4">
        <w:rPr>
          <w:rFonts w:ascii="Aptos" w:hAnsi="Aptos"/>
        </w:rPr>
        <w:tab/>
      </w:r>
    </w:p>
    <w:p w14:paraId="6BD73AAE" w14:textId="77777777" w:rsidR="00D07B7D"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Recipient:</w:t>
      </w:r>
      <w:r w:rsidRPr="004F53B4">
        <w:rPr>
          <w:rFonts w:ascii="Aptos" w:hAnsi="Aptos"/>
        </w:rPr>
        <w:t xml:space="preserve"> BSI (via the official BSI Reporting Portal).</w:t>
      </w:r>
      <w:r w:rsidRPr="004F53B4">
        <w:rPr>
          <w:rFonts w:ascii="MS Gothic" w:eastAsia="MS Gothic" w:hAnsi="MS Gothic" w:cs="MS Gothic" w:hint="eastAsia"/>
        </w:rPr>
        <w:t> </w:t>
      </w:r>
      <w:r w:rsidRPr="004F53B4">
        <w:rPr>
          <w:rFonts w:ascii="Aptos" w:hAnsi="Aptos"/>
        </w:rPr>
        <w:tab/>
      </w:r>
    </w:p>
    <w:p w14:paraId="1ADE3D0E" w14:textId="77777777" w:rsidR="00D07B7D"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Owner:</w:t>
      </w:r>
      <w:r w:rsidRPr="004F53B4">
        <w:rPr>
          <w:rFonts w:ascii="Aptos" w:hAnsi="Aptos"/>
        </w:rPr>
        <w:t xml:space="preserve"> IT Security Lead (Approval by Legal Counsel).</w:t>
      </w:r>
      <w:r w:rsidRPr="004F53B4">
        <w:rPr>
          <w:rFonts w:ascii="MS Gothic" w:eastAsia="MS Gothic" w:hAnsi="MS Gothic" w:cs="MS Gothic" w:hint="eastAsia"/>
        </w:rPr>
        <w:t> </w:t>
      </w:r>
      <w:r w:rsidRPr="004F53B4">
        <w:rPr>
          <w:rFonts w:ascii="Aptos" w:hAnsi="Aptos"/>
        </w:rPr>
        <w:tab/>
      </w:r>
    </w:p>
    <w:p w14:paraId="3CBCB84B" w14:textId="3AF317A1" w:rsidR="00D61372" w:rsidRPr="004F53B4"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Required Information:</w:t>
      </w:r>
      <w:r w:rsidRPr="004F53B4">
        <w:rPr>
          <w:rFonts w:ascii="Aptos" w:hAnsi="Aptos"/>
        </w:rPr>
        <w:t xml:space="preserve"> A credible early warning indicating whether the incident is suspected of being caused by unlawful or malicious acts (e.g., ransomware) and whether it has the potential to have a cross-border impact across other EU Member States.</w:t>
      </w:r>
    </w:p>
    <w:p w14:paraId="0D01C841" w14:textId="77777777" w:rsidR="00EC650A" w:rsidRPr="004F53B4" w:rsidRDefault="00EC650A">
      <w:pPr>
        <w:rPr>
          <w:rFonts w:ascii="Aptos" w:eastAsia="Arial" w:hAnsi="Aptos" w:cs="Arial"/>
          <w:color w:val="2E74B5" w:themeColor="accent1" w:themeShade="BF"/>
        </w:rPr>
      </w:pPr>
      <w:r w:rsidRPr="004F53B4">
        <w:rPr>
          <w:rFonts w:ascii="Aptos" w:hAnsi="Aptos"/>
        </w:rPr>
        <w:br w:type="page"/>
      </w:r>
    </w:p>
    <w:p w14:paraId="24AB6002" w14:textId="0AD58145" w:rsidR="00381BBA" w:rsidRPr="004F53B4" w:rsidRDefault="00000000">
      <w:pPr>
        <w:pStyle w:val="Heading5"/>
        <w:rPr>
          <w:rFonts w:ascii="Aptos" w:hAnsi="Aptos"/>
          <w:color w:val="1F4E79" w:themeColor="accent1" w:themeShade="80"/>
        </w:rPr>
      </w:pPr>
      <w:r w:rsidRPr="004F53B4">
        <w:rPr>
          <w:rFonts w:ascii="Aptos" w:hAnsi="Aptos"/>
          <w:color w:val="1F4E79" w:themeColor="accent1" w:themeShade="80"/>
        </w:rPr>
        <w:lastRenderedPageBreak/>
        <w:t xml:space="preserve">3.2 </w:t>
      </w:r>
      <w:r w:rsidR="00D07B7D" w:rsidRPr="004F53B4">
        <w:rPr>
          <w:rFonts w:ascii="Aptos" w:hAnsi="Aptos"/>
          <w:color w:val="1F4E79" w:themeColor="accent1" w:themeShade="80"/>
        </w:rPr>
        <w:t>Phase 2: The 72-Hour Incident Notification</w:t>
      </w:r>
    </w:p>
    <w:p w14:paraId="2AA80401" w14:textId="77777777" w:rsidR="00D07B7D" w:rsidRPr="004F53B4" w:rsidRDefault="00D07B7D">
      <w:pPr>
        <w:rPr>
          <w:rFonts w:ascii="Aptos" w:hAnsi="Aptos"/>
        </w:rPr>
      </w:pPr>
      <w:r w:rsidRPr="004F53B4">
        <w:rPr>
          <w:rFonts w:ascii="Aptos" w:hAnsi="Aptos"/>
        </w:rPr>
        <w:t>•</w:t>
      </w:r>
      <w:r w:rsidRPr="004F53B4">
        <w:rPr>
          <w:rFonts w:ascii="Aptos" w:hAnsi="Aptos"/>
        </w:rPr>
        <w:tab/>
      </w:r>
      <w:r w:rsidRPr="004F53B4">
        <w:rPr>
          <w:rFonts w:ascii="Aptos" w:hAnsi="Aptos"/>
          <w:b/>
          <w:bCs/>
        </w:rPr>
        <w:t>Deadline:</w:t>
      </w:r>
      <w:r w:rsidRPr="004F53B4">
        <w:rPr>
          <w:rFonts w:ascii="Aptos" w:hAnsi="Aptos"/>
        </w:rPr>
        <w:t xml:space="preserve"> Without undue delay, and in any event within 72 hours of Awareness.</w:t>
      </w:r>
      <w:r w:rsidRPr="004F53B4">
        <w:rPr>
          <w:rFonts w:ascii="MS Gothic" w:eastAsia="MS Gothic" w:hAnsi="MS Gothic" w:cs="MS Gothic" w:hint="eastAsia"/>
        </w:rPr>
        <w:t> </w:t>
      </w:r>
      <w:r w:rsidRPr="004F53B4">
        <w:rPr>
          <w:rFonts w:ascii="Aptos" w:hAnsi="Aptos"/>
        </w:rPr>
        <w:tab/>
      </w:r>
    </w:p>
    <w:p w14:paraId="62115C09" w14:textId="77777777" w:rsidR="00D07B7D" w:rsidRPr="004F53B4" w:rsidRDefault="00D07B7D">
      <w:pPr>
        <w:rPr>
          <w:rFonts w:ascii="Aptos" w:hAnsi="Aptos"/>
        </w:rPr>
      </w:pPr>
      <w:r w:rsidRPr="004F53B4">
        <w:rPr>
          <w:rFonts w:ascii="Aptos" w:hAnsi="Aptos"/>
        </w:rPr>
        <w:t>•</w:t>
      </w:r>
      <w:r w:rsidRPr="004F53B4">
        <w:rPr>
          <w:rFonts w:ascii="Aptos" w:hAnsi="Aptos"/>
        </w:rPr>
        <w:tab/>
      </w:r>
      <w:r w:rsidRPr="004F53B4">
        <w:rPr>
          <w:rFonts w:ascii="Aptos" w:hAnsi="Aptos"/>
          <w:b/>
          <w:bCs/>
        </w:rPr>
        <w:t>Recipient:</w:t>
      </w:r>
      <w:r w:rsidRPr="004F53B4">
        <w:rPr>
          <w:rFonts w:ascii="Aptos" w:hAnsi="Aptos"/>
        </w:rPr>
        <w:t xml:space="preserve"> BSI.</w:t>
      </w:r>
      <w:r w:rsidRPr="004F53B4">
        <w:rPr>
          <w:rFonts w:ascii="MS Gothic" w:eastAsia="MS Gothic" w:hAnsi="MS Gothic" w:cs="MS Gothic" w:hint="eastAsia"/>
        </w:rPr>
        <w:t> </w:t>
      </w:r>
      <w:r w:rsidRPr="004F53B4">
        <w:rPr>
          <w:rFonts w:ascii="Aptos" w:hAnsi="Aptos"/>
        </w:rPr>
        <w:tab/>
      </w:r>
    </w:p>
    <w:p w14:paraId="00A917B7" w14:textId="77777777" w:rsidR="00D07B7D" w:rsidRPr="004F53B4" w:rsidRDefault="00D07B7D">
      <w:pPr>
        <w:rPr>
          <w:rFonts w:ascii="Aptos" w:hAnsi="Aptos"/>
        </w:rPr>
      </w:pPr>
      <w:r w:rsidRPr="004F53B4">
        <w:rPr>
          <w:rFonts w:ascii="Aptos" w:hAnsi="Aptos"/>
        </w:rPr>
        <w:t>•</w:t>
      </w:r>
      <w:r w:rsidRPr="004F53B4">
        <w:rPr>
          <w:rFonts w:ascii="Aptos" w:hAnsi="Aptos"/>
        </w:rPr>
        <w:tab/>
      </w:r>
      <w:r w:rsidRPr="004F53B4">
        <w:rPr>
          <w:rFonts w:ascii="Aptos" w:hAnsi="Aptos"/>
          <w:b/>
          <w:bCs/>
        </w:rPr>
        <w:t>Owner:</w:t>
      </w:r>
      <w:r w:rsidRPr="004F53B4">
        <w:rPr>
          <w:rFonts w:ascii="Aptos" w:hAnsi="Aptos"/>
        </w:rPr>
        <w:t xml:space="preserve"> Head of Engineering (Approval by CEO).</w:t>
      </w:r>
      <w:r w:rsidRPr="004F53B4">
        <w:rPr>
          <w:rFonts w:ascii="MS Gothic" w:eastAsia="MS Gothic" w:hAnsi="MS Gothic" w:cs="MS Gothic" w:hint="eastAsia"/>
        </w:rPr>
        <w:t> </w:t>
      </w:r>
      <w:r w:rsidRPr="004F53B4">
        <w:rPr>
          <w:rFonts w:ascii="Aptos" w:hAnsi="Aptos"/>
        </w:rPr>
        <w:tab/>
      </w:r>
    </w:p>
    <w:p w14:paraId="384D8408" w14:textId="4F69350F" w:rsidR="00D07B7D" w:rsidRDefault="00D07B7D" w:rsidP="00D07B7D">
      <w:pPr>
        <w:rPr>
          <w:rFonts w:ascii="Aptos" w:hAnsi="Aptos"/>
        </w:rPr>
      </w:pPr>
      <w:r w:rsidRPr="004F53B4">
        <w:rPr>
          <w:rFonts w:ascii="Aptos" w:hAnsi="Aptos"/>
        </w:rPr>
        <w:t>•</w:t>
      </w:r>
      <w:r w:rsidRPr="004F53B4">
        <w:rPr>
          <w:rFonts w:ascii="Aptos" w:hAnsi="Aptos"/>
        </w:rPr>
        <w:tab/>
      </w:r>
      <w:r w:rsidRPr="004F53B4">
        <w:rPr>
          <w:rFonts w:ascii="Aptos" w:hAnsi="Aptos"/>
          <w:b/>
          <w:bCs/>
        </w:rPr>
        <w:t>Required Information:</w:t>
      </w:r>
      <w:r w:rsidRPr="004F53B4">
        <w:rPr>
          <w:rFonts w:ascii="Aptos" w:hAnsi="Aptos"/>
        </w:rPr>
        <w:t xml:space="preserve"> Updates to the 24-hour early warning, an initial assessment of the incident's severity and business impact, identification of affected systems, initial containment measures deployed, and Indicators of Compromise (</w:t>
      </w:r>
      <w:proofErr w:type="spellStart"/>
      <w:r w:rsidRPr="004F53B4">
        <w:rPr>
          <w:rFonts w:ascii="Aptos" w:hAnsi="Aptos"/>
        </w:rPr>
        <w:t>IoCs</w:t>
      </w:r>
      <w:proofErr w:type="spellEnd"/>
      <w:r w:rsidRPr="004F53B4">
        <w:rPr>
          <w:rFonts w:ascii="Aptos" w:hAnsi="Aptos"/>
        </w:rPr>
        <w:t>) where available.</w:t>
      </w:r>
    </w:p>
    <w:p w14:paraId="3DFFDAD0" w14:textId="77777777" w:rsidR="004F53B4" w:rsidRPr="004F53B4" w:rsidRDefault="004F53B4" w:rsidP="00D07B7D">
      <w:pPr>
        <w:rPr>
          <w:rFonts w:ascii="Aptos" w:hAnsi="Aptos"/>
        </w:rPr>
      </w:pPr>
    </w:p>
    <w:p w14:paraId="13B345B0" w14:textId="2153A214" w:rsidR="00381BBA" w:rsidRPr="004F53B4" w:rsidRDefault="00000000" w:rsidP="00D07B7D">
      <w:pPr>
        <w:rPr>
          <w:rFonts w:ascii="Aptos" w:eastAsia="Arial" w:hAnsi="Aptos" w:cs="Arial"/>
          <w:color w:val="2E74B5" w:themeColor="accent1" w:themeShade="BF"/>
        </w:rPr>
      </w:pPr>
      <w:r w:rsidRPr="004F53B4">
        <w:rPr>
          <w:rFonts w:ascii="Aptos" w:hAnsi="Aptos"/>
          <w:color w:val="1F4E79" w:themeColor="accent1" w:themeShade="80"/>
        </w:rPr>
        <w:t xml:space="preserve">3.3 </w:t>
      </w:r>
      <w:r w:rsidR="00D07B7D" w:rsidRPr="004F53B4">
        <w:rPr>
          <w:rFonts w:ascii="Aptos" w:hAnsi="Aptos"/>
          <w:color w:val="1F4E79" w:themeColor="accent1" w:themeShade="80"/>
        </w:rPr>
        <w:t>Phase 3: Intermediate Reports</w:t>
      </w:r>
    </w:p>
    <w:p w14:paraId="5E83104D" w14:textId="049D1CD3" w:rsidR="00BB0102" w:rsidRPr="00BB0102" w:rsidRDefault="00BB0102" w:rsidP="00BB0102">
      <w:pPr>
        <w:rPr>
          <w:rFonts w:ascii="Aptos" w:hAnsi="Aptos"/>
        </w:rPr>
      </w:pPr>
      <w:r w:rsidRPr="00BB0102">
        <w:rPr>
          <w:rFonts w:ascii="Aptos" w:hAnsi="Aptos"/>
        </w:rPr>
        <w:t>•</w:t>
      </w:r>
      <w:r w:rsidRPr="00BB0102">
        <w:rPr>
          <w:rFonts w:ascii="Aptos" w:hAnsi="Aptos"/>
        </w:rPr>
        <w:tab/>
      </w:r>
      <w:r w:rsidRPr="00BB0102">
        <w:rPr>
          <w:rFonts w:ascii="Aptos" w:hAnsi="Aptos"/>
          <w:b/>
          <w:bCs/>
        </w:rPr>
        <w:t>Deadline:</w:t>
      </w:r>
      <w:r w:rsidRPr="00BB0102">
        <w:rPr>
          <w:rFonts w:ascii="Aptos" w:hAnsi="Aptos"/>
        </w:rPr>
        <w:t xml:space="preserve"> </w:t>
      </w:r>
      <w:r w:rsidR="004462B9" w:rsidRPr="004462B9">
        <w:rPr>
          <w:rFonts w:ascii="Aptos" w:hAnsi="Aptos"/>
        </w:rPr>
        <w:t>Upon specific request by the BSI or CSIRT.</w:t>
      </w:r>
    </w:p>
    <w:p w14:paraId="65154E8F" w14:textId="77777777" w:rsidR="00BB0102" w:rsidRPr="00BB0102" w:rsidRDefault="00BB0102" w:rsidP="00BB0102">
      <w:pPr>
        <w:rPr>
          <w:rFonts w:ascii="Aptos" w:hAnsi="Aptos"/>
        </w:rPr>
      </w:pPr>
      <w:r w:rsidRPr="00BB0102">
        <w:rPr>
          <w:rFonts w:ascii="Aptos" w:hAnsi="Aptos"/>
        </w:rPr>
        <w:t>•</w:t>
      </w:r>
      <w:r w:rsidRPr="00BB0102">
        <w:rPr>
          <w:rFonts w:ascii="Aptos" w:hAnsi="Aptos"/>
        </w:rPr>
        <w:tab/>
      </w:r>
      <w:r w:rsidRPr="00BB0102">
        <w:rPr>
          <w:rFonts w:ascii="Aptos" w:hAnsi="Aptos"/>
          <w:b/>
          <w:bCs/>
        </w:rPr>
        <w:t>Recipient:</w:t>
      </w:r>
      <w:r w:rsidRPr="00BB0102">
        <w:rPr>
          <w:rFonts w:ascii="Aptos" w:hAnsi="Aptos"/>
        </w:rPr>
        <w:t xml:space="preserve"> BSI.</w:t>
      </w:r>
      <w:r w:rsidRPr="00BB0102">
        <w:rPr>
          <w:rFonts w:ascii="MS Gothic" w:eastAsia="MS Gothic" w:hAnsi="MS Gothic" w:cs="MS Gothic" w:hint="eastAsia"/>
        </w:rPr>
        <w:t> </w:t>
      </w:r>
      <w:r w:rsidRPr="00BB0102">
        <w:rPr>
          <w:rFonts w:ascii="Aptos" w:hAnsi="Aptos"/>
        </w:rPr>
        <w:tab/>
      </w:r>
    </w:p>
    <w:p w14:paraId="191D3C17" w14:textId="336E9A9D" w:rsidR="00D07B7D" w:rsidRDefault="00BB0102" w:rsidP="00BB0102">
      <w:pPr>
        <w:rPr>
          <w:rFonts w:ascii="Aptos" w:hAnsi="Aptos"/>
        </w:rPr>
      </w:pPr>
      <w:r w:rsidRPr="00BB0102">
        <w:rPr>
          <w:rFonts w:ascii="Aptos" w:hAnsi="Aptos"/>
        </w:rPr>
        <w:t>•</w:t>
      </w:r>
      <w:r w:rsidRPr="00BB0102">
        <w:rPr>
          <w:rFonts w:ascii="Aptos" w:hAnsi="Aptos"/>
        </w:rPr>
        <w:tab/>
      </w:r>
      <w:r w:rsidRPr="00BB0102">
        <w:rPr>
          <w:rFonts w:ascii="Aptos" w:hAnsi="Aptos"/>
          <w:b/>
          <w:bCs/>
        </w:rPr>
        <w:t>Required Information:</w:t>
      </w:r>
      <w:r w:rsidRPr="00BB0102">
        <w:rPr>
          <w:rFonts w:ascii="Aptos" w:hAnsi="Aptos"/>
        </w:rPr>
        <w:t xml:space="preserve"> </w:t>
      </w:r>
      <w:r w:rsidR="004462B9" w:rsidRPr="004462B9">
        <w:rPr>
          <w:rFonts w:ascii="Aptos" w:hAnsi="Aptos"/>
        </w:rPr>
        <w:t xml:space="preserve">Relevant status updates on containment, ongoing recovery efforts, and newly discovered </w:t>
      </w:r>
      <w:proofErr w:type="spellStart"/>
      <w:r w:rsidR="004462B9" w:rsidRPr="004462B9">
        <w:rPr>
          <w:rFonts w:ascii="Aptos" w:hAnsi="Aptos"/>
        </w:rPr>
        <w:t>IoCs</w:t>
      </w:r>
      <w:proofErr w:type="spellEnd"/>
      <w:r w:rsidR="004462B9" w:rsidRPr="004462B9">
        <w:rPr>
          <w:rFonts w:ascii="Aptos" w:hAnsi="Aptos"/>
        </w:rPr>
        <w:t>.</w:t>
      </w:r>
    </w:p>
    <w:p w14:paraId="5FC4B336" w14:textId="77777777" w:rsidR="004462B9" w:rsidRPr="00BB0102" w:rsidRDefault="004462B9" w:rsidP="00BB0102">
      <w:pPr>
        <w:rPr>
          <w:rFonts w:ascii="Aptos" w:hAnsi="Aptos"/>
        </w:rPr>
      </w:pPr>
    </w:p>
    <w:p w14:paraId="134C2196" w14:textId="77777777" w:rsidR="00D07B7D" w:rsidRPr="004F53B4" w:rsidRDefault="00D07B7D" w:rsidP="00D07B7D">
      <w:pPr>
        <w:rPr>
          <w:rFonts w:ascii="Aptos" w:hAnsi="Aptos"/>
          <w:color w:val="1F4E79" w:themeColor="accent1" w:themeShade="80"/>
        </w:rPr>
      </w:pPr>
      <w:r w:rsidRPr="004F53B4">
        <w:rPr>
          <w:rFonts w:ascii="Aptos" w:hAnsi="Aptos"/>
          <w:color w:val="1F4E79" w:themeColor="accent1" w:themeShade="80"/>
        </w:rPr>
        <w:t>3.3 Phase 4: The 1-Month Final Report</w:t>
      </w:r>
    </w:p>
    <w:p w14:paraId="545D7F4E" w14:textId="77777777" w:rsidR="004462B9" w:rsidRPr="004462B9" w:rsidRDefault="004462B9" w:rsidP="004462B9">
      <w:pPr>
        <w:rPr>
          <w:rFonts w:ascii="Aptos" w:hAnsi="Aptos"/>
        </w:rPr>
      </w:pPr>
      <w:r w:rsidRPr="004462B9">
        <w:rPr>
          <w:rFonts w:ascii="Aptos" w:hAnsi="Aptos"/>
        </w:rPr>
        <w:t>•</w:t>
      </w:r>
      <w:r w:rsidRPr="004462B9">
        <w:rPr>
          <w:rFonts w:ascii="Aptos" w:hAnsi="Aptos"/>
        </w:rPr>
        <w:tab/>
      </w:r>
      <w:r w:rsidRPr="004462B9">
        <w:rPr>
          <w:rFonts w:ascii="Aptos" w:hAnsi="Aptos"/>
          <w:b/>
          <w:bCs/>
        </w:rPr>
        <w:t>Deadline:</w:t>
      </w:r>
      <w:r w:rsidRPr="004462B9">
        <w:rPr>
          <w:rFonts w:ascii="Aptos" w:hAnsi="Aptos"/>
        </w:rPr>
        <w:t xml:space="preserve"> Not later than one month after the submission of the 72-Hour Incident Notification. If the incident is still ongoing at 30 days, a Progress Report must be filed instead, with the Final Report due one month after the incident is fully closed.</w:t>
      </w:r>
      <w:r w:rsidRPr="004462B9">
        <w:rPr>
          <w:rFonts w:ascii="Aptos" w:hAnsi="Aptos"/>
        </w:rPr>
        <w:tab/>
      </w:r>
    </w:p>
    <w:p w14:paraId="21E9AE4D" w14:textId="77777777" w:rsidR="004462B9" w:rsidRPr="004462B9" w:rsidRDefault="004462B9" w:rsidP="004462B9">
      <w:pPr>
        <w:rPr>
          <w:rFonts w:ascii="Aptos" w:hAnsi="Aptos"/>
        </w:rPr>
      </w:pPr>
      <w:r w:rsidRPr="004462B9">
        <w:rPr>
          <w:rFonts w:ascii="Aptos" w:hAnsi="Aptos"/>
        </w:rPr>
        <w:t>•</w:t>
      </w:r>
      <w:r w:rsidRPr="004462B9">
        <w:rPr>
          <w:rFonts w:ascii="Aptos" w:hAnsi="Aptos"/>
        </w:rPr>
        <w:tab/>
      </w:r>
      <w:r w:rsidRPr="004462B9">
        <w:rPr>
          <w:rFonts w:ascii="Aptos" w:hAnsi="Aptos"/>
          <w:b/>
          <w:bCs/>
        </w:rPr>
        <w:t>Recipient:</w:t>
      </w:r>
      <w:r w:rsidRPr="004462B9">
        <w:rPr>
          <w:rFonts w:ascii="Aptos" w:hAnsi="Aptos"/>
        </w:rPr>
        <w:t xml:space="preserve"> BSI.</w:t>
      </w:r>
      <w:r w:rsidRPr="004462B9">
        <w:rPr>
          <w:rFonts w:ascii="MS Gothic" w:eastAsia="MS Gothic" w:hAnsi="MS Gothic" w:cs="MS Gothic" w:hint="eastAsia"/>
        </w:rPr>
        <w:t> </w:t>
      </w:r>
      <w:r w:rsidRPr="004462B9">
        <w:rPr>
          <w:rFonts w:ascii="Aptos" w:hAnsi="Aptos"/>
        </w:rPr>
        <w:tab/>
      </w:r>
    </w:p>
    <w:p w14:paraId="1CD08715" w14:textId="77777777" w:rsidR="004462B9" w:rsidRPr="004462B9" w:rsidRDefault="004462B9" w:rsidP="004462B9">
      <w:pPr>
        <w:rPr>
          <w:rFonts w:ascii="Aptos" w:hAnsi="Aptos"/>
        </w:rPr>
      </w:pPr>
      <w:r w:rsidRPr="004462B9">
        <w:rPr>
          <w:rFonts w:ascii="Aptos" w:hAnsi="Aptos"/>
        </w:rPr>
        <w:t>•</w:t>
      </w:r>
      <w:r w:rsidRPr="004462B9">
        <w:rPr>
          <w:rFonts w:ascii="Aptos" w:hAnsi="Aptos"/>
        </w:rPr>
        <w:tab/>
      </w:r>
      <w:r w:rsidRPr="004462B9">
        <w:rPr>
          <w:rFonts w:ascii="Aptos" w:hAnsi="Aptos"/>
          <w:b/>
          <w:bCs/>
        </w:rPr>
        <w:t>Owner:</w:t>
      </w:r>
      <w:r w:rsidRPr="004462B9">
        <w:rPr>
          <w:rFonts w:ascii="Aptos" w:hAnsi="Aptos"/>
        </w:rPr>
        <w:t xml:space="preserve"> CISO / Head of Engineering (Approval by CEO).</w:t>
      </w:r>
      <w:r w:rsidRPr="004462B9">
        <w:rPr>
          <w:rFonts w:ascii="Aptos" w:hAnsi="Aptos"/>
        </w:rPr>
        <w:tab/>
      </w:r>
    </w:p>
    <w:p w14:paraId="78FFC7A7" w14:textId="06DAF292" w:rsidR="004F53B4" w:rsidRPr="004F53B4" w:rsidRDefault="004462B9" w:rsidP="004462B9">
      <w:pPr>
        <w:rPr>
          <w:rFonts w:ascii="Aptos" w:eastAsia="Arial" w:hAnsi="Aptos" w:cs="Arial"/>
          <w:color w:val="1F4E79" w:themeColor="accent1" w:themeShade="80"/>
          <w:sz w:val="32"/>
          <w:szCs w:val="32"/>
        </w:rPr>
      </w:pPr>
      <w:r w:rsidRPr="004462B9">
        <w:rPr>
          <w:rFonts w:ascii="Aptos" w:hAnsi="Aptos"/>
        </w:rPr>
        <w:t>•</w:t>
      </w:r>
      <w:r w:rsidRPr="004462B9">
        <w:rPr>
          <w:rFonts w:ascii="Aptos" w:hAnsi="Aptos"/>
        </w:rPr>
        <w:tab/>
      </w:r>
      <w:r w:rsidRPr="004462B9">
        <w:rPr>
          <w:rFonts w:ascii="Aptos" w:hAnsi="Aptos"/>
          <w:b/>
          <w:bCs/>
        </w:rPr>
        <w:t>Required Information:</w:t>
      </w:r>
      <w:r w:rsidRPr="004462B9">
        <w:rPr>
          <w:rFonts w:ascii="Aptos" w:hAnsi="Aptos"/>
        </w:rPr>
        <w:t xml:space="preserve"> A detailed forensic description of the incident, its severity and total impact, the exact type of threat or root cause, applied and ongoing risk mitigation measures, and a final assessment of cross-border impacts.</w:t>
      </w:r>
      <w:r w:rsidR="004F53B4" w:rsidRPr="004F53B4">
        <w:rPr>
          <w:rFonts w:ascii="Aptos" w:hAnsi="Aptos"/>
          <w:color w:val="1F4E79" w:themeColor="accent1" w:themeShade="80"/>
        </w:rPr>
        <w:br w:type="page"/>
      </w:r>
    </w:p>
    <w:p w14:paraId="72FB96A7" w14:textId="66F2504F" w:rsidR="00381BBA" w:rsidRPr="004F53B4" w:rsidRDefault="00000000" w:rsidP="00D61372">
      <w:pPr>
        <w:pStyle w:val="Heading2"/>
        <w:rPr>
          <w:rFonts w:ascii="Aptos" w:hAnsi="Aptos"/>
          <w:color w:val="1F4E79" w:themeColor="accent1" w:themeShade="80"/>
        </w:rPr>
      </w:pPr>
      <w:r w:rsidRPr="004F53B4">
        <w:rPr>
          <w:rFonts w:ascii="Aptos" w:hAnsi="Aptos"/>
          <w:color w:val="1F4E79" w:themeColor="accent1" w:themeShade="80"/>
        </w:rPr>
        <w:lastRenderedPageBreak/>
        <w:t xml:space="preserve">4. </w:t>
      </w:r>
      <w:r w:rsidR="00D07B7D" w:rsidRPr="004F53B4">
        <w:rPr>
          <w:rFonts w:ascii="Aptos" w:hAnsi="Aptos"/>
          <w:color w:val="1F4E79" w:themeColor="accent1" w:themeShade="80"/>
        </w:rPr>
        <w:t>Parallel Reporting Obligations (The "Double Notification" Rule)</w:t>
      </w:r>
    </w:p>
    <w:p w14:paraId="0B662A52" w14:textId="77777777" w:rsidR="00D07B7D" w:rsidRPr="004F53B4" w:rsidRDefault="00D07B7D">
      <w:pPr>
        <w:pStyle w:val="Heading5"/>
        <w:rPr>
          <w:rFonts w:ascii="Aptos" w:eastAsiaTheme="minorHAnsi" w:hAnsi="Aptos" w:cstheme="minorBidi"/>
          <w:color w:val="auto"/>
        </w:rPr>
      </w:pPr>
      <w:r w:rsidRPr="004F53B4">
        <w:rPr>
          <w:rFonts w:ascii="Aptos" w:eastAsiaTheme="minorHAnsi" w:hAnsi="Aptos" w:cstheme="minorBidi"/>
          <w:color w:val="auto"/>
        </w:rPr>
        <w:t>A cyber incident at MunichTech GmbH may trigger parallel legal obligations. The Legal Counsel is responsible for managing the following concurrent workflows:</w:t>
      </w:r>
    </w:p>
    <w:p w14:paraId="4C97C095" w14:textId="6B912C22" w:rsidR="00381BBA" w:rsidRPr="004F53B4" w:rsidRDefault="00381BBA">
      <w:pPr>
        <w:rPr>
          <w:rFonts w:ascii="Aptos" w:hAnsi="Aptos"/>
        </w:rPr>
      </w:pPr>
    </w:p>
    <w:tbl>
      <w:tblPr>
        <w:tblStyle w:val="TableGrid"/>
        <w:tblW w:w="9465" w:type="dxa"/>
        <w:tblLook w:val="04A0" w:firstRow="1" w:lastRow="0" w:firstColumn="1" w:lastColumn="0" w:noHBand="0" w:noVBand="1"/>
      </w:tblPr>
      <w:tblGrid>
        <w:gridCol w:w="2607"/>
        <w:gridCol w:w="1798"/>
        <w:gridCol w:w="2970"/>
        <w:gridCol w:w="2090"/>
      </w:tblGrid>
      <w:tr w:rsidR="00D07B7D" w:rsidRPr="004F53B4" w14:paraId="217F0449" w14:textId="3276885C" w:rsidTr="004F53B4">
        <w:trPr>
          <w:trHeight w:val="615"/>
        </w:trPr>
        <w:tc>
          <w:tcPr>
            <w:tcW w:w="2607" w:type="dxa"/>
            <w:vAlign w:val="center"/>
          </w:tcPr>
          <w:p w14:paraId="74C3EF04" w14:textId="76B060E1"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Regulatory Body</w:t>
            </w:r>
          </w:p>
        </w:tc>
        <w:tc>
          <w:tcPr>
            <w:tcW w:w="1798" w:type="dxa"/>
            <w:vAlign w:val="center"/>
          </w:tcPr>
          <w:p w14:paraId="1BB552F5" w14:textId="67A580E4"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Law / Regulation</w:t>
            </w:r>
          </w:p>
        </w:tc>
        <w:tc>
          <w:tcPr>
            <w:tcW w:w="2970" w:type="dxa"/>
            <w:vAlign w:val="center"/>
          </w:tcPr>
          <w:p w14:paraId="163C4711" w14:textId="03EF289F"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Deadline</w:t>
            </w:r>
          </w:p>
        </w:tc>
        <w:tc>
          <w:tcPr>
            <w:tcW w:w="2090" w:type="dxa"/>
            <w:vAlign w:val="center"/>
          </w:tcPr>
          <w:p w14:paraId="085A0C04" w14:textId="62C1528D" w:rsidR="00D07B7D" w:rsidRPr="004F53B4" w:rsidRDefault="00D07B7D" w:rsidP="004F53B4">
            <w:pPr>
              <w:pStyle w:val="Heading4"/>
              <w:spacing w:before="0" w:after="0"/>
              <w:rPr>
                <w:rFonts w:ascii="Aptos" w:hAnsi="Aptos"/>
                <w:color w:val="1F4E79" w:themeColor="accent1" w:themeShade="80"/>
              </w:rPr>
            </w:pPr>
            <w:r w:rsidRPr="004F53B4">
              <w:rPr>
                <w:rFonts w:ascii="Aptos" w:hAnsi="Aptos"/>
                <w:color w:val="1F4E79" w:themeColor="accent1" w:themeShade="80"/>
              </w:rPr>
              <w:t>Trigger Condition</w:t>
            </w:r>
          </w:p>
        </w:tc>
      </w:tr>
      <w:tr w:rsidR="00D07B7D" w:rsidRPr="004F53B4" w14:paraId="334DAFAD" w14:textId="65EFEDF0" w:rsidTr="004F53B4">
        <w:trPr>
          <w:trHeight w:val="1718"/>
        </w:trPr>
        <w:tc>
          <w:tcPr>
            <w:tcW w:w="2607" w:type="dxa"/>
            <w:vAlign w:val="center"/>
          </w:tcPr>
          <w:p w14:paraId="20D42556" w14:textId="686C66CD" w:rsidR="00D07B7D" w:rsidRPr="004F53B4" w:rsidRDefault="00D07B7D" w:rsidP="004F53B4">
            <w:pPr>
              <w:rPr>
                <w:rFonts w:ascii="Aptos" w:hAnsi="Aptos"/>
              </w:rPr>
            </w:pPr>
            <w:r w:rsidRPr="004F53B4">
              <w:rPr>
                <w:rFonts w:ascii="Aptos" w:hAnsi="Aptos"/>
              </w:rPr>
              <w:t>BSI (Germany)</w:t>
            </w:r>
          </w:p>
        </w:tc>
        <w:tc>
          <w:tcPr>
            <w:tcW w:w="1798" w:type="dxa"/>
            <w:vAlign w:val="center"/>
          </w:tcPr>
          <w:p w14:paraId="05A90C4B" w14:textId="312CB0B9" w:rsidR="00D07B7D" w:rsidRPr="004F53B4" w:rsidRDefault="00D07B7D" w:rsidP="004F53B4">
            <w:pPr>
              <w:rPr>
                <w:rFonts w:ascii="Aptos" w:hAnsi="Aptos"/>
              </w:rPr>
            </w:pPr>
            <w:r w:rsidRPr="004F53B4">
              <w:rPr>
                <w:rFonts w:ascii="Aptos" w:hAnsi="Aptos"/>
              </w:rPr>
              <w:t>NIS2 (BSIG § 32)</w:t>
            </w:r>
          </w:p>
        </w:tc>
        <w:tc>
          <w:tcPr>
            <w:tcW w:w="2970" w:type="dxa"/>
            <w:vAlign w:val="center"/>
          </w:tcPr>
          <w:p w14:paraId="414947A1" w14:textId="0DF6AD37" w:rsidR="00D07B7D" w:rsidRPr="004F53B4" w:rsidRDefault="00D07B7D" w:rsidP="004F53B4">
            <w:pPr>
              <w:rPr>
                <w:rFonts w:ascii="Aptos" w:hAnsi="Aptos"/>
              </w:rPr>
            </w:pPr>
            <w:r w:rsidRPr="004F53B4">
              <w:rPr>
                <w:rFonts w:ascii="Aptos" w:hAnsi="Aptos"/>
              </w:rPr>
              <w:t>24 Hours</w:t>
            </w:r>
          </w:p>
        </w:tc>
        <w:tc>
          <w:tcPr>
            <w:tcW w:w="2090" w:type="dxa"/>
            <w:vAlign w:val="center"/>
          </w:tcPr>
          <w:p w14:paraId="03795677" w14:textId="77777777" w:rsidR="00D07B7D" w:rsidRPr="004F53B4" w:rsidRDefault="00D07B7D" w:rsidP="004F53B4">
            <w:pPr>
              <w:rPr>
                <w:rFonts w:ascii="Aptos" w:hAnsi="Aptos"/>
              </w:rPr>
            </w:pPr>
            <w:r w:rsidRPr="004F53B4">
              <w:rPr>
                <w:rFonts w:ascii="Aptos" w:hAnsi="Aptos"/>
              </w:rPr>
              <w:t>Significant operational disruption or systemic risk.</w:t>
            </w:r>
          </w:p>
          <w:p w14:paraId="4087EA8D" w14:textId="653CB1AA" w:rsidR="00D07B7D" w:rsidRPr="004F53B4" w:rsidRDefault="00D07B7D" w:rsidP="004F53B4">
            <w:pPr>
              <w:rPr>
                <w:rFonts w:ascii="Aptos" w:hAnsi="Aptos"/>
              </w:rPr>
            </w:pPr>
          </w:p>
        </w:tc>
      </w:tr>
      <w:tr w:rsidR="00D07B7D" w:rsidRPr="004F53B4" w14:paraId="062412A4" w14:textId="16857729" w:rsidTr="004F53B4">
        <w:trPr>
          <w:trHeight w:val="2158"/>
        </w:trPr>
        <w:tc>
          <w:tcPr>
            <w:tcW w:w="2607" w:type="dxa"/>
            <w:vAlign w:val="center"/>
          </w:tcPr>
          <w:p w14:paraId="46593E90" w14:textId="0F3B8125" w:rsidR="00D07B7D" w:rsidRPr="004F53B4" w:rsidRDefault="004F53B4" w:rsidP="004F53B4">
            <w:pPr>
              <w:rPr>
                <w:rFonts w:ascii="Aptos" w:hAnsi="Aptos"/>
              </w:rPr>
            </w:pPr>
            <w:r w:rsidRPr="004F53B4">
              <w:rPr>
                <w:rFonts w:ascii="Aptos" w:hAnsi="Aptos"/>
              </w:rPr>
              <w:t>BayLDA (Bavaria)</w:t>
            </w:r>
          </w:p>
        </w:tc>
        <w:tc>
          <w:tcPr>
            <w:tcW w:w="1798" w:type="dxa"/>
            <w:vAlign w:val="center"/>
          </w:tcPr>
          <w:p w14:paraId="68C1F56C" w14:textId="42E16381" w:rsidR="00D07B7D" w:rsidRPr="004F53B4" w:rsidRDefault="004F53B4" w:rsidP="004F53B4">
            <w:pPr>
              <w:rPr>
                <w:rFonts w:ascii="Aptos" w:hAnsi="Aptos"/>
              </w:rPr>
            </w:pPr>
            <w:r w:rsidRPr="004F53B4">
              <w:rPr>
                <w:rFonts w:ascii="Aptos" w:hAnsi="Aptos"/>
              </w:rPr>
              <w:t>DSGVO (GDPR) Art. 33</w:t>
            </w:r>
          </w:p>
        </w:tc>
        <w:tc>
          <w:tcPr>
            <w:tcW w:w="2970" w:type="dxa"/>
            <w:vAlign w:val="center"/>
          </w:tcPr>
          <w:p w14:paraId="73F12BA3" w14:textId="5D68BED6" w:rsidR="00D07B7D" w:rsidRPr="004F53B4" w:rsidRDefault="004F53B4" w:rsidP="004F53B4">
            <w:pPr>
              <w:rPr>
                <w:rFonts w:ascii="Aptos" w:hAnsi="Aptos"/>
              </w:rPr>
            </w:pPr>
            <w:r w:rsidRPr="004F53B4">
              <w:rPr>
                <w:rFonts w:ascii="Aptos" w:hAnsi="Aptos"/>
              </w:rPr>
              <w:t>72 Hours</w:t>
            </w:r>
          </w:p>
        </w:tc>
        <w:tc>
          <w:tcPr>
            <w:tcW w:w="2090" w:type="dxa"/>
            <w:vAlign w:val="center"/>
          </w:tcPr>
          <w:p w14:paraId="19391300" w14:textId="275D3288" w:rsidR="00D07B7D" w:rsidRPr="004F53B4" w:rsidRDefault="004F53B4" w:rsidP="004F53B4">
            <w:pPr>
              <w:rPr>
                <w:rFonts w:ascii="Aptos" w:hAnsi="Aptos"/>
              </w:rPr>
            </w:pPr>
            <w:r w:rsidRPr="004F53B4">
              <w:rPr>
                <w:rFonts w:ascii="Aptos" w:hAnsi="Aptos"/>
              </w:rPr>
              <w:t>The incident involves the accidental or unlawful destruction, loss, alteration, or unauthorized disclosure of personal data (e.g., client PII).</w:t>
            </w:r>
          </w:p>
        </w:tc>
      </w:tr>
      <w:tr w:rsidR="00D07B7D" w:rsidRPr="004F53B4" w14:paraId="15C752AF" w14:textId="463C4371" w:rsidTr="004F53B4">
        <w:trPr>
          <w:trHeight w:val="2135"/>
        </w:trPr>
        <w:tc>
          <w:tcPr>
            <w:tcW w:w="2607" w:type="dxa"/>
            <w:vAlign w:val="center"/>
          </w:tcPr>
          <w:p w14:paraId="30EBCBCF" w14:textId="0086BEFA" w:rsidR="00D07B7D" w:rsidRPr="004F53B4" w:rsidRDefault="004F53B4" w:rsidP="004F53B4">
            <w:pPr>
              <w:rPr>
                <w:rFonts w:ascii="Aptos" w:hAnsi="Aptos"/>
              </w:rPr>
            </w:pPr>
            <w:r w:rsidRPr="004F53B4">
              <w:rPr>
                <w:rFonts w:ascii="Aptos" w:hAnsi="Aptos"/>
              </w:rPr>
              <w:t>Enterprise Clients</w:t>
            </w:r>
          </w:p>
        </w:tc>
        <w:tc>
          <w:tcPr>
            <w:tcW w:w="1798" w:type="dxa"/>
            <w:vAlign w:val="center"/>
          </w:tcPr>
          <w:p w14:paraId="60F6A0CF" w14:textId="7500C9F1" w:rsidR="00D07B7D" w:rsidRPr="004F53B4" w:rsidRDefault="004F53B4" w:rsidP="004F53B4">
            <w:pPr>
              <w:rPr>
                <w:rFonts w:ascii="Aptos" w:hAnsi="Aptos"/>
              </w:rPr>
            </w:pPr>
            <w:r w:rsidRPr="004F53B4">
              <w:rPr>
                <w:rFonts w:ascii="Aptos" w:hAnsi="Aptos"/>
              </w:rPr>
              <w:t>Contracts / BAIT</w:t>
            </w:r>
          </w:p>
        </w:tc>
        <w:tc>
          <w:tcPr>
            <w:tcW w:w="2970" w:type="dxa"/>
            <w:vAlign w:val="center"/>
          </w:tcPr>
          <w:p w14:paraId="70841284" w14:textId="41920B4F" w:rsidR="00D07B7D" w:rsidRPr="004F53B4" w:rsidRDefault="004F53B4" w:rsidP="004F53B4">
            <w:pPr>
              <w:rPr>
                <w:rFonts w:ascii="Aptos" w:hAnsi="Aptos"/>
              </w:rPr>
            </w:pPr>
            <w:r w:rsidRPr="004F53B4">
              <w:rPr>
                <w:rFonts w:ascii="Aptos" w:hAnsi="Aptos"/>
              </w:rPr>
              <w:t>Immediate</w:t>
            </w:r>
          </w:p>
        </w:tc>
        <w:tc>
          <w:tcPr>
            <w:tcW w:w="2090" w:type="dxa"/>
            <w:vAlign w:val="center"/>
          </w:tcPr>
          <w:p w14:paraId="10F4237D" w14:textId="29CA3CED" w:rsidR="00D07B7D" w:rsidRPr="004F53B4" w:rsidRDefault="004F53B4" w:rsidP="004F53B4">
            <w:pPr>
              <w:rPr>
                <w:rFonts w:ascii="Aptos" w:hAnsi="Aptos"/>
              </w:rPr>
            </w:pPr>
            <w:r w:rsidRPr="004F53B4">
              <w:rPr>
                <w:rFonts w:ascii="Aptos" w:hAnsi="Aptos"/>
              </w:rPr>
              <w:t>The BSI orders MunichTech to inform clients, OR the incident directly impacts the provision of services to the client.</w:t>
            </w:r>
          </w:p>
        </w:tc>
      </w:tr>
    </w:tbl>
    <w:p w14:paraId="31F3C989" w14:textId="77777777" w:rsidR="00381BBA" w:rsidRPr="004F53B4" w:rsidRDefault="00381BBA">
      <w:pPr>
        <w:rPr>
          <w:rFonts w:ascii="Aptos" w:hAnsi="Aptos"/>
        </w:rPr>
      </w:pPr>
    </w:p>
    <w:p w14:paraId="3529AD45" w14:textId="40FD8F29" w:rsidR="00381BBA" w:rsidRPr="004F53B4" w:rsidRDefault="00000000" w:rsidP="0040212B">
      <w:pPr>
        <w:pStyle w:val="Heading2"/>
        <w:rPr>
          <w:rFonts w:ascii="Aptos" w:hAnsi="Aptos"/>
          <w:color w:val="1F4E79" w:themeColor="accent1" w:themeShade="80"/>
        </w:rPr>
      </w:pPr>
      <w:r w:rsidRPr="004F53B4">
        <w:rPr>
          <w:rFonts w:ascii="Aptos" w:hAnsi="Aptos"/>
          <w:color w:val="1F4E79" w:themeColor="accent1" w:themeShade="80"/>
        </w:rPr>
        <w:t xml:space="preserve">5. </w:t>
      </w:r>
      <w:r w:rsidR="004F53B4" w:rsidRPr="004F53B4">
        <w:rPr>
          <w:rFonts w:ascii="Aptos" w:hAnsi="Aptos"/>
          <w:color w:val="1F4E79" w:themeColor="accent1" w:themeShade="80"/>
        </w:rPr>
        <w:t>Executive Accountability (NIS2 Article 20)</w:t>
      </w:r>
    </w:p>
    <w:p w14:paraId="33945DE1" w14:textId="77777777" w:rsidR="004F53B4" w:rsidRPr="004F53B4" w:rsidRDefault="004F53B4" w:rsidP="004F53B4">
      <w:pPr>
        <w:pStyle w:val="Heading2"/>
        <w:rPr>
          <w:rFonts w:ascii="Aptos" w:eastAsiaTheme="minorHAnsi" w:hAnsi="Aptos" w:cstheme="minorBidi"/>
          <w:color w:val="auto"/>
          <w:sz w:val="22"/>
          <w:szCs w:val="22"/>
        </w:rPr>
      </w:pPr>
      <w:r w:rsidRPr="004F53B4">
        <w:rPr>
          <w:rFonts w:ascii="Aptos" w:eastAsiaTheme="minorHAnsi" w:hAnsi="Aptos" w:cstheme="minorBidi"/>
          <w:color w:val="auto"/>
          <w:sz w:val="22"/>
          <w:szCs w:val="22"/>
        </w:rPr>
        <w:t>Under NIS2 Article 20, the management body (Managing Directors / CEO) of MunichTech GmbH must approve the cybersecurity risk-management measures and oversee their implementation.</w:t>
      </w:r>
    </w:p>
    <w:p w14:paraId="23613FCF" w14:textId="5DE2587A" w:rsidR="00D61372" w:rsidRPr="004F53B4" w:rsidRDefault="004F53B4" w:rsidP="004F53B4">
      <w:pPr>
        <w:pStyle w:val="Heading2"/>
        <w:rPr>
          <w:rFonts w:ascii="Aptos" w:hAnsi="Aptos"/>
        </w:rPr>
      </w:pPr>
      <w:r w:rsidRPr="004F53B4">
        <w:rPr>
          <w:rFonts w:ascii="Aptos" w:eastAsiaTheme="minorHAnsi" w:hAnsi="Aptos" w:cstheme="minorBidi"/>
          <w:color w:val="auto"/>
          <w:sz w:val="22"/>
          <w:szCs w:val="22"/>
        </w:rPr>
        <w:t>Failure to adhere to this reporting workflow may result in administrative fines for the company, the temporary suspension of managerial responsibilities, and personal financial liability for the executive board. To satisfy this requirement, the CEO must explicitly sign off on the 72-Hour Incident Notification and the 1-Month Final Report prior to their submission to the BSI.</w:t>
      </w:r>
    </w:p>
    <w:p w14:paraId="289D0542" w14:textId="15D1F3E5" w:rsidR="00381BBA" w:rsidRPr="004F53B4" w:rsidRDefault="00381BBA">
      <w:pPr>
        <w:rPr>
          <w:rFonts w:ascii="Aptos" w:hAnsi="Aptos"/>
        </w:rPr>
      </w:pPr>
    </w:p>
    <w:tbl>
      <w:tblPr>
        <w:tblStyle w:val="TableGrid"/>
        <w:tblW w:w="0" w:type="auto"/>
        <w:tblLook w:val="04A0" w:firstRow="1" w:lastRow="0" w:firstColumn="1" w:lastColumn="0" w:noHBand="0" w:noVBand="1"/>
      </w:tblPr>
      <w:tblGrid>
        <w:gridCol w:w="9350"/>
      </w:tblGrid>
      <w:tr w:rsidR="00381BBA" w:rsidRPr="004F53B4" w14:paraId="596E338C" w14:textId="77777777" w:rsidTr="0040212B">
        <w:trPr>
          <w:trHeight w:val="8552"/>
        </w:trPr>
        <w:tc>
          <w:tcPr>
            <w:tcW w:w="9360" w:type="dxa"/>
            <w:vAlign w:val="center"/>
          </w:tcPr>
          <w:p w14:paraId="2ADF7172" w14:textId="77777777" w:rsidR="00381BBA" w:rsidRPr="004F53B4" w:rsidRDefault="00381BBA">
            <w:pPr>
              <w:jc w:val="center"/>
              <w:rPr>
                <w:rFonts w:ascii="Aptos" w:hAnsi="Aptos"/>
              </w:rPr>
            </w:pPr>
          </w:p>
          <w:p w14:paraId="590FEC4B" w14:textId="77777777" w:rsidR="00381BBA" w:rsidRPr="004F53B4" w:rsidRDefault="00000000">
            <w:pPr>
              <w:pStyle w:val="Heading2"/>
              <w:jc w:val="center"/>
              <w:rPr>
                <w:rFonts w:ascii="Aptos" w:hAnsi="Aptos"/>
                <w:color w:val="1F4E79" w:themeColor="accent1" w:themeShade="80"/>
              </w:rPr>
            </w:pPr>
            <w:r w:rsidRPr="004F53B4">
              <w:rPr>
                <w:rFonts w:ascii="Aptos" w:hAnsi="Aptos"/>
                <w:color w:val="1F4E79" w:themeColor="accent1" w:themeShade="80"/>
              </w:rPr>
              <w:t>DOCUMENT APPROVAL</w:t>
            </w:r>
          </w:p>
          <w:p w14:paraId="52E8D6D5" w14:textId="77777777" w:rsidR="00381BBA" w:rsidRPr="004F53B4"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4F53B4" w14:paraId="01AC352C" w14:textId="77777777" w:rsidTr="0040212B">
              <w:trPr>
                <w:trHeight w:val="417"/>
              </w:trPr>
              <w:tc>
                <w:tcPr>
                  <w:tcW w:w="4572" w:type="dxa"/>
                  <w:vAlign w:val="center"/>
                </w:tcPr>
                <w:p w14:paraId="49867E33" w14:textId="77777777" w:rsidR="00381BBA" w:rsidRPr="004F53B4" w:rsidRDefault="00000000">
                  <w:pPr>
                    <w:pStyle w:val="Heading4"/>
                    <w:rPr>
                      <w:rFonts w:ascii="Aptos" w:hAnsi="Aptos"/>
                      <w:color w:val="1F4E79" w:themeColor="accent1" w:themeShade="80"/>
                    </w:rPr>
                  </w:pPr>
                  <w:r w:rsidRPr="004F53B4">
                    <w:rPr>
                      <w:rFonts w:ascii="Aptos" w:hAnsi="Aptos"/>
                      <w:color w:val="1F4E79" w:themeColor="accent1" w:themeShade="80"/>
                    </w:rPr>
                    <w:t>PREPARED BY</w:t>
                  </w:r>
                </w:p>
              </w:tc>
              <w:tc>
                <w:tcPr>
                  <w:tcW w:w="4572" w:type="dxa"/>
                  <w:vAlign w:val="center"/>
                </w:tcPr>
                <w:p w14:paraId="47A435AE" w14:textId="77777777" w:rsidR="00381BBA" w:rsidRPr="004F53B4" w:rsidRDefault="00381BBA">
                  <w:pPr>
                    <w:jc w:val="center"/>
                    <w:rPr>
                      <w:rFonts w:ascii="Aptos" w:hAnsi="Aptos"/>
                    </w:rPr>
                  </w:pPr>
                </w:p>
              </w:tc>
            </w:tr>
            <w:tr w:rsidR="00381BBA" w:rsidRPr="004F53B4" w14:paraId="2C8D241F" w14:textId="77777777" w:rsidTr="0040212B">
              <w:trPr>
                <w:trHeight w:val="438"/>
              </w:trPr>
              <w:tc>
                <w:tcPr>
                  <w:tcW w:w="4572" w:type="dxa"/>
                  <w:vAlign w:val="center"/>
                </w:tcPr>
                <w:p w14:paraId="46808E1C"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4CD899B2" w14:textId="77777777" w:rsidR="00381BBA" w:rsidRPr="004F53B4" w:rsidRDefault="00000000">
                  <w:pPr>
                    <w:jc w:val="center"/>
                    <w:rPr>
                      <w:rFonts w:ascii="Aptos" w:hAnsi="Aptos"/>
                    </w:rPr>
                  </w:pPr>
                  <w:r w:rsidRPr="004F53B4">
                    <w:rPr>
                      <w:rFonts w:ascii="Aptos" w:hAnsi="Aptos"/>
                    </w:rPr>
                    <w:t>Austin Bond</w:t>
                  </w:r>
                </w:p>
              </w:tc>
            </w:tr>
            <w:tr w:rsidR="00381BBA" w:rsidRPr="004F53B4" w14:paraId="25069471" w14:textId="77777777" w:rsidTr="0040212B">
              <w:trPr>
                <w:trHeight w:val="415"/>
              </w:trPr>
              <w:tc>
                <w:tcPr>
                  <w:tcW w:w="4572" w:type="dxa"/>
                  <w:vAlign w:val="center"/>
                </w:tcPr>
                <w:p w14:paraId="3DAF86AA"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11CDF397" w14:textId="77777777" w:rsidR="00381BBA" w:rsidRPr="004F53B4" w:rsidRDefault="00000000">
                  <w:pPr>
                    <w:jc w:val="center"/>
                    <w:rPr>
                      <w:rFonts w:ascii="Aptos" w:hAnsi="Aptos"/>
                    </w:rPr>
                  </w:pPr>
                  <w:r w:rsidRPr="004F53B4">
                    <w:rPr>
                      <w:rFonts w:ascii="Aptos" w:hAnsi="Aptos"/>
                    </w:rPr>
                    <w:t>Junior GRC Consultant</w:t>
                  </w:r>
                </w:p>
              </w:tc>
            </w:tr>
            <w:tr w:rsidR="00381BBA" w:rsidRPr="004F53B4" w14:paraId="0C4AD99C" w14:textId="77777777" w:rsidTr="0040212B">
              <w:trPr>
                <w:trHeight w:val="415"/>
              </w:trPr>
              <w:tc>
                <w:tcPr>
                  <w:tcW w:w="4572" w:type="dxa"/>
                  <w:vAlign w:val="center"/>
                </w:tcPr>
                <w:p w14:paraId="08796974" w14:textId="77777777" w:rsidR="00381BBA" w:rsidRPr="004F53B4" w:rsidRDefault="00000000">
                  <w:pPr>
                    <w:jc w:val="center"/>
                    <w:rPr>
                      <w:rFonts w:ascii="Aptos" w:hAnsi="Aptos"/>
                    </w:rPr>
                  </w:pPr>
                  <w:r w:rsidRPr="004F53B4">
                    <w:rPr>
                      <w:rFonts w:ascii="Aptos" w:hAnsi="Aptos"/>
                    </w:rPr>
                    <w:t>Date</w:t>
                  </w:r>
                </w:p>
              </w:tc>
              <w:tc>
                <w:tcPr>
                  <w:tcW w:w="4572" w:type="dxa"/>
                  <w:vAlign w:val="center"/>
                </w:tcPr>
                <w:p w14:paraId="34CF35AC" w14:textId="77777777" w:rsidR="00381BBA" w:rsidRPr="004F53B4" w:rsidRDefault="00000000">
                  <w:pPr>
                    <w:jc w:val="center"/>
                    <w:rPr>
                      <w:rFonts w:ascii="Aptos" w:hAnsi="Aptos"/>
                    </w:rPr>
                  </w:pPr>
                  <w:r w:rsidRPr="004F53B4">
                    <w:rPr>
                      <w:rFonts w:ascii="Aptos" w:hAnsi="Aptos"/>
                    </w:rPr>
                    <w:t>[Date]</w:t>
                  </w:r>
                </w:p>
              </w:tc>
            </w:tr>
            <w:tr w:rsidR="00381BBA" w:rsidRPr="004F53B4" w14:paraId="5B613556" w14:textId="77777777" w:rsidTr="0040212B">
              <w:trPr>
                <w:trHeight w:val="641"/>
              </w:trPr>
              <w:tc>
                <w:tcPr>
                  <w:tcW w:w="4572" w:type="dxa"/>
                  <w:vAlign w:val="center"/>
                </w:tcPr>
                <w:p w14:paraId="2E8AEC25" w14:textId="77777777" w:rsidR="00381BBA" w:rsidRPr="004F53B4" w:rsidRDefault="00000000">
                  <w:pPr>
                    <w:jc w:val="center"/>
                    <w:rPr>
                      <w:rFonts w:ascii="Aptos" w:hAnsi="Aptos"/>
                    </w:rPr>
                  </w:pPr>
                  <w:r w:rsidRPr="004F53B4">
                    <w:rPr>
                      <w:rFonts w:ascii="Aptos" w:hAnsi="Aptos"/>
                    </w:rPr>
                    <w:t>Signature</w:t>
                  </w:r>
                </w:p>
              </w:tc>
              <w:tc>
                <w:tcPr>
                  <w:tcW w:w="4572" w:type="dxa"/>
                  <w:vAlign w:val="center"/>
                </w:tcPr>
                <w:p w14:paraId="2292234E" w14:textId="77777777" w:rsidR="00381BBA" w:rsidRPr="004F53B4" w:rsidRDefault="00381BBA">
                  <w:pPr>
                    <w:jc w:val="center"/>
                    <w:rPr>
                      <w:rFonts w:ascii="Aptos" w:hAnsi="Aptos"/>
                    </w:rPr>
                  </w:pPr>
                </w:p>
              </w:tc>
            </w:tr>
            <w:tr w:rsidR="00381BBA" w:rsidRPr="004F53B4" w14:paraId="64FC2971" w14:textId="77777777" w:rsidTr="0040212B">
              <w:trPr>
                <w:trHeight w:val="329"/>
              </w:trPr>
              <w:tc>
                <w:tcPr>
                  <w:tcW w:w="4572" w:type="dxa"/>
                  <w:vAlign w:val="center"/>
                </w:tcPr>
                <w:p w14:paraId="3B480174" w14:textId="77777777" w:rsidR="00381BBA" w:rsidRPr="004F53B4" w:rsidRDefault="00000000">
                  <w:pPr>
                    <w:pStyle w:val="Heading4"/>
                    <w:rPr>
                      <w:rFonts w:ascii="Aptos" w:hAnsi="Aptos"/>
                    </w:rPr>
                  </w:pPr>
                  <w:r w:rsidRPr="004F53B4">
                    <w:rPr>
                      <w:rFonts w:ascii="Aptos" w:hAnsi="Aptos"/>
                      <w:color w:val="1F4E79" w:themeColor="accent1" w:themeShade="80"/>
                    </w:rPr>
                    <w:t>REVIEWED BY</w:t>
                  </w:r>
                </w:p>
              </w:tc>
              <w:tc>
                <w:tcPr>
                  <w:tcW w:w="4572" w:type="dxa"/>
                  <w:vAlign w:val="center"/>
                </w:tcPr>
                <w:p w14:paraId="546C977B" w14:textId="77777777" w:rsidR="00381BBA" w:rsidRPr="004F53B4" w:rsidRDefault="00381BBA">
                  <w:pPr>
                    <w:jc w:val="center"/>
                    <w:rPr>
                      <w:rFonts w:ascii="Aptos" w:hAnsi="Aptos"/>
                    </w:rPr>
                  </w:pPr>
                </w:p>
              </w:tc>
            </w:tr>
            <w:tr w:rsidR="00381BBA" w:rsidRPr="004F53B4" w14:paraId="5ED95D3C" w14:textId="77777777" w:rsidTr="0040212B">
              <w:trPr>
                <w:trHeight w:val="415"/>
              </w:trPr>
              <w:tc>
                <w:tcPr>
                  <w:tcW w:w="4572" w:type="dxa"/>
                  <w:vAlign w:val="center"/>
                </w:tcPr>
                <w:p w14:paraId="38CEB323"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6CBB0C72" w14:textId="77777777" w:rsidR="00381BBA" w:rsidRPr="004F53B4" w:rsidRDefault="00000000">
                  <w:pPr>
                    <w:tabs>
                      <w:tab w:val="left" w:pos="1424"/>
                    </w:tabs>
                    <w:jc w:val="center"/>
                    <w:rPr>
                      <w:rFonts w:ascii="Aptos" w:hAnsi="Aptos"/>
                    </w:rPr>
                  </w:pPr>
                  <w:r w:rsidRPr="004F53B4">
                    <w:rPr>
                      <w:rFonts w:ascii="Aptos" w:hAnsi="Aptos"/>
                    </w:rPr>
                    <w:t>[Senior GRC Partner Name]</w:t>
                  </w:r>
                </w:p>
              </w:tc>
            </w:tr>
            <w:tr w:rsidR="00381BBA" w:rsidRPr="004F53B4" w14:paraId="0B9B166E" w14:textId="77777777" w:rsidTr="0040212B">
              <w:trPr>
                <w:trHeight w:val="557"/>
              </w:trPr>
              <w:tc>
                <w:tcPr>
                  <w:tcW w:w="4572" w:type="dxa"/>
                  <w:vAlign w:val="center"/>
                </w:tcPr>
                <w:p w14:paraId="53DAAF52"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0784C58B" w14:textId="77777777" w:rsidR="00381BBA" w:rsidRPr="004F53B4" w:rsidRDefault="00000000">
                  <w:pPr>
                    <w:jc w:val="center"/>
                    <w:rPr>
                      <w:rFonts w:ascii="Aptos" w:hAnsi="Aptos"/>
                    </w:rPr>
                  </w:pPr>
                  <w:r w:rsidRPr="004F53B4">
                    <w:rPr>
                      <w:rFonts w:ascii="Aptos" w:hAnsi="Aptos"/>
                    </w:rPr>
                    <w:t>Senior GRC Partner, CISM | ISO 27001 Lead Auditor</w:t>
                  </w:r>
                </w:p>
              </w:tc>
            </w:tr>
            <w:tr w:rsidR="00381BBA" w:rsidRPr="004F53B4" w14:paraId="0CCF9993" w14:textId="77777777" w:rsidTr="0040212B">
              <w:trPr>
                <w:trHeight w:val="415"/>
              </w:trPr>
              <w:tc>
                <w:tcPr>
                  <w:tcW w:w="4572" w:type="dxa"/>
                  <w:vAlign w:val="center"/>
                </w:tcPr>
                <w:p w14:paraId="57B81E86" w14:textId="77777777" w:rsidR="00381BBA" w:rsidRPr="004F53B4" w:rsidRDefault="00000000">
                  <w:pPr>
                    <w:jc w:val="center"/>
                    <w:rPr>
                      <w:rFonts w:ascii="Aptos" w:hAnsi="Aptos"/>
                    </w:rPr>
                  </w:pPr>
                  <w:r w:rsidRPr="004F53B4">
                    <w:rPr>
                      <w:rFonts w:ascii="Aptos" w:hAnsi="Aptos"/>
                    </w:rPr>
                    <w:t>Date</w:t>
                  </w:r>
                </w:p>
              </w:tc>
              <w:tc>
                <w:tcPr>
                  <w:tcW w:w="4572" w:type="dxa"/>
                  <w:vAlign w:val="center"/>
                </w:tcPr>
                <w:p w14:paraId="4D77ED18" w14:textId="77777777" w:rsidR="00381BBA" w:rsidRPr="004F53B4" w:rsidRDefault="00000000">
                  <w:pPr>
                    <w:jc w:val="center"/>
                    <w:rPr>
                      <w:rFonts w:ascii="Aptos" w:hAnsi="Aptos"/>
                    </w:rPr>
                  </w:pPr>
                  <w:r w:rsidRPr="004F53B4">
                    <w:rPr>
                      <w:rFonts w:ascii="Aptos" w:hAnsi="Aptos"/>
                    </w:rPr>
                    <w:t>[Date]</w:t>
                  </w:r>
                </w:p>
              </w:tc>
            </w:tr>
            <w:tr w:rsidR="00381BBA" w:rsidRPr="004F53B4" w14:paraId="5EDE434F" w14:textId="77777777" w:rsidTr="0040212B">
              <w:trPr>
                <w:trHeight w:val="701"/>
              </w:trPr>
              <w:tc>
                <w:tcPr>
                  <w:tcW w:w="4572" w:type="dxa"/>
                  <w:vAlign w:val="center"/>
                </w:tcPr>
                <w:p w14:paraId="13434671" w14:textId="77777777" w:rsidR="00381BBA" w:rsidRPr="004F53B4" w:rsidRDefault="00000000">
                  <w:pPr>
                    <w:jc w:val="center"/>
                    <w:rPr>
                      <w:rFonts w:ascii="Aptos" w:hAnsi="Aptos"/>
                    </w:rPr>
                  </w:pPr>
                  <w:r w:rsidRPr="004F53B4">
                    <w:rPr>
                      <w:rFonts w:ascii="Aptos" w:hAnsi="Aptos"/>
                    </w:rPr>
                    <w:t>Signature</w:t>
                  </w:r>
                </w:p>
              </w:tc>
              <w:tc>
                <w:tcPr>
                  <w:tcW w:w="4572" w:type="dxa"/>
                  <w:vAlign w:val="center"/>
                </w:tcPr>
                <w:p w14:paraId="16F20CB5" w14:textId="77777777" w:rsidR="00381BBA" w:rsidRPr="004F53B4" w:rsidRDefault="00381BBA">
                  <w:pPr>
                    <w:jc w:val="center"/>
                    <w:rPr>
                      <w:rFonts w:ascii="Aptos" w:hAnsi="Aptos"/>
                    </w:rPr>
                  </w:pPr>
                </w:p>
              </w:tc>
            </w:tr>
            <w:tr w:rsidR="00381BBA" w:rsidRPr="004F53B4" w14:paraId="6AEF3617" w14:textId="77777777" w:rsidTr="0040212B">
              <w:trPr>
                <w:trHeight w:val="444"/>
              </w:trPr>
              <w:tc>
                <w:tcPr>
                  <w:tcW w:w="4572" w:type="dxa"/>
                  <w:vAlign w:val="center"/>
                </w:tcPr>
                <w:p w14:paraId="0FC91973" w14:textId="77777777" w:rsidR="00381BBA" w:rsidRPr="004F53B4" w:rsidRDefault="00000000">
                  <w:pPr>
                    <w:pStyle w:val="Heading4"/>
                    <w:rPr>
                      <w:rFonts w:ascii="Aptos" w:hAnsi="Aptos"/>
                    </w:rPr>
                  </w:pPr>
                  <w:r w:rsidRPr="004F53B4">
                    <w:rPr>
                      <w:rFonts w:ascii="Aptos" w:hAnsi="Aptos"/>
                      <w:color w:val="1F4E79" w:themeColor="accent1" w:themeShade="80"/>
                    </w:rPr>
                    <w:t>APPROVED BY</w:t>
                  </w:r>
                </w:p>
              </w:tc>
              <w:tc>
                <w:tcPr>
                  <w:tcW w:w="4572" w:type="dxa"/>
                  <w:vAlign w:val="center"/>
                </w:tcPr>
                <w:p w14:paraId="30E20BE6" w14:textId="77777777" w:rsidR="00381BBA" w:rsidRPr="004F53B4" w:rsidRDefault="00381BBA">
                  <w:pPr>
                    <w:jc w:val="center"/>
                    <w:rPr>
                      <w:rFonts w:ascii="Aptos" w:hAnsi="Aptos"/>
                    </w:rPr>
                  </w:pPr>
                </w:p>
              </w:tc>
            </w:tr>
            <w:tr w:rsidR="00381BBA" w:rsidRPr="004F53B4" w14:paraId="5D489E59" w14:textId="77777777" w:rsidTr="0040212B">
              <w:trPr>
                <w:trHeight w:val="415"/>
              </w:trPr>
              <w:tc>
                <w:tcPr>
                  <w:tcW w:w="4572" w:type="dxa"/>
                  <w:vAlign w:val="center"/>
                </w:tcPr>
                <w:p w14:paraId="75FB11C1" w14:textId="77777777" w:rsidR="00381BBA" w:rsidRPr="004F53B4" w:rsidRDefault="00000000">
                  <w:pPr>
                    <w:jc w:val="center"/>
                    <w:rPr>
                      <w:rFonts w:ascii="Aptos" w:hAnsi="Aptos"/>
                    </w:rPr>
                  </w:pPr>
                  <w:r w:rsidRPr="004F53B4">
                    <w:rPr>
                      <w:rFonts w:ascii="Aptos" w:hAnsi="Aptos"/>
                    </w:rPr>
                    <w:t>Name</w:t>
                  </w:r>
                </w:p>
              </w:tc>
              <w:tc>
                <w:tcPr>
                  <w:tcW w:w="4572" w:type="dxa"/>
                  <w:vAlign w:val="center"/>
                </w:tcPr>
                <w:p w14:paraId="3BE50DA1" w14:textId="77777777" w:rsidR="00381BBA" w:rsidRPr="004F53B4" w:rsidRDefault="00000000">
                  <w:pPr>
                    <w:jc w:val="center"/>
                    <w:rPr>
                      <w:rFonts w:ascii="Aptos" w:hAnsi="Aptos"/>
                    </w:rPr>
                  </w:pPr>
                  <w:r w:rsidRPr="004F53B4">
                    <w:rPr>
                      <w:rFonts w:ascii="Aptos" w:hAnsi="Aptos"/>
                    </w:rPr>
                    <w:t>[CEO / Managing Director Name]</w:t>
                  </w:r>
                </w:p>
              </w:tc>
            </w:tr>
            <w:tr w:rsidR="00381BBA" w:rsidRPr="004F53B4" w14:paraId="1776A378" w14:textId="77777777" w:rsidTr="0040212B">
              <w:trPr>
                <w:trHeight w:val="415"/>
              </w:trPr>
              <w:tc>
                <w:tcPr>
                  <w:tcW w:w="4572" w:type="dxa"/>
                  <w:vAlign w:val="center"/>
                </w:tcPr>
                <w:p w14:paraId="45EF9366" w14:textId="77777777" w:rsidR="00381BBA" w:rsidRPr="004F53B4" w:rsidRDefault="00000000">
                  <w:pPr>
                    <w:jc w:val="center"/>
                    <w:rPr>
                      <w:rFonts w:ascii="Aptos" w:hAnsi="Aptos"/>
                    </w:rPr>
                  </w:pPr>
                  <w:r w:rsidRPr="004F53B4">
                    <w:rPr>
                      <w:rFonts w:ascii="Aptos" w:hAnsi="Aptos"/>
                    </w:rPr>
                    <w:t>Title</w:t>
                  </w:r>
                </w:p>
              </w:tc>
              <w:tc>
                <w:tcPr>
                  <w:tcW w:w="4572" w:type="dxa"/>
                  <w:vAlign w:val="center"/>
                </w:tcPr>
                <w:p w14:paraId="12F68C72" w14:textId="77777777" w:rsidR="00381BBA" w:rsidRPr="004F53B4" w:rsidRDefault="00000000">
                  <w:pPr>
                    <w:jc w:val="center"/>
                    <w:rPr>
                      <w:rFonts w:ascii="Aptos" w:hAnsi="Aptos"/>
                    </w:rPr>
                  </w:pPr>
                  <w:r w:rsidRPr="004F53B4">
                    <w:rPr>
                      <w:rFonts w:ascii="Aptos" w:hAnsi="Aptos"/>
                    </w:rPr>
                    <w:t>Chief Executive Officer, MunichTech GmbH</w:t>
                  </w:r>
                </w:p>
              </w:tc>
            </w:tr>
            <w:tr w:rsidR="00381BBA" w:rsidRPr="004F53B4" w14:paraId="5592A033" w14:textId="77777777" w:rsidTr="0040212B">
              <w:trPr>
                <w:trHeight w:val="415"/>
              </w:trPr>
              <w:tc>
                <w:tcPr>
                  <w:tcW w:w="4572" w:type="dxa"/>
                  <w:vMerge w:val="restart"/>
                  <w:vAlign w:val="center"/>
                </w:tcPr>
                <w:p w14:paraId="3D69F2F5" w14:textId="77777777" w:rsidR="00381BBA" w:rsidRPr="004F53B4" w:rsidRDefault="00000000">
                  <w:pPr>
                    <w:jc w:val="center"/>
                    <w:rPr>
                      <w:rFonts w:ascii="Aptos" w:hAnsi="Aptos"/>
                    </w:rPr>
                  </w:pPr>
                  <w:r w:rsidRPr="004F53B4">
                    <w:rPr>
                      <w:rFonts w:ascii="Aptos" w:hAnsi="Aptos"/>
                    </w:rPr>
                    <w:t>Date</w:t>
                  </w:r>
                </w:p>
              </w:tc>
              <w:tc>
                <w:tcPr>
                  <w:tcW w:w="4572" w:type="dxa"/>
                  <w:vMerge w:val="restart"/>
                  <w:vAlign w:val="center"/>
                </w:tcPr>
                <w:p w14:paraId="249A7BF8" w14:textId="77777777" w:rsidR="00381BBA" w:rsidRPr="004F53B4" w:rsidRDefault="00000000">
                  <w:pPr>
                    <w:jc w:val="center"/>
                    <w:rPr>
                      <w:rFonts w:ascii="Aptos" w:hAnsi="Aptos"/>
                    </w:rPr>
                  </w:pPr>
                  <w:r w:rsidRPr="004F53B4">
                    <w:rPr>
                      <w:rFonts w:ascii="Aptos" w:hAnsi="Aptos"/>
                    </w:rPr>
                    <w:t>[Date]</w:t>
                  </w:r>
                </w:p>
              </w:tc>
            </w:tr>
            <w:tr w:rsidR="00381BBA" w:rsidRPr="004F53B4" w14:paraId="144C1FA8" w14:textId="77777777" w:rsidTr="0040212B">
              <w:trPr>
                <w:trHeight w:val="670"/>
              </w:trPr>
              <w:tc>
                <w:tcPr>
                  <w:tcW w:w="4572" w:type="dxa"/>
                  <w:vMerge w:val="restart"/>
                  <w:vAlign w:val="center"/>
                </w:tcPr>
                <w:p w14:paraId="7518ACD3" w14:textId="77777777" w:rsidR="00381BBA" w:rsidRPr="004F53B4" w:rsidRDefault="00000000">
                  <w:pPr>
                    <w:jc w:val="center"/>
                    <w:rPr>
                      <w:rFonts w:ascii="Aptos" w:hAnsi="Aptos"/>
                    </w:rPr>
                  </w:pPr>
                  <w:r w:rsidRPr="004F53B4">
                    <w:rPr>
                      <w:rFonts w:ascii="Aptos" w:hAnsi="Aptos"/>
                    </w:rPr>
                    <w:t>Signature</w:t>
                  </w:r>
                </w:p>
              </w:tc>
              <w:tc>
                <w:tcPr>
                  <w:tcW w:w="4572" w:type="dxa"/>
                  <w:vMerge w:val="restart"/>
                  <w:vAlign w:val="center"/>
                </w:tcPr>
                <w:p w14:paraId="4EAB14DC" w14:textId="77777777" w:rsidR="00381BBA" w:rsidRPr="004F53B4" w:rsidRDefault="00381BBA">
                  <w:pPr>
                    <w:jc w:val="center"/>
                    <w:rPr>
                      <w:rFonts w:ascii="Aptos" w:hAnsi="Aptos"/>
                    </w:rPr>
                  </w:pPr>
                </w:p>
              </w:tc>
            </w:tr>
          </w:tbl>
          <w:p w14:paraId="47671A71" w14:textId="77777777" w:rsidR="00381BBA" w:rsidRPr="004F53B4" w:rsidRDefault="00381BBA">
            <w:pPr>
              <w:jc w:val="center"/>
              <w:rPr>
                <w:rFonts w:ascii="Aptos" w:hAnsi="Aptos"/>
              </w:rPr>
            </w:pPr>
          </w:p>
        </w:tc>
      </w:tr>
    </w:tbl>
    <w:p w14:paraId="73BC5B2C" w14:textId="77777777" w:rsidR="00381BBA" w:rsidRPr="004F53B4" w:rsidRDefault="00381BBA">
      <w:pPr>
        <w:rPr>
          <w:rFonts w:ascii="Aptos" w:hAnsi="Aptos"/>
        </w:rPr>
      </w:pPr>
    </w:p>
    <w:p w14:paraId="1C02949B" w14:textId="77777777" w:rsidR="00381BBA" w:rsidRPr="004F53B4" w:rsidRDefault="00381BBA">
      <w:pPr>
        <w:rPr>
          <w:rFonts w:ascii="Aptos" w:hAnsi="Aptos"/>
        </w:rPr>
      </w:pPr>
    </w:p>
    <w:sectPr w:rsidR="00381BBA" w:rsidRPr="004F53B4" w:rsidSect="00413FE1">
      <w:headerReference w:type="default" r:id="rId8"/>
      <w:headerReference w:type="first" r:id="rId9"/>
      <w:pgSz w:w="12240" w:h="15840"/>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241A2" w14:textId="77777777" w:rsidR="00F92AD5" w:rsidRDefault="00F92AD5">
      <w:pPr>
        <w:spacing w:after="0" w:line="240" w:lineRule="auto"/>
      </w:pPr>
      <w:r>
        <w:separator/>
      </w:r>
    </w:p>
  </w:endnote>
  <w:endnote w:type="continuationSeparator" w:id="0">
    <w:p w14:paraId="605F6994" w14:textId="77777777" w:rsidR="00F92AD5" w:rsidRDefault="00F92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5632" w14:textId="77777777" w:rsidR="00F92AD5" w:rsidRDefault="00F92AD5">
      <w:pPr>
        <w:spacing w:after="0" w:line="240" w:lineRule="auto"/>
      </w:pPr>
      <w:r>
        <w:separator/>
      </w:r>
    </w:p>
  </w:footnote>
  <w:footnote w:type="continuationSeparator" w:id="0">
    <w:p w14:paraId="4078DDCC" w14:textId="77777777" w:rsidR="00F92AD5" w:rsidRDefault="00F92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195A"/>
    <w:multiLevelType w:val="hybridMultilevel"/>
    <w:tmpl w:val="A0AA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80744"/>
    <w:multiLevelType w:val="hybridMultilevel"/>
    <w:tmpl w:val="C840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EB582D"/>
    <w:multiLevelType w:val="hybridMultilevel"/>
    <w:tmpl w:val="11DA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3"/>
  </w:num>
  <w:num w:numId="2" w16cid:durableId="219480438">
    <w:abstractNumId w:val="4"/>
  </w:num>
  <w:num w:numId="3" w16cid:durableId="532350802">
    <w:abstractNumId w:val="0"/>
  </w:num>
  <w:num w:numId="4" w16cid:durableId="741758448">
    <w:abstractNumId w:val="2"/>
  </w:num>
  <w:num w:numId="5" w16cid:durableId="1161695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14575"/>
    <w:rsid w:val="00036C15"/>
    <w:rsid w:val="00037438"/>
    <w:rsid w:val="00092D82"/>
    <w:rsid w:val="0024598B"/>
    <w:rsid w:val="00381BBA"/>
    <w:rsid w:val="0040212B"/>
    <w:rsid w:val="00413FE1"/>
    <w:rsid w:val="00425484"/>
    <w:rsid w:val="00442826"/>
    <w:rsid w:val="004451E2"/>
    <w:rsid w:val="004462B9"/>
    <w:rsid w:val="004F53B4"/>
    <w:rsid w:val="0053129D"/>
    <w:rsid w:val="005F2BE0"/>
    <w:rsid w:val="0060178D"/>
    <w:rsid w:val="00635D60"/>
    <w:rsid w:val="00681D6C"/>
    <w:rsid w:val="006B04E8"/>
    <w:rsid w:val="007867A0"/>
    <w:rsid w:val="008D24CF"/>
    <w:rsid w:val="009B2193"/>
    <w:rsid w:val="009E60C9"/>
    <w:rsid w:val="00A0120D"/>
    <w:rsid w:val="00A061A2"/>
    <w:rsid w:val="00AF125F"/>
    <w:rsid w:val="00B92A0E"/>
    <w:rsid w:val="00B94F48"/>
    <w:rsid w:val="00BB0102"/>
    <w:rsid w:val="00C6323F"/>
    <w:rsid w:val="00CF5327"/>
    <w:rsid w:val="00D07B7D"/>
    <w:rsid w:val="00D61372"/>
    <w:rsid w:val="00DA46F9"/>
    <w:rsid w:val="00DD2F61"/>
    <w:rsid w:val="00EB74AB"/>
    <w:rsid w:val="00EC650A"/>
    <w:rsid w:val="00F92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B7D"/>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898</Words>
  <Characters>5125</Characters>
  <Application>Microsoft Office Word</Application>
  <DocSecurity>2</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30</cp:revision>
  <cp:lastPrinted>2026-04-19T07:30:00Z</cp:lastPrinted>
  <dcterms:created xsi:type="dcterms:W3CDTF">2026-04-12T18:12:00Z</dcterms:created>
  <dcterms:modified xsi:type="dcterms:W3CDTF">2026-04-19T07:31:00Z</dcterms:modified>
</cp:coreProperties>
</file>