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432C2" w14:textId="77777777" w:rsidR="0024598B" w:rsidRPr="004F53B4" w:rsidRDefault="00000000" w:rsidP="00EC650A">
      <w:pPr>
        <w:pStyle w:val="Title"/>
        <w:rPr>
          <w:rFonts w:ascii="Aptos" w:hAnsi="Aptos"/>
          <w:sz w:val="40"/>
          <w:szCs w:val="40"/>
        </w:rPr>
      </w:pPr>
      <w:r w:rsidRPr="004F53B4">
        <w:rPr>
          <w:rFonts w:ascii="Aptos" w:hAnsi="Aptos"/>
          <w:sz w:val="40"/>
          <w:szCs w:val="40"/>
        </w:rPr>
        <w:t xml:space="preserve">INFORMATION SECURITY MANAGEMENT SYSTEM </w:t>
      </w:r>
    </w:p>
    <w:p w14:paraId="20DE26A2" w14:textId="56D376C9" w:rsidR="00EC650A" w:rsidRDefault="007867A0" w:rsidP="00EC650A">
      <w:pPr>
        <w:rPr>
          <w:rStyle w:val="SubtitleChar"/>
          <w:rFonts w:ascii="Aptos" w:eastAsia="Arial" w:hAnsi="Aptos" w:cstheme="minorHAnsi"/>
        </w:rPr>
      </w:pPr>
      <w:r w:rsidRPr="007867A0">
        <w:rPr>
          <w:rStyle w:val="SubtitleChar"/>
          <w:rFonts w:ascii="Aptos" w:eastAsia="Arial" w:hAnsi="Aptos" w:cstheme="minorHAnsi"/>
        </w:rPr>
        <w:t>NIS2 Incident Reporting Workflow</w:t>
      </w:r>
    </w:p>
    <w:p w14:paraId="31E46362" w14:textId="77777777" w:rsidR="007867A0" w:rsidRPr="004F53B4" w:rsidRDefault="007867A0" w:rsidP="00EC650A">
      <w:pPr>
        <w:rPr>
          <w:rFonts w:ascii="Aptos" w:hAnsi="Aptos"/>
        </w:rPr>
      </w:pPr>
    </w:p>
    <w:tbl>
      <w:tblPr>
        <w:tblStyle w:val="TableGrid"/>
        <w:tblW w:w="0" w:type="auto"/>
        <w:tblLayout w:type="fixed"/>
        <w:tblLook w:val="04A0" w:firstRow="1" w:lastRow="0" w:firstColumn="1" w:lastColumn="0" w:noHBand="0" w:noVBand="1"/>
      </w:tblPr>
      <w:tblGrid>
        <w:gridCol w:w="3662"/>
        <w:gridCol w:w="5698"/>
      </w:tblGrid>
      <w:tr w:rsidR="00381BBA" w:rsidRPr="004F53B4" w14:paraId="77EAC466" w14:textId="77777777" w:rsidTr="0040212B">
        <w:trPr>
          <w:trHeight w:val="432"/>
        </w:trPr>
        <w:tc>
          <w:tcPr>
            <w:tcW w:w="3662" w:type="dxa"/>
            <w:vAlign w:val="center"/>
          </w:tcPr>
          <w:p w14:paraId="2558D5ED" w14:textId="77777777" w:rsidR="00381BBA" w:rsidRPr="004F53B4" w:rsidRDefault="00000000">
            <w:pPr>
              <w:rPr>
                <w:rFonts w:ascii="Aptos" w:hAnsi="Aptos"/>
              </w:rPr>
            </w:pPr>
            <w:r w:rsidRPr="004F53B4">
              <w:rPr>
                <w:rFonts w:ascii="Aptos" w:hAnsi="Aptos"/>
              </w:rPr>
              <w:t>Document Reference</w:t>
            </w:r>
          </w:p>
        </w:tc>
        <w:tc>
          <w:tcPr>
            <w:tcW w:w="5698" w:type="dxa"/>
            <w:vAlign w:val="center"/>
          </w:tcPr>
          <w:p w14:paraId="5C139FEA" w14:textId="1DC9DA0E" w:rsidR="00381BBA" w:rsidRPr="004F53B4" w:rsidRDefault="00A061A2">
            <w:pPr>
              <w:rPr>
                <w:rFonts w:ascii="Aptos" w:hAnsi="Aptos"/>
              </w:rPr>
            </w:pPr>
            <w:r w:rsidRPr="004F53B4">
              <w:rPr>
                <w:rFonts w:ascii="Aptos" w:hAnsi="Aptos"/>
              </w:rPr>
              <w:t>MT-NIS2-IRP-001</w:t>
            </w:r>
          </w:p>
        </w:tc>
      </w:tr>
      <w:tr w:rsidR="00381BBA" w:rsidRPr="004F53B4" w14:paraId="5C2C55BE" w14:textId="77777777" w:rsidTr="0040212B">
        <w:trPr>
          <w:trHeight w:val="432"/>
        </w:trPr>
        <w:tc>
          <w:tcPr>
            <w:tcW w:w="3662" w:type="dxa"/>
            <w:vAlign w:val="center"/>
          </w:tcPr>
          <w:p w14:paraId="047D6895" w14:textId="77777777" w:rsidR="00381BBA" w:rsidRPr="004F53B4" w:rsidRDefault="00000000">
            <w:pPr>
              <w:rPr>
                <w:rFonts w:ascii="Aptos" w:hAnsi="Aptos"/>
              </w:rPr>
            </w:pPr>
            <w:r w:rsidRPr="004F53B4">
              <w:rPr>
                <w:rFonts w:ascii="Aptos" w:hAnsi="Aptos"/>
              </w:rPr>
              <w:t>Version</w:t>
            </w:r>
          </w:p>
        </w:tc>
        <w:tc>
          <w:tcPr>
            <w:tcW w:w="5698" w:type="dxa"/>
            <w:vAlign w:val="center"/>
          </w:tcPr>
          <w:p w14:paraId="5A21C26A" w14:textId="77777777" w:rsidR="00381BBA" w:rsidRPr="004F53B4" w:rsidRDefault="00000000">
            <w:pPr>
              <w:rPr>
                <w:rFonts w:ascii="Aptos" w:hAnsi="Aptos"/>
              </w:rPr>
            </w:pPr>
            <w:r w:rsidRPr="004F53B4">
              <w:rPr>
                <w:rFonts w:ascii="Aptos" w:hAnsi="Aptos"/>
              </w:rPr>
              <w:t>1.4</w:t>
            </w:r>
          </w:p>
        </w:tc>
      </w:tr>
      <w:tr w:rsidR="00381BBA" w:rsidRPr="004F53B4" w14:paraId="0AC2184D" w14:textId="77777777" w:rsidTr="0040212B">
        <w:trPr>
          <w:trHeight w:val="432"/>
        </w:trPr>
        <w:tc>
          <w:tcPr>
            <w:tcW w:w="3662" w:type="dxa"/>
            <w:vAlign w:val="center"/>
          </w:tcPr>
          <w:p w14:paraId="2BE22FD1" w14:textId="77777777" w:rsidR="00381BBA" w:rsidRPr="004F53B4" w:rsidRDefault="00000000">
            <w:pPr>
              <w:rPr>
                <w:rFonts w:ascii="Aptos" w:hAnsi="Aptos"/>
              </w:rPr>
            </w:pPr>
            <w:r w:rsidRPr="004F53B4">
              <w:rPr>
                <w:rFonts w:ascii="Aptos" w:hAnsi="Aptos"/>
              </w:rPr>
              <w:t>Effective Date</w:t>
            </w:r>
          </w:p>
        </w:tc>
        <w:tc>
          <w:tcPr>
            <w:tcW w:w="5698" w:type="dxa"/>
            <w:vAlign w:val="center"/>
          </w:tcPr>
          <w:p w14:paraId="1F513DF1" w14:textId="77777777" w:rsidR="00381BBA" w:rsidRPr="004F53B4" w:rsidRDefault="00000000">
            <w:pPr>
              <w:rPr>
                <w:rFonts w:ascii="Aptos" w:hAnsi="Aptos"/>
              </w:rPr>
            </w:pPr>
            <w:r w:rsidRPr="004F53B4">
              <w:rPr>
                <w:rFonts w:ascii="Aptos" w:hAnsi="Aptos"/>
              </w:rPr>
              <w:t>26 October 2026</w:t>
            </w:r>
          </w:p>
        </w:tc>
      </w:tr>
      <w:tr w:rsidR="00381BBA" w:rsidRPr="004F53B4" w14:paraId="338027A8" w14:textId="77777777" w:rsidTr="0040212B">
        <w:trPr>
          <w:trHeight w:val="432"/>
        </w:trPr>
        <w:tc>
          <w:tcPr>
            <w:tcW w:w="3662" w:type="dxa"/>
            <w:vAlign w:val="center"/>
          </w:tcPr>
          <w:p w14:paraId="532AFBF7" w14:textId="77777777" w:rsidR="00381BBA" w:rsidRPr="004F53B4" w:rsidRDefault="00000000">
            <w:pPr>
              <w:rPr>
                <w:rFonts w:ascii="Aptos" w:hAnsi="Aptos"/>
              </w:rPr>
            </w:pPr>
            <w:r w:rsidRPr="004F53B4">
              <w:rPr>
                <w:rFonts w:ascii="Aptos" w:hAnsi="Aptos"/>
              </w:rPr>
              <w:t>Prepared By</w:t>
            </w:r>
          </w:p>
        </w:tc>
        <w:tc>
          <w:tcPr>
            <w:tcW w:w="5698" w:type="dxa"/>
            <w:vAlign w:val="center"/>
          </w:tcPr>
          <w:p w14:paraId="33112333" w14:textId="77777777" w:rsidR="00381BBA" w:rsidRPr="004F53B4" w:rsidRDefault="00000000">
            <w:pPr>
              <w:rPr>
                <w:rFonts w:ascii="Aptos" w:hAnsi="Aptos"/>
              </w:rPr>
            </w:pPr>
            <w:r w:rsidRPr="004F53B4">
              <w:rPr>
                <w:rFonts w:ascii="Aptos" w:hAnsi="Aptos"/>
              </w:rPr>
              <w:t>Austin Bond, Junior GRC Consultant</w:t>
            </w:r>
          </w:p>
        </w:tc>
      </w:tr>
      <w:tr w:rsidR="00381BBA" w:rsidRPr="004F53B4" w14:paraId="0A4C6155" w14:textId="77777777" w:rsidTr="0040212B">
        <w:trPr>
          <w:trHeight w:val="432"/>
        </w:trPr>
        <w:tc>
          <w:tcPr>
            <w:tcW w:w="3662" w:type="dxa"/>
            <w:vAlign w:val="center"/>
          </w:tcPr>
          <w:p w14:paraId="567E207C" w14:textId="77777777" w:rsidR="00381BBA" w:rsidRPr="004F53B4" w:rsidRDefault="00000000">
            <w:pPr>
              <w:rPr>
                <w:rFonts w:ascii="Aptos" w:hAnsi="Aptos"/>
              </w:rPr>
            </w:pPr>
            <w:r w:rsidRPr="004F53B4">
              <w:rPr>
                <w:rFonts w:ascii="Aptos" w:hAnsi="Aptos"/>
              </w:rPr>
              <w:t>Reviewed By</w:t>
            </w:r>
          </w:p>
        </w:tc>
        <w:tc>
          <w:tcPr>
            <w:tcW w:w="5698" w:type="dxa"/>
            <w:vAlign w:val="center"/>
          </w:tcPr>
          <w:p w14:paraId="3FB127B0" w14:textId="77777777" w:rsidR="00381BBA" w:rsidRPr="004F53B4" w:rsidRDefault="00000000">
            <w:pPr>
              <w:rPr>
                <w:rFonts w:ascii="Aptos" w:hAnsi="Aptos"/>
              </w:rPr>
            </w:pPr>
            <w:r w:rsidRPr="004F53B4">
              <w:rPr>
                <w:rFonts w:ascii="Aptos" w:hAnsi="Aptos"/>
              </w:rPr>
              <w:t>Dr. Andreas Kellermann, CISM, ISO LA</w:t>
            </w:r>
          </w:p>
        </w:tc>
      </w:tr>
      <w:tr w:rsidR="00381BBA" w:rsidRPr="004F53B4" w14:paraId="04B5422A" w14:textId="77777777" w:rsidTr="0040212B">
        <w:trPr>
          <w:trHeight w:val="432"/>
        </w:trPr>
        <w:tc>
          <w:tcPr>
            <w:tcW w:w="3662" w:type="dxa"/>
            <w:vAlign w:val="center"/>
          </w:tcPr>
          <w:p w14:paraId="2F3EBDEA" w14:textId="77777777" w:rsidR="00381BBA" w:rsidRPr="004F53B4" w:rsidRDefault="00000000">
            <w:pPr>
              <w:rPr>
                <w:rFonts w:ascii="Aptos" w:hAnsi="Aptos"/>
              </w:rPr>
            </w:pPr>
            <w:r w:rsidRPr="004F53B4">
              <w:rPr>
                <w:rFonts w:ascii="Aptos" w:hAnsi="Aptos"/>
              </w:rPr>
              <w:t>Approved By</w:t>
            </w:r>
          </w:p>
        </w:tc>
        <w:tc>
          <w:tcPr>
            <w:tcW w:w="5698" w:type="dxa"/>
            <w:vAlign w:val="center"/>
          </w:tcPr>
          <w:p w14:paraId="15089127" w14:textId="77777777" w:rsidR="00381BBA" w:rsidRPr="004F53B4" w:rsidRDefault="00000000">
            <w:pPr>
              <w:rPr>
                <w:rFonts w:ascii="Aptos" w:hAnsi="Aptos"/>
              </w:rPr>
            </w:pPr>
            <w:r w:rsidRPr="004F53B4">
              <w:rPr>
                <w:rFonts w:ascii="Aptos" w:hAnsi="Aptos"/>
              </w:rPr>
              <w:t>CEO / Managing Director, MunichTech GmbH</w:t>
            </w:r>
          </w:p>
        </w:tc>
      </w:tr>
      <w:tr w:rsidR="00381BBA" w:rsidRPr="004F53B4" w14:paraId="10D30894" w14:textId="77777777" w:rsidTr="0040212B">
        <w:trPr>
          <w:trHeight w:val="432"/>
        </w:trPr>
        <w:tc>
          <w:tcPr>
            <w:tcW w:w="3662" w:type="dxa"/>
            <w:vAlign w:val="center"/>
          </w:tcPr>
          <w:p w14:paraId="38B7F331" w14:textId="77777777" w:rsidR="00381BBA" w:rsidRPr="004F53B4" w:rsidRDefault="00000000">
            <w:pPr>
              <w:rPr>
                <w:rFonts w:ascii="Aptos" w:hAnsi="Aptos"/>
              </w:rPr>
            </w:pPr>
            <w:r w:rsidRPr="004F53B4">
              <w:rPr>
                <w:rFonts w:ascii="Aptos" w:hAnsi="Aptos"/>
              </w:rPr>
              <w:t>Confidentiality Level</w:t>
            </w:r>
          </w:p>
        </w:tc>
        <w:tc>
          <w:tcPr>
            <w:tcW w:w="5698" w:type="dxa"/>
            <w:vAlign w:val="center"/>
          </w:tcPr>
          <w:p w14:paraId="03F95F8B" w14:textId="77777777" w:rsidR="00381BBA" w:rsidRPr="004F53B4" w:rsidRDefault="00000000">
            <w:pPr>
              <w:rPr>
                <w:rFonts w:ascii="Aptos" w:hAnsi="Aptos"/>
              </w:rPr>
            </w:pPr>
            <w:r w:rsidRPr="004F53B4">
              <w:rPr>
                <w:rFonts w:ascii="Aptos" w:hAnsi="Aptos"/>
                <w:b/>
                <w:bCs/>
              </w:rPr>
              <w:t>CONFIDENTIAL</w:t>
            </w:r>
            <w:r w:rsidRPr="004F53B4">
              <w:rPr>
                <w:rFonts w:ascii="Aptos" w:hAnsi="Aptos"/>
              </w:rPr>
              <w:t xml:space="preserve"> — Internal Use Only</w:t>
            </w:r>
          </w:p>
        </w:tc>
      </w:tr>
    </w:tbl>
    <w:p w14:paraId="0AFCC845" w14:textId="77777777" w:rsidR="00381BBA" w:rsidRPr="004F53B4" w:rsidRDefault="00381BBA">
      <w:pPr>
        <w:rPr>
          <w:rFonts w:ascii="Aptos" w:hAnsi="Aptos"/>
        </w:rPr>
      </w:pPr>
    </w:p>
    <w:p w14:paraId="1E9BC2E1" w14:textId="77777777" w:rsidR="00381BBA" w:rsidRPr="004F53B4" w:rsidRDefault="00381BBA">
      <w:pPr>
        <w:rPr>
          <w:rFonts w:ascii="Aptos" w:hAnsi="Aptos"/>
        </w:rPr>
      </w:pPr>
    </w:p>
    <w:tbl>
      <w:tblPr>
        <w:tblStyle w:val="TableGrid"/>
        <w:tblW w:w="0" w:type="auto"/>
        <w:tblLayout w:type="fixed"/>
        <w:tblLook w:val="04A0" w:firstRow="1" w:lastRow="0" w:firstColumn="1" w:lastColumn="0" w:noHBand="0" w:noVBand="1"/>
      </w:tblPr>
      <w:tblGrid>
        <w:gridCol w:w="1253"/>
        <w:gridCol w:w="1843"/>
        <w:gridCol w:w="1843"/>
        <w:gridCol w:w="4422"/>
      </w:tblGrid>
      <w:tr w:rsidR="0060178D" w:rsidRPr="004F53B4" w14:paraId="572D4D4B" w14:textId="77777777" w:rsidTr="0040212B">
        <w:trPr>
          <w:trHeight w:val="432"/>
        </w:trPr>
        <w:tc>
          <w:tcPr>
            <w:tcW w:w="1253" w:type="dxa"/>
            <w:vAlign w:val="center"/>
          </w:tcPr>
          <w:p w14:paraId="588FF3F9" w14:textId="77777777" w:rsidR="00381BBA" w:rsidRPr="004F53B4" w:rsidRDefault="00000000">
            <w:pPr>
              <w:pStyle w:val="Heading4"/>
              <w:rPr>
                <w:rFonts w:ascii="Aptos" w:hAnsi="Aptos"/>
                <w:color w:val="1F4E79" w:themeColor="accent1" w:themeShade="80"/>
              </w:rPr>
            </w:pPr>
            <w:r w:rsidRPr="004F53B4">
              <w:rPr>
                <w:rFonts w:ascii="Aptos" w:hAnsi="Aptos"/>
                <w:color w:val="1F4E79" w:themeColor="accent1" w:themeShade="80"/>
              </w:rPr>
              <w:t>Version</w:t>
            </w:r>
          </w:p>
        </w:tc>
        <w:tc>
          <w:tcPr>
            <w:tcW w:w="1843" w:type="dxa"/>
            <w:vAlign w:val="center"/>
          </w:tcPr>
          <w:p w14:paraId="258F872D" w14:textId="77777777" w:rsidR="00381BBA" w:rsidRPr="004F53B4" w:rsidRDefault="00000000">
            <w:pPr>
              <w:pStyle w:val="Heading4"/>
              <w:rPr>
                <w:rFonts w:ascii="Aptos" w:hAnsi="Aptos"/>
                <w:color w:val="1F4E79" w:themeColor="accent1" w:themeShade="80"/>
              </w:rPr>
            </w:pPr>
            <w:r w:rsidRPr="004F53B4">
              <w:rPr>
                <w:rFonts w:ascii="Aptos" w:hAnsi="Aptos"/>
                <w:color w:val="1F4E79" w:themeColor="accent1" w:themeShade="80"/>
              </w:rPr>
              <w:t>Date</w:t>
            </w:r>
          </w:p>
        </w:tc>
        <w:tc>
          <w:tcPr>
            <w:tcW w:w="1843" w:type="dxa"/>
            <w:vAlign w:val="center"/>
          </w:tcPr>
          <w:p w14:paraId="0E419C85" w14:textId="77777777" w:rsidR="00381BBA" w:rsidRPr="004F53B4" w:rsidRDefault="00000000">
            <w:pPr>
              <w:pStyle w:val="Heading4"/>
              <w:rPr>
                <w:rFonts w:ascii="Aptos" w:hAnsi="Aptos"/>
                <w:color w:val="1F4E79" w:themeColor="accent1" w:themeShade="80"/>
              </w:rPr>
            </w:pPr>
            <w:r w:rsidRPr="004F53B4">
              <w:rPr>
                <w:rFonts w:ascii="Aptos" w:hAnsi="Aptos"/>
                <w:color w:val="1F4E79" w:themeColor="accent1" w:themeShade="80"/>
              </w:rPr>
              <w:t>Author</w:t>
            </w:r>
          </w:p>
        </w:tc>
        <w:tc>
          <w:tcPr>
            <w:tcW w:w="4422" w:type="dxa"/>
            <w:vAlign w:val="center"/>
          </w:tcPr>
          <w:p w14:paraId="061E65A0" w14:textId="77777777" w:rsidR="00381BBA" w:rsidRPr="004F53B4" w:rsidRDefault="00000000">
            <w:pPr>
              <w:pStyle w:val="Heading4"/>
              <w:rPr>
                <w:rFonts w:ascii="Aptos" w:hAnsi="Aptos"/>
                <w:color w:val="1F4E79" w:themeColor="accent1" w:themeShade="80"/>
              </w:rPr>
            </w:pPr>
            <w:r w:rsidRPr="004F53B4">
              <w:rPr>
                <w:rFonts w:ascii="Aptos" w:hAnsi="Aptos"/>
                <w:color w:val="1F4E79" w:themeColor="accent1" w:themeShade="80"/>
              </w:rPr>
              <w:t>Change Description</w:t>
            </w:r>
          </w:p>
        </w:tc>
      </w:tr>
      <w:tr w:rsidR="00381BBA" w:rsidRPr="004F53B4" w14:paraId="763B422F" w14:textId="77777777" w:rsidTr="0040212B">
        <w:trPr>
          <w:trHeight w:val="432"/>
        </w:trPr>
        <w:tc>
          <w:tcPr>
            <w:tcW w:w="1253" w:type="dxa"/>
            <w:vAlign w:val="center"/>
          </w:tcPr>
          <w:p w14:paraId="7FFB097D" w14:textId="77777777" w:rsidR="00381BBA" w:rsidRPr="004F53B4" w:rsidRDefault="00000000">
            <w:pPr>
              <w:rPr>
                <w:rFonts w:ascii="Aptos" w:hAnsi="Aptos"/>
              </w:rPr>
            </w:pPr>
            <w:r w:rsidRPr="004F53B4">
              <w:rPr>
                <w:rFonts w:ascii="Aptos" w:hAnsi="Aptos"/>
              </w:rPr>
              <w:t>1.0</w:t>
            </w:r>
          </w:p>
        </w:tc>
        <w:tc>
          <w:tcPr>
            <w:tcW w:w="1843" w:type="dxa"/>
            <w:vAlign w:val="center"/>
          </w:tcPr>
          <w:p w14:paraId="5CA7F90B" w14:textId="02E4EBE9" w:rsidR="00381BBA" w:rsidRPr="004F53B4" w:rsidRDefault="006B04E8">
            <w:pPr>
              <w:rPr>
                <w:rFonts w:ascii="Aptos" w:hAnsi="Aptos"/>
              </w:rPr>
            </w:pPr>
            <w:r w:rsidRPr="004F53B4">
              <w:rPr>
                <w:rFonts w:ascii="Aptos" w:hAnsi="Aptos"/>
              </w:rPr>
              <w:t>5 November 2025</w:t>
            </w:r>
          </w:p>
        </w:tc>
        <w:tc>
          <w:tcPr>
            <w:tcW w:w="1843" w:type="dxa"/>
            <w:vAlign w:val="center"/>
          </w:tcPr>
          <w:p w14:paraId="330A05C5" w14:textId="77777777" w:rsidR="00381BBA" w:rsidRPr="004F53B4" w:rsidRDefault="00000000">
            <w:pPr>
              <w:rPr>
                <w:rFonts w:ascii="Aptos" w:hAnsi="Aptos"/>
              </w:rPr>
            </w:pPr>
            <w:r w:rsidRPr="004F53B4">
              <w:rPr>
                <w:rFonts w:ascii="Aptos" w:hAnsi="Aptos"/>
              </w:rPr>
              <w:t>Austin Bond</w:t>
            </w:r>
          </w:p>
        </w:tc>
        <w:tc>
          <w:tcPr>
            <w:tcW w:w="4422" w:type="dxa"/>
            <w:vAlign w:val="center"/>
          </w:tcPr>
          <w:p w14:paraId="228C2A30" w14:textId="25830572" w:rsidR="00381BBA" w:rsidRPr="004F53B4" w:rsidRDefault="00A061A2">
            <w:pPr>
              <w:rPr>
                <w:rFonts w:ascii="Aptos" w:hAnsi="Aptos"/>
              </w:rPr>
            </w:pPr>
            <w:r w:rsidRPr="004F53B4">
              <w:rPr>
                <w:rFonts w:ascii="Aptos" w:hAnsi="Aptos"/>
              </w:rPr>
              <w:t>Initial workflow creation; aligned with § 32 BSIG (NIS2 Art. 23) and DSGVO reporting timelines</w:t>
            </w:r>
          </w:p>
        </w:tc>
      </w:tr>
      <w:tr w:rsidR="00381BBA" w:rsidRPr="004F53B4" w14:paraId="763B422F" w14:textId="77777777" w:rsidTr="0040212B">
        <w:trPr>
          <w:trHeight w:val="432"/>
        </w:trPr>
        <w:tc>
          <w:tcPr>
            <w:tcW w:w="1253" w:type="dxa"/>
            <w:vAlign w:val="center"/>
          </w:tcPr>
          <w:p w14:paraId="7FFB097D" w14:textId="77777777" w:rsidR="00381BBA" w:rsidRPr="004F53B4" w:rsidRDefault="00000000">
            <w:pPr>
              <w:rPr>
                <w:rFonts w:ascii="Aptos" w:hAnsi="Aptos"/>
              </w:rPr>
            </w:pPr>
            <w:r w:rsidRPr="004F53B4">
              <w:rPr>
                <w:rFonts w:ascii="Aptos" w:hAnsi="Aptos"/>
              </w:rPr>
              <w:t>1.1</w:t>
            </w:r>
          </w:p>
        </w:tc>
        <w:tc>
          <w:tcPr>
            <w:tcW w:w="1843" w:type="dxa"/>
            <w:vAlign w:val="center"/>
          </w:tcPr>
          <w:p w14:paraId="5CA7F90B" w14:textId="02E4EBE9" w:rsidR="00381BBA" w:rsidRPr="004F53B4" w:rsidRDefault="006B04E8">
            <w:pPr>
              <w:rPr>
                <w:rFonts w:ascii="Aptos" w:hAnsi="Aptos"/>
              </w:rPr>
            </w:pPr>
            <w:r w:rsidRPr="004F53B4">
              <w:rPr>
                <w:rFonts w:ascii="Aptos" w:hAnsi="Aptos"/>
              </w:rPr>
              <w:t>14 January 2026</w:t>
            </w:r>
          </w:p>
        </w:tc>
        <w:tc>
          <w:tcPr>
            <w:tcW w:w="1843" w:type="dxa"/>
            <w:vAlign w:val="center"/>
          </w:tcPr>
          <w:p w14:paraId="330A05C5" w14:textId="77777777" w:rsidR="00381BBA" w:rsidRPr="004F53B4" w:rsidRDefault="00000000">
            <w:pPr>
              <w:rPr>
                <w:rFonts w:ascii="Aptos" w:hAnsi="Aptos"/>
              </w:rPr>
            </w:pPr>
            <w:r w:rsidRPr="004F53B4">
              <w:rPr>
                <w:rFonts w:ascii="Aptos" w:hAnsi="Aptos"/>
              </w:rPr>
              <w:t>Austin Bond</w:t>
            </w:r>
          </w:p>
        </w:tc>
        <w:tc>
          <w:tcPr>
            <w:tcW w:w="4422" w:type="dxa"/>
            <w:vAlign w:val="center"/>
          </w:tcPr>
          <w:p w14:paraId="228C2A30" w14:textId="25830572" w:rsidR="00381BBA" w:rsidRPr="004F53B4" w:rsidRDefault="00A061A2">
            <w:pPr>
              <w:rPr>
                <w:rFonts w:ascii="Aptos" w:hAnsi="Aptos"/>
              </w:rPr>
            </w:pPr>
            <w:r w:rsidRPr="004F53B4">
              <w:rPr>
                <w:rFonts w:ascii="Aptos" w:hAnsi="Aptos"/>
              </w:rPr>
              <w:t>Currency update: reporting obligations restated as Sec. 32 BSIG, executive accountability as Sec. 38 BSIG, and entity classification as wichtige Einrichtung under Sec. 28(2) BSIG.</w:t>
            </w:r>
          </w:p>
        </w:tc>
      </w:tr>
      <w:tr w:rsidR="00381BBA" w:rsidRPr="004F53B4" w14:paraId="763B422F" w14:textId="77777777" w:rsidTr="0040212B">
        <w:trPr>
          <w:trHeight w:val="432"/>
        </w:trPr>
        <w:tc>
          <w:tcPr>
            <w:tcW w:w="1253" w:type="dxa"/>
            <w:vAlign w:val="center"/>
          </w:tcPr>
          <w:p w14:paraId="7FFB097D" w14:textId="77777777" w:rsidR="00381BBA" w:rsidRPr="004F53B4" w:rsidRDefault="00000000">
            <w:pPr>
              <w:rPr>
                <w:rFonts w:ascii="Aptos" w:hAnsi="Aptos"/>
              </w:rPr>
            </w:pPr>
            <w:r w:rsidRPr="004F53B4">
              <w:rPr>
                <w:rFonts w:ascii="Aptos" w:hAnsi="Aptos"/>
              </w:rPr>
              <w:t>1.2</w:t>
            </w:r>
          </w:p>
        </w:tc>
        <w:tc>
          <w:tcPr>
            <w:tcW w:w="1843" w:type="dxa"/>
            <w:vAlign w:val="center"/>
          </w:tcPr>
          <w:p w14:paraId="5CA7F90B" w14:textId="02E4EBE9" w:rsidR="00381BBA" w:rsidRPr="004F53B4" w:rsidRDefault="006B04E8">
            <w:pPr>
              <w:rPr>
                <w:rFonts w:ascii="Aptos" w:hAnsi="Aptos"/>
              </w:rPr>
            </w:pPr>
            <w:r w:rsidRPr="004F53B4">
              <w:rPr>
                <w:rFonts w:ascii="Aptos" w:hAnsi="Aptos"/>
              </w:rPr>
              <w:t>3 March 2026</w:t>
            </w:r>
          </w:p>
        </w:tc>
        <w:tc>
          <w:tcPr>
            <w:tcW w:w="1843" w:type="dxa"/>
            <w:vAlign w:val="center"/>
          </w:tcPr>
          <w:p w14:paraId="330A05C5" w14:textId="77777777" w:rsidR="00381BBA" w:rsidRPr="004F53B4" w:rsidRDefault="00000000">
            <w:pPr>
              <w:rPr>
                <w:rFonts w:ascii="Aptos" w:hAnsi="Aptos"/>
              </w:rPr>
            </w:pPr>
            <w:r w:rsidRPr="004F53B4">
              <w:rPr>
                <w:rFonts w:ascii="Aptos" w:hAnsi="Aptos"/>
              </w:rPr>
              <w:t>Austin Bond</w:t>
            </w:r>
          </w:p>
        </w:tc>
        <w:tc>
          <w:tcPr>
            <w:tcW w:w="4422" w:type="dxa"/>
            <w:vAlign w:val="center"/>
          </w:tcPr>
          <w:p w14:paraId="228C2A30" w14:textId="25830572" w:rsidR="00381BBA" w:rsidRPr="004F53B4" w:rsidRDefault="00A061A2">
            <w:pPr>
              <w:rPr>
                <w:rFonts w:ascii="Aptos" w:hAnsi="Aptos"/>
              </w:rPr>
            </w:pPr>
            <w:r w:rsidRPr="004F53B4">
              <w:rPr>
                <w:rFonts w:ascii="Aptos" w:hAnsi="Aptos"/>
              </w:rPr>
              <w:t>Citation correction: BaFin BAIT in the interested-party table replaced with DORA (Reg. (EU) 2022/2554), applicable from 17 January 2025. No reporting timeline, threshold or escalation path changed.</w:t>
            </w:r>
          </w:p>
        </w:tc>
      </w:tr>
      <w:tr w:rsidR="00381BBA" w:rsidRPr="004F53B4" w14:paraId="763B422F" w14:textId="77777777" w:rsidTr="0040212B">
        <w:trPr>
          <w:trHeight w:val="432"/>
        </w:trPr>
        <w:tc>
          <w:tcPr>
            <w:tcW w:w="1253" w:type="dxa"/>
            <w:vAlign w:val="center"/>
          </w:tcPr>
          <w:p w14:paraId="7FFB097D" w14:textId="77777777" w:rsidR="00381BBA" w:rsidRPr="004F53B4" w:rsidRDefault="00000000">
            <w:pPr>
              <w:rPr>
                <w:rFonts w:ascii="Aptos" w:hAnsi="Aptos"/>
              </w:rPr>
            </w:pPr>
            <w:r w:rsidRPr="004F53B4">
              <w:rPr>
                <w:rFonts w:ascii="Aptos" w:hAnsi="Aptos"/>
              </w:rPr>
              <w:t>1.3</w:t>
            </w:r>
          </w:p>
        </w:tc>
        <w:tc>
          <w:tcPr>
            <w:tcW w:w="1843" w:type="dxa"/>
            <w:vAlign w:val="center"/>
          </w:tcPr>
          <w:p w14:paraId="5CA7F90B" w14:textId="02E4EBE9" w:rsidR="00381BBA" w:rsidRPr="004F53B4" w:rsidRDefault="006B04E8">
            <w:pPr>
              <w:rPr>
                <w:rFonts w:ascii="Aptos" w:hAnsi="Aptos"/>
              </w:rPr>
            </w:pPr>
            <w:r w:rsidRPr="004F53B4">
              <w:rPr>
                <w:rFonts w:ascii="Aptos" w:hAnsi="Aptos"/>
              </w:rPr>
              <w:t>21 October 2026</w:t>
            </w:r>
          </w:p>
        </w:tc>
        <w:tc>
          <w:tcPr>
            <w:tcW w:w="1843" w:type="dxa"/>
            <w:vAlign w:val="center"/>
          </w:tcPr>
          <w:p w14:paraId="330A05C5" w14:textId="77777777" w:rsidR="00381BBA" w:rsidRPr="004F53B4" w:rsidRDefault="00000000">
            <w:pPr>
              <w:rPr>
                <w:rFonts w:ascii="Aptos" w:hAnsi="Aptos"/>
              </w:rPr>
            </w:pPr>
            <w:r w:rsidRPr="004F53B4">
              <w:rPr>
                <w:rFonts w:ascii="Aptos" w:hAnsi="Aptos"/>
              </w:rPr>
              <w:t>Austin Bond</w:t>
            </w:r>
          </w:p>
        </w:tc>
        <w:tc>
          <w:tcPr>
            <w:tcW w:w="4422" w:type="dxa"/>
            <w:vAlign w:val="center"/>
          </w:tcPr>
          <w:p w14:paraId="228C2A30" w14:textId="25830572" w:rsidR="00381BBA" w:rsidRPr="004F53B4" w:rsidRDefault="00A061A2">
            <w:pPr>
              <w:rPr>
                <w:rFonts w:ascii="Aptos" w:hAnsi="Aptos"/>
              </w:rPr>
            </w:pPr>
            <w:r w:rsidRPr="004F53B4">
              <w:rPr>
                <w:rFonts w:ascii="Aptos" w:hAnsi="Aptos"/>
              </w:rPr>
              <w:t>Entity classification corrected: the withdrawn Einrichtungsart "IKT-Dienstleistungsmanagement (B2B)" replaced by Anlage 1 Nr. 6.1.4 (Anbieter von Cloud-Computing-Diensten) in the purpose statement. No reporting threshold, timeline or escalation path changed.</w:t>
            </w:r>
          </w:p>
        </w:tc>
      </w:tr>
      <w:tr w:rsidR="00381BBA" w:rsidRPr="004F53B4" w14:paraId="763B422F" w14:textId="77777777" w:rsidTr="0040212B">
        <w:trPr>
          <w:trHeight w:val="432"/>
        </w:trPr>
        <w:tc>
          <w:tcPr>
            <w:tcW w:w="1253" w:type="dxa"/>
            <w:vAlign w:val="center"/>
          </w:tcPr>
          <w:p w14:paraId="7FFB097D" w14:textId="77777777" w:rsidR="00381BBA" w:rsidRPr="004F53B4" w:rsidRDefault="00000000">
            <w:pPr>
              <w:rPr>
                <w:rFonts w:ascii="Aptos" w:hAnsi="Aptos"/>
              </w:rPr>
            </w:pPr>
            <w:r w:rsidRPr="004F53B4">
              <w:rPr>
                <w:rFonts w:ascii="Aptos" w:hAnsi="Aptos"/>
              </w:rPr>
              <w:t>1.4</w:t>
            </w:r>
          </w:p>
        </w:tc>
        <w:tc>
          <w:tcPr>
            <w:tcW w:w="1843" w:type="dxa"/>
            <w:vAlign w:val="center"/>
          </w:tcPr>
          <w:p w14:paraId="5CA7F90B" w14:textId="02E4EBE9" w:rsidR="00381BBA" w:rsidRPr="004F53B4" w:rsidRDefault="006B04E8">
            <w:pPr>
              <w:rPr>
                <w:rFonts w:ascii="Aptos" w:hAnsi="Aptos"/>
              </w:rPr>
            </w:pPr>
            <w:r w:rsidRPr="004F53B4">
              <w:rPr>
                <w:rFonts w:ascii="Aptos" w:hAnsi="Aptos"/>
              </w:rPr>
              <w:t>26 October 2026</w:t>
            </w:r>
          </w:p>
        </w:tc>
        <w:tc>
          <w:tcPr>
            <w:tcW w:w="1843" w:type="dxa"/>
            <w:vAlign w:val="center"/>
          </w:tcPr>
          <w:p w14:paraId="330A05C5" w14:textId="77777777" w:rsidR="00381BBA" w:rsidRPr="004F53B4" w:rsidRDefault="00000000">
            <w:pPr>
              <w:rPr>
                <w:rFonts w:ascii="Aptos" w:hAnsi="Aptos"/>
              </w:rPr>
            </w:pPr>
            <w:r w:rsidRPr="004F53B4">
              <w:rPr>
                <w:rFonts w:ascii="Aptos" w:hAnsi="Aptos"/>
              </w:rPr>
              <w:t>Austin Bond</w:t>
            </w:r>
          </w:p>
        </w:tc>
        <w:tc>
          <w:tcPr>
            <w:tcW w:w="4422" w:type="dxa"/>
            <w:vAlign w:val="center"/>
          </w:tcPr>
          <w:p w14:paraId="228C2A30" w14:textId="25830572" w:rsidR="00381BBA" w:rsidRPr="004F53B4" w:rsidRDefault="00A061A2">
            <w:pPr>
              <w:rPr>
                <w:rFonts w:ascii="Aptos" w:hAnsi="Aptos"/>
              </w:rPr>
            </w:pPr>
            <w:r w:rsidRPr="004F53B4">
              <w:rPr>
                <w:rFonts w:ascii="Aptos" w:hAnsi="Aptos"/>
              </w:rPr>
              <w:t>Consistency pass: section numbering corrected (the 1-month final report is 3.4, not a second 3.3); security leadership title aligned to MT-ISMS-POL-001 Section 6. No reporting deadline, threshold or escalation path changed.</w:t>
            </w:r>
          </w:p>
        </w:tc>
      </w:tr>
    </w:tbl>
    <w:p w14:paraId="0C392E57" w14:textId="77777777" w:rsidR="00381BBA" w:rsidRPr="004F53B4" w:rsidRDefault="00381BBA">
      <w:pPr>
        <w:rPr>
          <w:rFonts w:ascii="Aptos" w:hAnsi="Aptos"/>
        </w:rPr>
      </w:pPr>
    </w:p>
    <w:p w14:paraId="08B37183" w14:textId="77777777" w:rsidR="00381BBA" w:rsidRPr="004F53B4" w:rsidRDefault="00000000">
      <w:pPr>
        <w:rPr>
          <w:rFonts w:ascii="Aptos" w:hAnsi="Aptos"/>
        </w:rPr>
      </w:pPr>
      <w:r w:rsidRPr="004F53B4">
        <w:rPr>
          <w:rFonts w:ascii="Aptos" w:hAnsi="Aptos"/>
        </w:rPr>
        <w:br w:type="page" w:clear="all"/>
      </w:r>
    </w:p>
    <w:p w14:paraId="67166104" w14:textId="77777777" w:rsidR="00381BBA" w:rsidRPr="004F53B4" w:rsidRDefault="00000000" w:rsidP="00EC650A">
      <w:pPr>
        <w:pStyle w:val="Heading2"/>
        <w:rPr>
          <w:rFonts w:ascii="Aptos" w:hAnsi="Aptos"/>
          <w:color w:val="1F4E79" w:themeColor="accent1" w:themeShade="80"/>
        </w:rPr>
      </w:pPr>
      <w:r w:rsidRPr="004F53B4">
        <w:rPr>
          <w:rFonts w:ascii="Aptos" w:hAnsi="Aptos"/>
          <w:color w:val="1F4E79" w:themeColor="accent1" w:themeShade="80"/>
        </w:rPr>
        <w:lastRenderedPageBreak/>
        <w:t>Table of Contents</w:t>
      </w:r>
    </w:p>
    <w:p w14:paraId="6094B9A8" w14:textId="77777777" w:rsidR="00381BBA" w:rsidRPr="004F53B4" w:rsidRDefault="00381BBA">
      <w:pPr>
        <w:ind w:left="709"/>
        <w:rPr>
          <w:rFonts w:ascii="Aptos" w:hAnsi="Aptos"/>
        </w:rPr>
      </w:pPr>
    </w:p>
    <w:p w14:paraId="44A34EC1" w14:textId="724E3CC2" w:rsidR="00381BBA" w:rsidRPr="004F53B4" w:rsidRDefault="00000000">
      <w:pPr>
        <w:ind w:left="709"/>
        <w:rPr>
          <w:rFonts w:ascii="Aptos" w:hAnsi="Aptos"/>
        </w:rPr>
      </w:pPr>
      <w:r w:rsidRPr="004F53B4">
        <w:rPr>
          <w:rFonts w:ascii="Aptos" w:hAnsi="Aptos"/>
        </w:rPr>
        <w:t>1.</w:t>
      </w:r>
      <w:r w:rsidRPr="004F53B4">
        <w:rPr>
          <w:rFonts w:ascii="Aptos" w:hAnsi="Aptos"/>
        </w:rPr>
        <w:tab/>
      </w:r>
      <w:r w:rsidR="00A061A2" w:rsidRPr="004F53B4">
        <w:rPr>
          <w:rFonts w:ascii="Aptos" w:hAnsi="Aptos"/>
        </w:rPr>
        <w:t>Purpose and Scope</w:t>
      </w:r>
      <w:r w:rsidRPr="004F53B4">
        <w:rPr>
          <w:rFonts w:ascii="Aptos" w:hAnsi="Aptos"/>
        </w:rPr>
        <w:tab/>
      </w:r>
    </w:p>
    <w:p w14:paraId="48110B18" w14:textId="6E2B66B4" w:rsidR="00381BBA" w:rsidRPr="004F53B4" w:rsidRDefault="00000000">
      <w:pPr>
        <w:ind w:left="709"/>
        <w:rPr>
          <w:rFonts w:ascii="Aptos" w:hAnsi="Aptos"/>
        </w:rPr>
      </w:pPr>
      <w:r w:rsidRPr="004F53B4">
        <w:rPr>
          <w:rFonts w:ascii="Aptos" w:hAnsi="Aptos"/>
        </w:rPr>
        <w:t>2.</w:t>
      </w:r>
      <w:r w:rsidRPr="004F53B4">
        <w:rPr>
          <w:rFonts w:ascii="Aptos" w:hAnsi="Aptos"/>
        </w:rPr>
        <w:tab/>
      </w:r>
      <w:r w:rsidR="00A061A2" w:rsidRPr="004F53B4">
        <w:rPr>
          <w:rFonts w:ascii="Aptos" w:hAnsi="Aptos"/>
        </w:rPr>
        <w:t>Trigger: Definition of "Awareness" and "Significant Incident"</w:t>
      </w:r>
      <w:r w:rsidRPr="004F53B4">
        <w:rPr>
          <w:rFonts w:ascii="Aptos" w:hAnsi="Aptos"/>
        </w:rPr>
        <w:tab/>
      </w:r>
    </w:p>
    <w:p w14:paraId="5DAE02E0" w14:textId="20436B36" w:rsidR="00381BBA" w:rsidRPr="004F53B4" w:rsidRDefault="00000000" w:rsidP="00A061A2">
      <w:pPr>
        <w:ind w:left="709"/>
        <w:rPr>
          <w:rFonts w:ascii="Aptos" w:hAnsi="Aptos"/>
        </w:rPr>
      </w:pPr>
      <w:r w:rsidRPr="004F53B4">
        <w:rPr>
          <w:rFonts w:ascii="Aptos" w:hAnsi="Aptos"/>
        </w:rPr>
        <w:t>3.</w:t>
      </w:r>
      <w:r w:rsidRPr="004F53B4">
        <w:rPr>
          <w:rFonts w:ascii="Aptos" w:hAnsi="Aptos"/>
        </w:rPr>
        <w:tab/>
      </w:r>
      <w:r w:rsidR="00A061A2" w:rsidRPr="004F53B4">
        <w:rPr>
          <w:rFonts w:ascii="Aptos" w:hAnsi="Aptos"/>
        </w:rPr>
        <w:t>The 24–72–30 Reporting Timeline</w:t>
      </w:r>
    </w:p>
    <w:p w14:paraId="0EB2BAB3" w14:textId="77777777" w:rsidR="00A061A2" w:rsidRPr="004F53B4" w:rsidRDefault="00000000" w:rsidP="00A061A2">
      <w:pPr>
        <w:ind w:left="709"/>
        <w:rPr>
          <w:rFonts w:ascii="Aptos" w:hAnsi="Aptos"/>
        </w:rPr>
      </w:pPr>
      <w:r w:rsidRPr="004F53B4">
        <w:rPr>
          <w:rFonts w:ascii="Aptos" w:hAnsi="Aptos"/>
        </w:rPr>
        <w:t>4.</w:t>
      </w:r>
      <w:r w:rsidRPr="004F53B4">
        <w:rPr>
          <w:rFonts w:ascii="Aptos" w:hAnsi="Aptos"/>
        </w:rPr>
        <w:tab/>
      </w:r>
      <w:r w:rsidR="00A061A2" w:rsidRPr="004F53B4">
        <w:rPr>
          <w:rFonts w:ascii="Aptos" w:hAnsi="Aptos"/>
        </w:rPr>
        <w:t>Parallel Reporting Obligations (The "Double Notification" Rule)</w:t>
      </w:r>
    </w:p>
    <w:p w14:paraId="0A91405F" w14:textId="270D5474" w:rsidR="00381BBA" w:rsidRPr="004F53B4" w:rsidRDefault="00000000" w:rsidP="00A061A2">
      <w:pPr>
        <w:ind w:left="709"/>
        <w:rPr>
          <w:rFonts w:ascii="Aptos" w:hAnsi="Aptos"/>
        </w:rPr>
      </w:pPr>
      <w:r w:rsidRPr="004F53B4">
        <w:rPr>
          <w:rFonts w:ascii="Aptos" w:hAnsi="Aptos"/>
        </w:rPr>
        <w:t>5.</w:t>
      </w:r>
      <w:r w:rsidRPr="004F53B4">
        <w:rPr>
          <w:rFonts w:ascii="Aptos" w:hAnsi="Aptos"/>
        </w:rPr>
        <w:tab/>
      </w:r>
      <w:r w:rsidR="00A061A2" w:rsidRPr="004F53B4">
        <w:rPr>
          <w:rFonts w:ascii="Aptos" w:hAnsi="Aptos"/>
        </w:rPr>
        <w:t>Executive Accountability (§ 38 BSIG / NIS2 Art. 20)</w:t>
      </w:r>
    </w:p>
    <w:p w14:paraId="7C0E20A7" w14:textId="6A26B132" w:rsidR="00381BBA" w:rsidRPr="004F53B4" w:rsidRDefault="00000000" w:rsidP="00A061A2">
      <w:pPr>
        <w:ind w:left="709"/>
        <w:rPr>
          <w:rFonts w:ascii="Aptos" w:hAnsi="Aptos"/>
        </w:rPr>
      </w:pPr>
      <w:r w:rsidRPr="004F53B4">
        <w:rPr>
          <w:rFonts w:ascii="Aptos" w:hAnsi="Aptos"/>
        </w:rPr>
        <w:t>6.</w:t>
      </w:r>
      <w:r w:rsidRPr="004F53B4">
        <w:rPr>
          <w:rFonts w:ascii="Aptos" w:hAnsi="Aptos"/>
        </w:rPr>
        <w:tab/>
      </w:r>
      <w:r w:rsidR="00A061A2" w:rsidRPr="004F53B4">
        <w:rPr>
          <w:rFonts w:ascii="Aptos" w:hAnsi="Aptos"/>
        </w:rPr>
        <w:t>Document Sign-Off</w:t>
      </w:r>
      <w:r w:rsidRPr="004F53B4">
        <w:rPr>
          <w:rFonts w:ascii="Aptos" w:hAnsi="Aptos"/>
        </w:rPr>
        <w:br w:type="page" w:clear="all"/>
      </w:r>
    </w:p>
    <w:p w14:paraId="45079DF4" w14:textId="36514774" w:rsidR="00381BBA" w:rsidRPr="004F53B4" w:rsidRDefault="00000000">
      <w:pPr>
        <w:pStyle w:val="Heading2"/>
        <w:rPr>
          <w:rFonts w:ascii="Aptos" w:hAnsi="Aptos"/>
          <w:color w:val="1F4E79" w:themeColor="accent1" w:themeShade="80"/>
        </w:rPr>
      </w:pPr>
      <w:r w:rsidRPr="004F53B4">
        <w:rPr>
          <w:rFonts w:ascii="Aptos" w:hAnsi="Aptos"/>
          <w:color w:val="1F4E79" w:themeColor="accent1" w:themeShade="80"/>
        </w:rPr>
        <w:lastRenderedPageBreak/>
        <w:t xml:space="preserve">1. </w:t>
      </w:r>
      <w:r w:rsidR="00A061A2" w:rsidRPr="004F53B4">
        <w:rPr>
          <w:rFonts w:ascii="Aptos" w:hAnsi="Aptos"/>
          <w:color w:val="1F4E79" w:themeColor="accent1" w:themeShade="80"/>
        </w:rPr>
        <w:t>Purpose and Scope</w:t>
      </w:r>
    </w:p>
    <w:p w14:paraId="2EBE3FF6" w14:textId="77777777" w:rsidR="00A061A2" w:rsidRPr="004F53B4" w:rsidRDefault="00A061A2" w:rsidP="00A061A2">
      <w:pPr>
        <w:pStyle w:val="Heading2"/>
        <w:rPr>
          <w:rFonts w:ascii="Aptos" w:eastAsiaTheme="minorHAnsi" w:hAnsi="Aptos" w:cstheme="minorBidi"/>
          <w:color w:val="auto"/>
          <w:sz w:val="22"/>
          <w:szCs w:val="22"/>
        </w:rPr>
      </w:pPr>
      <w:r w:rsidRPr="004F53B4">
        <w:rPr>
          <w:rFonts w:ascii="Aptos" w:eastAsiaTheme="minorHAnsi" w:hAnsi="Aptos" w:cstheme="minorBidi"/>
          <w:color w:val="auto"/>
          <w:sz w:val="22"/>
          <w:szCs w:val="22"/>
        </w:rPr>
        <w:t>This document defines the standard operating procedure (SOP) and mandatory reporting workflow for MunichTech GmbH in the event of a significant cyber security incident. As a wichtige Einrichtung (BSIG § 28(2), Anlage 1 Nr. 6.1.4) supplying cloud-computing services to the financial sector, MunichTech GmbH is legally obligated under § 32 BSIG to adhere to strict 24-hour, 72-hour, and 1-month reporting deadlines to the Federal Office for Information Security (</w:t>
      </w:r>
      <w:proofErr w:type="spellStart"/>
      <w:r w:rsidRPr="004F53B4">
        <w:rPr>
          <w:rFonts w:ascii="Aptos" w:eastAsiaTheme="minorHAnsi" w:hAnsi="Aptos" w:cstheme="minorBidi"/>
          <w:color w:val="auto"/>
          <w:sz w:val="22"/>
          <w:szCs w:val="22"/>
        </w:rPr>
        <w:t>Bundesamt</w:t>
      </w:r>
      <w:proofErr w:type="spellEnd"/>
      <w:r w:rsidRPr="004F53B4">
        <w:rPr>
          <w:rFonts w:ascii="Aptos" w:eastAsiaTheme="minorHAnsi" w:hAnsi="Aptos" w:cstheme="minorBidi"/>
          <w:color w:val="auto"/>
          <w:sz w:val="22"/>
          <w:szCs w:val="22"/>
        </w:rPr>
        <w:t xml:space="preserve"> für Sicherheit in der </w:t>
      </w:r>
      <w:proofErr w:type="spellStart"/>
      <w:r w:rsidRPr="004F53B4">
        <w:rPr>
          <w:rFonts w:ascii="Aptos" w:eastAsiaTheme="minorHAnsi" w:hAnsi="Aptos" w:cstheme="minorBidi"/>
          <w:color w:val="auto"/>
          <w:sz w:val="22"/>
          <w:szCs w:val="22"/>
        </w:rPr>
        <w:t>Informationstechnik</w:t>
      </w:r>
      <w:proofErr w:type="spellEnd"/>
      <w:r w:rsidRPr="004F53B4">
        <w:rPr>
          <w:rFonts w:ascii="Aptos" w:eastAsiaTheme="minorHAnsi" w:hAnsi="Aptos" w:cstheme="minorBidi"/>
          <w:color w:val="auto"/>
          <w:sz w:val="22"/>
          <w:szCs w:val="22"/>
        </w:rPr>
        <w:t xml:space="preserve"> - BSI).</w:t>
      </w:r>
    </w:p>
    <w:p w14:paraId="469CE1B2" w14:textId="53A884C7" w:rsidR="00381BBA" w:rsidRPr="004F53B4" w:rsidRDefault="00A061A2" w:rsidP="00A061A2">
      <w:pPr>
        <w:pStyle w:val="Heading2"/>
        <w:rPr>
          <w:rFonts w:ascii="Aptos" w:eastAsiaTheme="minorHAnsi" w:hAnsi="Aptos" w:cstheme="minorBidi"/>
          <w:color w:val="auto"/>
          <w:sz w:val="22"/>
          <w:szCs w:val="22"/>
        </w:rPr>
      </w:pPr>
      <w:r w:rsidRPr="004F53B4">
        <w:rPr>
          <w:rFonts w:ascii="Aptos" w:eastAsiaTheme="minorHAnsi" w:hAnsi="Aptos" w:cstheme="minorBidi"/>
          <w:color w:val="auto"/>
          <w:sz w:val="22"/>
          <w:szCs w:val="22"/>
        </w:rPr>
        <w:t>This workflow applies to the Head of Engineering (Interim CISO, also designated IT Security Lead), Legal Counsel, and the Executive Management Team.</w:t>
      </w:r>
    </w:p>
    <w:p w14:paraId="1B611176" w14:textId="77777777" w:rsidR="00A061A2" w:rsidRPr="004F53B4" w:rsidRDefault="00A061A2" w:rsidP="00A061A2">
      <w:pPr>
        <w:rPr>
          <w:rFonts w:ascii="Aptos" w:hAnsi="Aptos"/>
        </w:rPr>
      </w:pPr>
    </w:p>
    <w:p w14:paraId="0B8B52F1" w14:textId="66B6FC6F" w:rsidR="00381BBA" w:rsidRPr="004F53B4" w:rsidRDefault="00000000" w:rsidP="0040212B">
      <w:pPr>
        <w:pStyle w:val="Heading2"/>
        <w:rPr>
          <w:rFonts w:ascii="Aptos" w:hAnsi="Aptos"/>
          <w:color w:val="1F4E79" w:themeColor="accent1" w:themeShade="80"/>
        </w:rPr>
      </w:pPr>
      <w:r w:rsidRPr="004F53B4">
        <w:rPr>
          <w:rFonts w:ascii="Aptos" w:hAnsi="Aptos"/>
          <w:color w:val="1F4E79" w:themeColor="accent1" w:themeShade="80"/>
        </w:rPr>
        <w:t xml:space="preserve">2. </w:t>
      </w:r>
      <w:r w:rsidR="00A061A2" w:rsidRPr="004F53B4">
        <w:rPr>
          <w:rFonts w:ascii="Aptos" w:hAnsi="Aptos"/>
          <w:color w:val="1F4E79" w:themeColor="accent1" w:themeShade="80"/>
        </w:rPr>
        <w:t>Trigger: Definition of "Awareness" and "Significant Incident"</w:t>
      </w:r>
    </w:p>
    <w:p w14:paraId="6E842665" w14:textId="77777777" w:rsidR="00A061A2" w:rsidRPr="004F53B4" w:rsidRDefault="00A061A2" w:rsidP="00A061A2">
      <w:pPr>
        <w:pStyle w:val="Heading2"/>
        <w:rPr>
          <w:rFonts w:ascii="Aptos" w:eastAsiaTheme="minorHAnsi" w:hAnsi="Aptos" w:cstheme="minorBidi"/>
          <w:color w:val="auto"/>
          <w:sz w:val="22"/>
          <w:szCs w:val="22"/>
        </w:rPr>
      </w:pPr>
      <w:r w:rsidRPr="004F53B4">
        <w:rPr>
          <w:rFonts w:ascii="Aptos" w:eastAsiaTheme="minorHAnsi" w:hAnsi="Aptos" w:cstheme="minorBidi"/>
          <w:color w:val="auto"/>
          <w:sz w:val="22"/>
          <w:szCs w:val="22"/>
        </w:rPr>
        <w:t>The regulatory clock does not start when a generic SIEM alert fires. The clock starts at the moment of Awareness — defined as the point when the incident response team has a reasonable degree of certainty that a "Significant Incident" has occurred based on initial assessment.</w:t>
      </w:r>
    </w:p>
    <w:p w14:paraId="5EC1E282" w14:textId="77777777" w:rsidR="00A061A2" w:rsidRPr="004F53B4" w:rsidRDefault="00A061A2" w:rsidP="00A061A2">
      <w:pPr>
        <w:pStyle w:val="Heading2"/>
        <w:rPr>
          <w:rFonts w:ascii="Aptos" w:eastAsiaTheme="minorHAnsi" w:hAnsi="Aptos" w:cstheme="minorBidi"/>
          <w:color w:val="auto"/>
          <w:sz w:val="22"/>
          <w:szCs w:val="22"/>
        </w:rPr>
      </w:pPr>
      <w:r w:rsidRPr="004F53B4">
        <w:rPr>
          <w:rFonts w:ascii="Aptos" w:eastAsiaTheme="minorHAnsi" w:hAnsi="Aptos" w:cstheme="minorBidi"/>
          <w:color w:val="auto"/>
          <w:sz w:val="22"/>
          <w:szCs w:val="22"/>
        </w:rPr>
        <w:t>Under NIS2, an incident is classified as Significant if it meets either of the following thresholds:</w:t>
      </w:r>
    </w:p>
    <w:p w14:paraId="15F87612" w14:textId="4652BDE0" w:rsidR="00A061A2" w:rsidRPr="004F53B4" w:rsidRDefault="00A061A2" w:rsidP="00A061A2">
      <w:pPr>
        <w:pStyle w:val="Heading2"/>
        <w:numPr>
          <w:ilvl w:val="0"/>
          <w:numId w:val="3"/>
        </w:numPr>
        <w:rPr>
          <w:rFonts w:ascii="Aptos" w:eastAsiaTheme="minorHAnsi" w:hAnsi="Aptos" w:cstheme="minorBidi"/>
          <w:color w:val="auto"/>
          <w:sz w:val="22"/>
          <w:szCs w:val="22"/>
        </w:rPr>
      </w:pPr>
      <w:r w:rsidRPr="004F53B4">
        <w:rPr>
          <w:rFonts w:ascii="Aptos" w:eastAsiaTheme="minorHAnsi" w:hAnsi="Aptos" w:cstheme="minorBidi"/>
          <w:color w:val="auto"/>
          <w:sz w:val="22"/>
          <w:szCs w:val="22"/>
        </w:rPr>
        <w:t>Operational/Financial Impact: It has caused, or has the potential to cause, severe operational disruption to the MunichTech SaaS platform (violating client SLAs) or severe financial loss.</w:t>
      </w:r>
      <w:r w:rsidRPr="004F53B4">
        <w:rPr>
          <w:rFonts w:ascii="MS Gothic" w:eastAsia="MS Gothic" w:hAnsi="MS Gothic" w:cs="MS Gothic" w:hint="eastAsia"/>
          <w:color w:val="auto"/>
          <w:sz w:val="22"/>
          <w:szCs w:val="22"/>
        </w:rPr>
        <w:t> </w:t>
      </w:r>
      <w:r w:rsidRPr="004F53B4">
        <w:rPr>
          <w:rFonts w:ascii="Aptos" w:eastAsiaTheme="minorHAnsi" w:hAnsi="Aptos" w:cstheme="minorBidi"/>
          <w:color w:val="auto"/>
          <w:sz w:val="22"/>
          <w:szCs w:val="22"/>
        </w:rPr>
        <w:tab/>
      </w:r>
    </w:p>
    <w:p w14:paraId="4F1B6BC5" w14:textId="756E976B" w:rsidR="00A061A2" w:rsidRPr="004F53B4" w:rsidRDefault="00A061A2" w:rsidP="00A061A2">
      <w:pPr>
        <w:pStyle w:val="Heading2"/>
        <w:numPr>
          <w:ilvl w:val="0"/>
          <w:numId w:val="3"/>
        </w:numPr>
        <w:rPr>
          <w:rFonts w:ascii="Aptos" w:eastAsiaTheme="minorHAnsi" w:hAnsi="Aptos" w:cstheme="minorBidi"/>
          <w:color w:val="auto"/>
          <w:sz w:val="22"/>
          <w:szCs w:val="22"/>
        </w:rPr>
      </w:pPr>
      <w:r w:rsidRPr="004F53B4">
        <w:rPr>
          <w:rFonts w:ascii="Aptos" w:eastAsiaTheme="minorHAnsi" w:hAnsi="Aptos" w:cstheme="minorBidi"/>
          <w:color w:val="auto"/>
          <w:sz w:val="22"/>
          <w:szCs w:val="22"/>
        </w:rPr>
        <w:t>Third-Party Damage: It has affected, or is capable of affecting, other natural or legal persons (e.g., enterprise banking clients) by causing considerable material or non-material damage.</w:t>
      </w:r>
    </w:p>
    <w:p w14:paraId="2B953DD0" w14:textId="6A023689" w:rsidR="00381BBA" w:rsidRPr="004F53B4" w:rsidRDefault="00A061A2" w:rsidP="00A061A2">
      <w:pPr>
        <w:pStyle w:val="Heading2"/>
        <w:rPr>
          <w:rFonts w:ascii="Aptos" w:eastAsiaTheme="minorHAnsi" w:hAnsi="Aptos" w:cstheme="minorBidi"/>
          <w:color w:val="auto"/>
          <w:sz w:val="22"/>
          <w:szCs w:val="22"/>
        </w:rPr>
      </w:pPr>
      <w:r w:rsidRPr="004F53B4">
        <w:rPr>
          <w:rFonts w:ascii="Aptos" w:eastAsiaTheme="minorHAnsi" w:hAnsi="Aptos" w:cstheme="minorBidi"/>
          <w:color w:val="auto"/>
          <w:sz w:val="22"/>
          <w:szCs w:val="22"/>
        </w:rPr>
        <w:t>If an event is assessed as a Significant Incident by the IT Security Lead, the CEO and Legal Counsel must be notified within 15 minutes, and the following 24-72-30 timeline is immediately activated.</w:t>
      </w:r>
    </w:p>
    <w:p w14:paraId="6BCEB9EF" w14:textId="5262EDD2" w:rsidR="00381BBA" w:rsidRPr="004F53B4" w:rsidRDefault="00000000">
      <w:pPr>
        <w:pStyle w:val="Heading5"/>
        <w:rPr>
          <w:rFonts w:ascii="Aptos" w:hAnsi="Aptos"/>
          <w:color w:val="1F4E79" w:themeColor="accent1" w:themeShade="80"/>
        </w:rPr>
      </w:pPr>
      <w:r>
        <w:rPr>
          <w:rFonts w:ascii="Aptos" w:hAnsi="Aptos"/>
          <w:color w:val="1F4E79" w:themeColor="accent1" w:themeShade="80"/>
        </w:rPr>
        <w:t>2.1 Near Misses: Internal Triage Only</w:t>
      </w:r>
    </w:p>
    <w:p w14:paraId="5EC1E282" w14:textId="77777777" w:rsidR="00A061A2" w:rsidRPr="004F53B4" w:rsidRDefault="00A061A2" w:rsidP="00A061A2">
      <w:pPr>
        <w:pStyle w:val="Heading2"/>
        <w:rPr>
          <w:rFonts w:ascii="Aptos" w:eastAsiaTheme="minorHAnsi" w:hAnsi="Aptos" w:cstheme="minorBidi"/>
          <w:color w:val="auto"/>
          <w:sz w:val="22"/>
          <w:szCs w:val="22"/>
        </w:rPr>
      </w:pPr>
      <w:r>
        <w:rPr>
          <w:rFonts w:ascii="Aptos" w:eastAsiaTheme="minorHAnsi" w:hAnsi="Aptos" w:cstheme="minorBidi"/>
          <w:color w:val="auto"/>
          <w:sz w:val="22"/>
          <w:szCs w:val="22"/>
        </w:rPr>
        <w:t>Not every security event is an incident, and not every incident is notifiable. The BSIG defines a near miss (Beinahevorfall, § 2 Nr. 1 BSIG) as an event that could have compromised the availability, integrity or confidentiality of information but did not, and distinguishes it from an erheblicher Sicherheitsvorfall, meaning a significant incident within the meaning of § 32 BSIG. The distinction decides what is owed to whom: § 32 BSIG obliges MunichTech GmbH to notify the BSI only of significant incidents, so a near miss triggers no notification duty, no 24-hour clock and no report to any authority.</w:t>
      </w:r>
    </w:p>
    <w:p w14:paraId="5EC1E282" w14:textId="77777777" w:rsidR="00A061A2" w:rsidRPr="004F53B4" w:rsidRDefault="00A061A2" w:rsidP="00A061A2">
      <w:pPr>
        <w:pStyle w:val="Heading2"/>
        <w:rPr>
          <w:rFonts w:ascii="Aptos" w:eastAsiaTheme="minorHAnsi" w:hAnsi="Aptos" w:cstheme="minorBidi"/>
          <w:color w:val="auto"/>
          <w:sz w:val="22"/>
          <w:szCs w:val="22"/>
        </w:rPr>
      </w:pPr>
      <w:r>
        <w:rPr>
          <w:rFonts w:ascii="Aptos" w:eastAsiaTheme="minorHAnsi" w:hAnsi="Aptos" w:cstheme="minorBidi"/>
          <w:color w:val="auto"/>
          <w:sz w:val="22"/>
          <w:szCs w:val="22"/>
        </w:rPr>
        <w:t>Near misses are nevertheless recorded and triaged, because a narrowly avoided outage is the cheapest evidence an ISMS gets, and discarding it for want of a reporting duty would be a self-inflicted blind spot. The branch below is internal only.</w:t>
      </w:r>
    </w:p>
    <w:p w14:paraId="5EC1E282" w14:textId="77777777" w:rsidR="00A061A2" w:rsidRPr="004F53B4" w:rsidRDefault="00A061A2" w:rsidP="00A061A2">
      <w:pPr>
        <w:pStyle w:val="Heading2"/>
        <w:rPr>
          <w:rFonts w:ascii="Aptos" w:eastAsiaTheme="minorHAnsi" w:hAnsi="Aptos" w:cstheme="minorBidi"/>
          <w:color w:val="auto"/>
          <w:sz w:val="22"/>
          <w:szCs w:val="22"/>
        </w:rPr>
      </w:pPr>
      <w:r>
        <w:rPr>
          <w:rFonts w:ascii="Aptos" w:eastAsiaTheme="minorHAnsi" w:hAnsi="Aptos" w:cstheme="minorBidi"/>
          <w:color w:val="auto"/>
          <w:sz w:val="22"/>
          <w:szCs w:val="22"/>
        </w:rPr>
        <w:t>Step 1, log. Any employee, and any automated control that fires and then clears, raises the event in Jira Service Management as a near miss against the affected asset in the Information Asset Register (MT-ISMS-IAR-001). The reporting channel is the one already used for incidents, so nobody has to decide first whether an event qualifies.</w:t>
      </w:r>
    </w:p>
    <w:p w14:paraId="5EC1E282" w14:textId="77777777" w:rsidR="00A061A2" w:rsidRPr="004F53B4" w:rsidRDefault="00A061A2" w:rsidP="00A061A2">
      <w:pPr>
        <w:pStyle w:val="Heading2"/>
        <w:rPr>
          <w:rFonts w:ascii="Aptos" w:eastAsiaTheme="minorHAnsi" w:hAnsi="Aptos" w:cstheme="minorBidi"/>
          <w:color w:val="auto"/>
          <w:sz w:val="22"/>
          <w:szCs w:val="22"/>
        </w:rPr>
      </w:pPr>
      <w:r>
        <w:rPr>
          <w:rFonts w:ascii="Aptos" w:eastAsiaTheme="minorHAnsi" w:hAnsi="Aptos" w:cstheme="minorBidi"/>
          <w:color w:val="auto"/>
          <w:sz w:val="22"/>
          <w:szCs w:val="22"/>
        </w:rPr>
        <w:t>Step 2, triage. The IT Security Lead triages the entry within two business days against the two significance thresholds in Section 2 and records the outcome. Triage is internal; no external party is involved at this stage.</w:t>
      </w:r>
    </w:p>
    <w:p w14:paraId="5EC1E282" w14:textId="77777777" w:rsidR="00A061A2" w:rsidRPr="004F53B4" w:rsidRDefault="00A061A2" w:rsidP="00A061A2">
      <w:pPr>
        <w:pStyle w:val="Heading2"/>
        <w:rPr>
          <w:rFonts w:ascii="Aptos" w:eastAsiaTheme="minorHAnsi" w:hAnsi="Aptos" w:cstheme="minorBidi"/>
          <w:color w:val="auto"/>
          <w:sz w:val="22"/>
          <w:szCs w:val="22"/>
        </w:rPr>
      </w:pPr>
      <w:r>
        <w:rPr>
          <w:rFonts w:ascii="Aptos" w:eastAsiaTheme="minorHAnsi" w:hAnsi="Aptos" w:cstheme="minorBidi"/>
          <w:color w:val="auto"/>
          <w:sz w:val="22"/>
          <w:szCs w:val="22"/>
        </w:rPr>
        <w:t>Step 3, reclassify where a threshold is met. If triage shows that the event did, or could have, met a significance threshold, it is reclassified as a Significant Incident and the workflow in Section 3 applies in full. The 24-hour early warning is then due within 24 hours of the reclassification rather than of the original detection, because Awareness within the meaning of Section 2 is the point at which the response team has reasonable certainty that a Significant Incident has occurred. The 15-minute notification of the CEO and Legal Counsel described in Section 2 runs from that same point.</w:t>
      </w:r>
    </w:p>
    <w:p w14:paraId="5EC1E282" w14:textId="77777777" w:rsidR="00A061A2" w:rsidRPr="004F53B4" w:rsidRDefault="00A061A2" w:rsidP="00A061A2">
      <w:pPr>
        <w:pStyle w:val="Heading2"/>
        <w:rPr>
          <w:rFonts w:ascii="Aptos" w:eastAsiaTheme="minorHAnsi" w:hAnsi="Aptos" w:cstheme="minorBidi"/>
          <w:color w:val="auto"/>
          <w:sz w:val="22"/>
          <w:szCs w:val="22"/>
        </w:rPr>
      </w:pPr>
      <w:r>
        <w:rPr>
          <w:rFonts w:ascii="Aptos" w:eastAsiaTheme="minorHAnsi" w:hAnsi="Aptos" w:cstheme="minorBidi"/>
          <w:color w:val="auto"/>
          <w:sz w:val="22"/>
          <w:szCs w:val="22"/>
        </w:rPr>
        <w:t>Step 4, learn. A near miss that was not reclassified is closed with a written root-cause note, and a Post-Incident Review under Annex A 5.27 is held where the same failure could plausibly recur. Corrective actions are tracked in Jira with an owner and a due date, and any change to a control is closed through MT-ISMS-CAP-001.</w:t>
      </w:r>
    </w:p>
    <w:p w14:paraId="5EC1E282" w14:textId="77777777" w:rsidR="00A061A2" w:rsidRPr="004F53B4" w:rsidRDefault="00A061A2" w:rsidP="00A061A2">
      <w:pPr>
        <w:pStyle w:val="Heading2"/>
        <w:rPr>
          <w:rFonts w:ascii="Aptos" w:eastAsiaTheme="minorHAnsi" w:hAnsi="Aptos" w:cstheme="minorBidi"/>
          <w:color w:val="auto"/>
          <w:sz w:val="22"/>
          <w:szCs w:val="22"/>
        </w:rPr>
      </w:pPr>
      <w:r>
        <w:rPr>
          <w:rFonts w:ascii="Aptos" w:eastAsiaTheme="minorHAnsi" w:hAnsi="Aptos" w:cstheme="minorBidi"/>
          <w:color w:val="auto"/>
          <w:sz w:val="22"/>
          <w:szCs w:val="22"/>
        </w:rPr>
        <w:t>Step 5, feed back. The near-miss register is summarised monthly to the interim CISO and reported as a standing input to the Management Review (MT-ISMS-MRA-001). A severe near miss is a risk assessment trigger under Section 2 of the Risk Assessment Methodology (MT-ISMS-RAM-001).</w:t>
      </w:r>
    </w:p>
    <w:p w14:paraId="5EC1E282" w14:textId="77777777" w:rsidR="00A061A2" w:rsidRPr="004F53B4" w:rsidRDefault="00A061A2" w:rsidP="00A061A2">
      <w:pPr>
        <w:pStyle w:val="Heading2"/>
        <w:rPr>
          <w:rFonts w:ascii="Aptos" w:eastAsiaTheme="minorHAnsi" w:hAnsi="Aptos" w:cstheme="minorBidi"/>
          <w:color w:val="auto"/>
          <w:sz w:val="22"/>
          <w:szCs w:val="22"/>
        </w:rPr>
      </w:pPr>
      <w:r>
        <w:rPr>
          <w:rFonts w:ascii="Aptos" w:eastAsiaTheme="minorHAnsi" w:hAnsi="Aptos" w:cstheme="minorBidi"/>
          <w:color w:val="auto"/>
          <w:sz w:val="22"/>
          <w:szCs w:val="22"/>
        </w:rPr>
        <w:t>Voluntary reports. Section 32 BSIG imposes no duty to report a near miss, but § 5 BSIG permits voluntary reports to the BSI. MunichTech GmbH does not report near misses as a matter of routine. Where the IT Security Lead and Legal Counsel decide that a voluntary report is warranted, for example because the near miss reveals a sector-wide attack pattern, the decision and its rationale are recorded in the near-miss entry. A voluntary report is never a substitute for a mandatory notification where one is due, and a near miss under this subsection is not an incident for the purposes of Section 3.</w:t>
      </w:r>
    </w:p>
    <w:p w14:paraId="313FDFB1" w14:textId="77777777" w:rsidR="00A061A2" w:rsidRPr="004F53B4" w:rsidRDefault="00A061A2" w:rsidP="00A061A2">
      <w:pPr>
        <w:rPr>
          <w:rFonts w:ascii="Aptos" w:hAnsi="Aptos"/>
        </w:rPr>
      </w:pPr>
    </w:p>
    <w:p w14:paraId="17712CC2" w14:textId="188E8F5C" w:rsidR="00381BBA" w:rsidRPr="004F53B4" w:rsidRDefault="00000000" w:rsidP="0040212B">
      <w:pPr>
        <w:pStyle w:val="Heading2"/>
        <w:rPr>
          <w:rFonts w:ascii="Aptos" w:hAnsi="Aptos"/>
          <w:color w:val="1F4E79" w:themeColor="accent1" w:themeShade="80"/>
        </w:rPr>
      </w:pPr>
      <w:r w:rsidRPr="004F53B4">
        <w:rPr>
          <w:rFonts w:ascii="Aptos" w:hAnsi="Aptos"/>
          <w:color w:val="1F4E79" w:themeColor="accent1" w:themeShade="80"/>
        </w:rPr>
        <w:t xml:space="preserve">3. </w:t>
      </w:r>
      <w:r w:rsidR="00A061A2" w:rsidRPr="004F53B4">
        <w:rPr>
          <w:rFonts w:ascii="Aptos" w:hAnsi="Aptos"/>
          <w:color w:val="1F4E79" w:themeColor="accent1" w:themeShade="80"/>
        </w:rPr>
        <w:t>The 24–72–30 Reporting Timeline</w:t>
      </w:r>
    </w:p>
    <w:p w14:paraId="6BCEB9EF" w14:textId="5262EDD2" w:rsidR="00381BBA" w:rsidRPr="004F53B4" w:rsidRDefault="00000000">
      <w:pPr>
        <w:pStyle w:val="Heading5"/>
        <w:rPr>
          <w:rFonts w:ascii="Aptos" w:hAnsi="Aptos"/>
          <w:color w:val="1F4E79" w:themeColor="accent1" w:themeShade="80"/>
        </w:rPr>
      </w:pPr>
      <w:r w:rsidRPr="004F53B4">
        <w:rPr>
          <w:rFonts w:ascii="Aptos" w:hAnsi="Aptos"/>
          <w:color w:val="1F4E79" w:themeColor="accent1" w:themeShade="80"/>
        </w:rPr>
        <w:t xml:space="preserve">3.1 </w:t>
      </w:r>
      <w:r w:rsidR="00A061A2" w:rsidRPr="004F53B4">
        <w:rPr>
          <w:rFonts w:ascii="Aptos" w:hAnsi="Aptos"/>
          <w:color w:val="1F4E79" w:themeColor="accent1" w:themeShade="80"/>
        </w:rPr>
        <w:t>Phase 1: The 24-Hour Early Warning</w:t>
      </w:r>
    </w:p>
    <w:p w14:paraId="2C3DF472" w14:textId="77777777" w:rsidR="00D07B7D" w:rsidRPr="004F53B4" w:rsidRDefault="00D07B7D" w:rsidP="00D07B7D">
      <w:pPr>
        <w:rPr>
          <w:rFonts w:ascii="Aptos" w:hAnsi="Aptos"/>
        </w:rPr>
      </w:pPr>
      <w:r w:rsidRPr="004F53B4">
        <w:rPr>
          <w:rFonts w:ascii="Aptos" w:hAnsi="Aptos"/>
        </w:rPr>
        <w:t>•</w:t>
      </w:r>
      <w:r w:rsidRPr="004F53B4">
        <w:rPr>
          <w:rFonts w:ascii="Aptos" w:hAnsi="Aptos"/>
        </w:rPr>
        <w:tab/>
      </w:r>
      <w:r w:rsidRPr="004F53B4">
        <w:rPr>
          <w:rFonts w:ascii="Aptos" w:hAnsi="Aptos"/>
          <w:b/>
          <w:bCs/>
        </w:rPr>
        <w:t>Deadline:</w:t>
      </w:r>
      <w:r w:rsidRPr="004F53B4">
        <w:rPr>
          <w:rFonts w:ascii="Aptos" w:hAnsi="Aptos"/>
        </w:rPr>
        <w:t xml:space="preserve"> Without undue delay, and in any event within 24 hours of Awareness.</w:t>
      </w:r>
      <w:r w:rsidRPr="004F53B4">
        <w:rPr>
          <w:rFonts w:ascii="MS Gothic" w:eastAsia="MS Gothic" w:hAnsi="MS Gothic" w:cs="MS Gothic" w:hint="eastAsia"/>
        </w:rPr>
        <w:t> </w:t>
      </w:r>
      <w:r w:rsidRPr="004F53B4">
        <w:rPr>
          <w:rFonts w:ascii="Aptos" w:hAnsi="Aptos"/>
        </w:rPr>
        <w:tab/>
      </w:r>
    </w:p>
    <w:p w14:paraId="6BD73AAE" w14:textId="77777777" w:rsidR="00D07B7D" w:rsidRPr="004F53B4" w:rsidRDefault="00D07B7D" w:rsidP="00D07B7D">
      <w:pPr>
        <w:rPr>
          <w:rFonts w:ascii="Aptos" w:hAnsi="Aptos"/>
        </w:rPr>
      </w:pPr>
      <w:r w:rsidRPr="004F53B4">
        <w:rPr>
          <w:rFonts w:ascii="Aptos" w:hAnsi="Aptos"/>
        </w:rPr>
        <w:t>•</w:t>
      </w:r>
      <w:r w:rsidRPr="004F53B4">
        <w:rPr>
          <w:rFonts w:ascii="Aptos" w:hAnsi="Aptos"/>
        </w:rPr>
        <w:tab/>
      </w:r>
      <w:r w:rsidRPr="004F53B4">
        <w:rPr>
          <w:rFonts w:ascii="Aptos" w:hAnsi="Aptos"/>
          <w:b/>
          <w:bCs/>
        </w:rPr>
        <w:t>Recipient:</w:t>
      </w:r>
      <w:r w:rsidRPr="004F53B4">
        <w:rPr>
          <w:rFonts w:ascii="Aptos" w:hAnsi="Aptos"/>
        </w:rPr>
        <w:t xml:space="preserve"> BSI (via the official BSI Reporting Portal).</w:t>
      </w:r>
      <w:r w:rsidRPr="004F53B4">
        <w:rPr>
          <w:rFonts w:ascii="MS Gothic" w:eastAsia="MS Gothic" w:hAnsi="MS Gothic" w:cs="MS Gothic" w:hint="eastAsia"/>
        </w:rPr>
        <w:t> </w:t>
      </w:r>
      <w:r w:rsidRPr="004F53B4">
        <w:rPr>
          <w:rFonts w:ascii="Aptos" w:hAnsi="Aptos"/>
        </w:rPr>
        <w:tab/>
      </w:r>
    </w:p>
    <w:p w14:paraId="1ADE3D0E" w14:textId="77777777" w:rsidR="00D07B7D" w:rsidRPr="004F53B4" w:rsidRDefault="00D07B7D" w:rsidP="00D07B7D">
      <w:pPr>
        <w:rPr>
          <w:rFonts w:ascii="Aptos" w:hAnsi="Aptos"/>
        </w:rPr>
      </w:pPr>
      <w:r w:rsidRPr="004F53B4">
        <w:rPr>
          <w:rFonts w:ascii="Aptos" w:hAnsi="Aptos"/>
        </w:rPr>
        <w:t>•</w:t>
      </w:r>
      <w:r w:rsidRPr="004F53B4">
        <w:rPr>
          <w:rFonts w:ascii="Aptos" w:hAnsi="Aptos"/>
        </w:rPr>
        <w:tab/>
      </w:r>
      <w:r w:rsidRPr="004F53B4">
        <w:rPr>
          <w:rFonts w:ascii="Aptos" w:hAnsi="Aptos"/>
          <w:b/>
          <w:bCs/>
        </w:rPr>
        <w:t>Owner:</w:t>
      </w:r>
      <w:r w:rsidRPr="004F53B4">
        <w:rPr>
          <w:rFonts w:ascii="Aptos" w:hAnsi="Aptos"/>
        </w:rPr>
        <w:t xml:space="preserve"> IT Security Lead (Approval by Legal Counsel).</w:t>
      </w:r>
      <w:r w:rsidRPr="004F53B4">
        <w:rPr>
          <w:rFonts w:ascii="MS Gothic" w:eastAsia="MS Gothic" w:hAnsi="MS Gothic" w:cs="MS Gothic" w:hint="eastAsia"/>
        </w:rPr>
        <w:t> </w:t>
      </w:r>
      <w:r w:rsidRPr="004F53B4">
        <w:rPr>
          <w:rFonts w:ascii="Aptos" w:hAnsi="Aptos"/>
        </w:rPr>
        <w:tab/>
      </w:r>
    </w:p>
    <w:p w14:paraId="3CBCB84B" w14:textId="3AF317A1" w:rsidR="00D61372" w:rsidRPr="004F53B4" w:rsidRDefault="00D07B7D" w:rsidP="00D07B7D">
      <w:pPr>
        <w:rPr>
          <w:rFonts w:ascii="Aptos" w:hAnsi="Aptos"/>
        </w:rPr>
      </w:pPr>
      <w:r w:rsidRPr="004F53B4">
        <w:rPr>
          <w:rFonts w:ascii="Aptos" w:hAnsi="Aptos"/>
        </w:rPr>
        <w:t>•</w:t>
      </w:r>
      <w:r w:rsidRPr="004F53B4">
        <w:rPr>
          <w:rFonts w:ascii="Aptos" w:hAnsi="Aptos"/>
        </w:rPr>
        <w:tab/>
      </w:r>
      <w:r w:rsidRPr="004F53B4">
        <w:rPr>
          <w:rFonts w:ascii="Aptos" w:hAnsi="Aptos"/>
          <w:b/>
          <w:bCs/>
        </w:rPr>
        <w:t>Required Information:</w:t>
      </w:r>
      <w:r w:rsidRPr="004F53B4">
        <w:rPr>
          <w:rFonts w:ascii="Aptos" w:hAnsi="Aptos"/>
        </w:rPr>
        <w:t xml:space="preserve"> A credible early warning indicating whether the incident is suspected of being caused by unlawful or malicious acts (e.g., ransomware) and whether it has the potential to have a cross-border impact across other EU Member States.</w:t>
      </w:r>
    </w:p>
    <w:p w14:paraId="0D01C841" w14:textId="77777777" w:rsidR="00EC650A" w:rsidRPr="004F53B4" w:rsidRDefault="00EC650A">
      <w:pPr>
        <w:rPr>
          <w:rFonts w:ascii="Aptos" w:eastAsia="Arial" w:hAnsi="Aptos" w:cs="Arial"/>
          <w:color w:val="2E74B5" w:themeColor="accent1" w:themeShade="BF"/>
        </w:rPr>
      </w:pPr>
      <w:r w:rsidRPr="004F53B4">
        <w:rPr>
          <w:rFonts w:ascii="Aptos" w:hAnsi="Aptos"/>
        </w:rPr>
        <w:br w:type="page"/>
      </w:r>
    </w:p>
    <w:p w14:paraId="24AB6002" w14:textId="0AD58145" w:rsidR="00381BBA" w:rsidRPr="004F53B4" w:rsidRDefault="00000000">
      <w:pPr>
        <w:pStyle w:val="Heading5"/>
        <w:rPr>
          <w:rFonts w:ascii="Aptos" w:hAnsi="Aptos"/>
          <w:color w:val="1F4E79" w:themeColor="accent1" w:themeShade="80"/>
        </w:rPr>
      </w:pPr>
      <w:r w:rsidRPr="004F53B4">
        <w:rPr>
          <w:rFonts w:ascii="Aptos" w:hAnsi="Aptos"/>
          <w:color w:val="1F4E79" w:themeColor="accent1" w:themeShade="80"/>
        </w:rPr>
        <w:lastRenderedPageBreak/>
        <w:t xml:space="preserve">3.2 </w:t>
      </w:r>
      <w:r w:rsidR="00D07B7D" w:rsidRPr="004F53B4">
        <w:rPr>
          <w:rFonts w:ascii="Aptos" w:hAnsi="Aptos"/>
          <w:color w:val="1F4E79" w:themeColor="accent1" w:themeShade="80"/>
        </w:rPr>
        <w:t>Phase 2: The 72-Hour Incident Notification</w:t>
      </w:r>
    </w:p>
    <w:p w14:paraId="2AA80401" w14:textId="77777777" w:rsidR="00D07B7D" w:rsidRPr="004F53B4" w:rsidRDefault="00D07B7D">
      <w:pPr>
        <w:rPr>
          <w:rFonts w:ascii="Aptos" w:hAnsi="Aptos"/>
        </w:rPr>
      </w:pPr>
      <w:r w:rsidRPr="004F53B4">
        <w:rPr>
          <w:rFonts w:ascii="Aptos" w:hAnsi="Aptos"/>
        </w:rPr>
        <w:t>•</w:t>
      </w:r>
      <w:r w:rsidRPr="004F53B4">
        <w:rPr>
          <w:rFonts w:ascii="Aptos" w:hAnsi="Aptos"/>
        </w:rPr>
        <w:tab/>
      </w:r>
      <w:r w:rsidRPr="004F53B4">
        <w:rPr>
          <w:rFonts w:ascii="Aptos" w:hAnsi="Aptos"/>
          <w:b/>
          <w:bCs/>
        </w:rPr>
        <w:t>Deadline:</w:t>
      </w:r>
      <w:r w:rsidRPr="004F53B4">
        <w:rPr>
          <w:rFonts w:ascii="Aptos" w:hAnsi="Aptos"/>
        </w:rPr>
        <w:t xml:space="preserve"> Without undue delay, and in any event within 72 hours of Awareness.</w:t>
      </w:r>
      <w:r w:rsidRPr="004F53B4">
        <w:rPr>
          <w:rFonts w:ascii="MS Gothic" w:eastAsia="MS Gothic" w:hAnsi="MS Gothic" w:cs="MS Gothic" w:hint="eastAsia"/>
        </w:rPr>
        <w:t> </w:t>
      </w:r>
      <w:r w:rsidRPr="004F53B4">
        <w:rPr>
          <w:rFonts w:ascii="Aptos" w:hAnsi="Aptos"/>
        </w:rPr>
        <w:tab/>
      </w:r>
    </w:p>
    <w:p w14:paraId="62115C09" w14:textId="77777777" w:rsidR="00D07B7D" w:rsidRPr="004F53B4" w:rsidRDefault="00D07B7D">
      <w:pPr>
        <w:rPr>
          <w:rFonts w:ascii="Aptos" w:hAnsi="Aptos"/>
        </w:rPr>
      </w:pPr>
      <w:r w:rsidRPr="004F53B4">
        <w:rPr>
          <w:rFonts w:ascii="Aptos" w:hAnsi="Aptos"/>
        </w:rPr>
        <w:t>•</w:t>
      </w:r>
      <w:r w:rsidRPr="004F53B4">
        <w:rPr>
          <w:rFonts w:ascii="Aptos" w:hAnsi="Aptos"/>
        </w:rPr>
        <w:tab/>
      </w:r>
      <w:r w:rsidRPr="004F53B4">
        <w:rPr>
          <w:rFonts w:ascii="Aptos" w:hAnsi="Aptos"/>
          <w:b/>
          <w:bCs/>
        </w:rPr>
        <w:t>Recipient:</w:t>
      </w:r>
      <w:r w:rsidRPr="004F53B4">
        <w:rPr>
          <w:rFonts w:ascii="Aptos" w:hAnsi="Aptos"/>
        </w:rPr>
        <w:t xml:space="preserve"> BSI.</w:t>
      </w:r>
      <w:r w:rsidRPr="004F53B4">
        <w:rPr>
          <w:rFonts w:ascii="MS Gothic" w:eastAsia="MS Gothic" w:hAnsi="MS Gothic" w:cs="MS Gothic" w:hint="eastAsia"/>
        </w:rPr>
        <w:t> </w:t>
      </w:r>
      <w:r w:rsidRPr="004F53B4">
        <w:rPr>
          <w:rFonts w:ascii="Aptos" w:hAnsi="Aptos"/>
        </w:rPr>
        <w:tab/>
      </w:r>
    </w:p>
    <w:p w14:paraId="00A917B7" w14:textId="77777777" w:rsidR="00D07B7D" w:rsidRPr="004F53B4" w:rsidRDefault="00D07B7D">
      <w:pPr>
        <w:rPr>
          <w:rFonts w:ascii="Aptos" w:hAnsi="Aptos"/>
        </w:rPr>
      </w:pPr>
      <w:r w:rsidRPr="004F53B4">
        <w:rPr>
          <w:rFonts w:ascii="Aptos" w:hAnsi="Aptos"/>
        </w:rPr>
        <w:t>•</w:t>
      </w:r>
      <w:r w:rsidRPr="004F53B4">
        <w:rPr>
          <w:rFonts w:ascii="Aptos" w:hAnsi="Aptos"/>
        </w:rPr>
        <w:tab/>
      </w:r>
      <w:r w:rsidRPr="004F53B4">
        <w:rPr>
          <w:rFonts w:ascii="Aptos" w:hAnsi="Aptos"/>
          <w:b/>
          <w:bCs/>
        </w:rPr>
        <w:t>Owner:</w:t>
      </w:r>
      <w:r w:rsidRPr="004F53B4">
        <w:rPr>
          <w:rFonts w:ascii="Aptos" w:hAnsi="Aptos"/>
        </w:rPr>
        <w:t xml:space="preserve"> Head of Engineering (Approval by CEO).</w:t>
      </w:r>
      <w:r w:rsidRPr="004F53B4">
        <w:rPr>
          <w:rFonts w:ascii="MS Gothic" w:eastAsia="MS Gothic" w:hAnsi="MS Gothic" w:cs="MS Gothic" w:hint="eastAsia"/>
        </w:rPr>
        <w:t> </w:t>
      </w:r>
      <w:r w:rsidRPr="004F53B4">
        <w:rPr>
          <w:rFonts w:ascii="Aptos" w:hAnsi="Aptos"/>
        </w:rPr>
        <w:tab/>
      </w:r>
    </w:p>
    <w:p w14:paraId="384D8408" w14:textId="4F69350F" w:rsidR="00D07B7D" w:rsidRDefault="00D07B7D" w:rsidP="00D07B7D">
      <w:pPr>
        <w:rPr>
          <w:rFonts w:ascii="Aptos" w:hAnsi="Aptos"/>
        </w:rPr>
      </w:pPr>
      <w:r w:rsidRPr="004F53B4">
        <w:rPr>
          <w:rFonts w:ascii="Aptos" w:hAnsi="Aptos"/>
        </w:rPr>
        <w:t>•</w:t>
      </w:r>
      <w:r w:rsidRPr="004F53B4">
        <w:rPr>
          <w:rFonts w:ascii="Aptos" w:hAnsi="Aptos"/>
        </w:rPr>
        <w:tab/>
      </w:r>
      <w:r w:rsidRPr="004F53B4">
        <w:rPr>
          <w:rFonts w:ascii="Aptos" w:hAnsi="Aptos"/>
          <w:b/>
          <w:bCs/>
        </w:rPr>
        <w:t>Required Information:</w:t>
      </w:r>
      <w:r w:rsidRPr="004F53B4">
        <w:rPr>
          <w:rFonts w:ascii="Aptos" w:hAnsi="Aptos"/>
        </w:rPr>
        <w:t xml:space="preserve"> Updates to the 24-hour early warning, an initial assessment of the incident's severity and business impact, identification of affected systems, initial containment measures deployed, and Indicators of Compromise (</w:t>
      </w:r>
      <w:proofErr w:type="spellStart"/>
      <w:r w:rsidRPr="004F53B4">
        <w:rPr>
          <w:rFonts w:ascii="Aptos" w:hAnsi="Aptos"/>
        </w:rPr>
        <w:t>IoCs</w:t>
      </w:r>
      <w:proofErr w:type="spellEnd"/>
      <w:r w:rsidRPr="004F53B4">
        <w:rPr>
          <w:rFonts w:ascii="Aptos" w:hAnsi="Aptos"/>
        </w:rPr>
        <w:t>) where available.</w:t>
      </w:r>
    </w:p>
    <w:p w14:paraId="3DFFDAD0" w14:textId="77777777" w:rsidR="004F53B4" w:rsidRPr="004F53B4" w:rsidRDefault="004F53B4" w:rsidP="00D07B7D">
      <w:pPr>
        <w:rPr>
          <w:rFonts w:ascii="Aptos" w:hAnsi="Aptos"/>
        </w:rPr>
      </w:pPr>
    </w:p>
    <w:p w14:paraId="13B345B0" w14:textId="2153A214" w:rsidR="00381BBA" w:rsidRPr="004F53B4" w:rsidRDefault="00000000" w:rsidP="00D07B7D">
      <w:pPr>
        <w:rPr>
          <w:rFonts w:ascii="Aptos" w:eastAsia="Arial" w:hAnsi="Aptos" w:cs="Arial"/>
          <w:color w:val="2E74B5" w:themeColor="accent1" w:themeShade="BF"/>
        </w:rPr>
      </w:pPr>
      <w:r w:rsidRPr="004F53B4">
        <w:rPr>
          <w:rFonts w:ascii="Aptos" w:hAnsi="Aptos"/>
          <w:color w:val="1F4E79" w:themeColor="accent1" w:themeShade="80"/>
        </w:rPr>
        <w:t xml:space="preserve">3.3 </w:t>
      </w:r>
      <w:r w:rsidR="00D07B7D" w:rsidRPr="004F53B4">
        <w:rPr>
          <w:rFonts w:ascii="Aptos" w:hAnsi="Aptos"/>
          <w:color w:val="1F4E79" w:themeColor="accent1" w:themeShade="80"/>
        </w:rPr>
        <w:t>Phase 3: Intermediate Reports</w:t>
      </w:r>
    </w:p>
    <w:p w14:paraId="5E83104D" w14:textId="049D1CD3" w:rsidR="00BB0102" w:rsidRPr="00BB0102" w:rsidRDefault="00BB0102" w:rsidP="00BB0102">
      <w:pPr>
        <w:rPr>
          <w:rFonts w:ascii="Aptos" w:hAnsi="Aptos"/>
        </w:rPr>
      </w:pPr>
      <w:r w:rsidRPr="00BB0102">
        <w:rPr>
          <w:rFonts w:ascii="Aptos" w:hAnsi="Aptos"/>
        </w:rPr>
        <w:t>•</w:t>
      </w:r>
      <w:r w:rsidRPr="00BB0102">
        <w:rPr>
          <w:rFonts w:ascii="Aptos" w:hAnsi="Aptos"/>
        </w:rPr>
        <w:tab/>
      </w:r>
      <w:r w:rsidRPr="00BB0102">
        <w:rPr>
          <w:rFonts w:ascii="Aptos" w:hAnsi="Aptos"/>
          <w:b/>
          <w:bCs/>
        </w:rPr>
        <w:t>Deadline:</w:t>
      </w:r>
      <w:r w:rsidRPr="00BB0102">
        <w:rPr>
          <w:rFonts w:ascii="Aptos" w:hAnsi="Aptos"/>
        </w:rPr>
        <w:t xml:space="preserve"> </w:t>
      </w:r>
      <w:r w:rsidR="004462B9" w:rsidRPr="004462B9">
        <w:rPr>
          <w:rFonts w:ascii="Aptos" w:hAnsi="Aptos"/>
        </w:rPr>
        <w:t>Upon specific request by the BSI or CSIRT.</w:t>
      </w:r>
    </w:p>
    <w:p w14:paraId="65154E8F" w14:textId="77777777" w:rsidR="00BB0102" w:rsidRPr="00BB0102" w:rsidRDefault="00BB0102" w:rsidP="00BB0102">
      <w:pPr>
        <w:rPr>
          <w:rFonts w:ascii="Aptos" w:hAnsi="Aptos"/>
        </w:rPr>
      </w:pPr>
      <w:r w:rsidRPr="00BB0102">
        <w:rPr>
          <w:rFonts w:ascii="Aptos" w:hAnsi="Aptos"/>
        </w:rPr>
        <w:t>•</w:t>
      </w:r>
      <w:r w:rsidRPr="00BB0102">
        <w:rPr>
          <w:rFonts w:ascii="Aptos" w:hAnsi="Aptos"/>
        </w:rPr>
        <w:tab/>
      </w:r>
      <w:r w:rsidRPr="00BB0102">
        <w:rPr>
          <w:rFonts w:ascii="Aptos" w:hAnsi="Aptos"/>
          <w:b/>
          <w:bCs/>
        </w:rPr>
        <w:t>Recipient:</w:t>
      </w:r>
      <w:r w:rsidRPr="00BB0102">
        <w:rPr>
          <w:rFonts w:ascii="Aptos" w:hAnsi="Aptos"/>
        </w:rPr>
        <w:t xml:space="preserve"> BSI.</w:t>
      </w:r>
      <w:r w:rsidRPr="00BB0102">
        <w:rPr>
          <w:rFonts w:ascii="MS Gothic" w:eastAsia="MS Gothic" w:hAnsi="MS Gothic" w:cs="MS Gothic" w:hint="eastAsia"/>
        </w:rPr>
        <w:t> </w:t>
      </w:r>
      <w:r w:rsidRPr="00BB0102">
        <w:rPr>
          <w:rFonts w:ascii="Aptos" w:hAnsi="Aptos"/>
        </w:rPr>
        <w:tab/>
      </w:r>
    </w:p>
    <w:p w14:paraId="191D3C17" w14:textId="336E9A9D" w:rsidR="00D07B7D" w:rsidRDefault="00BB0102" w:rsidP="00BB0102">
      <w:pPr>
        <w:rPr>
          <w:rFonts w:ascii="Aptos" w:hAnsi="Aptos"/>
        </w:rPr>
      </w:pPr>
      <w:r w:rsidRPr="00BB0102">
        <w:rPr>
          <w:rFonts w:ascii="Aptos" w:hAnsi="Aptos"/>
        </w:rPr>
        <w:t>•</w:t>
      </w:r>
      <w:r w:rsidRPr="00BB0102">
        <w:rPr>
          <w:rFonts w:ascii="Aptos" w:hAnsi="Aptos"/>
        </w:rPr>
        <w:tab/>
      </w:r>
      <w:r w:rsidRPr="00BB0102">
        <w:rPr>
          <w:rFonts w:ascii="Aptos" w:hAnsi="Aptos"/>
          <w:b/>
          <w:bCs/>
        </w:rPr>
        <w:t>Required Information:</w:t>
      </w:r>
      <w:r w:rsidRPr="00BB0102">
        <w:rPr>
          <w:rFonts w:ascii="Aptos" w:hAnsi="Aptos"/>
        </w:rPr>
        <w:t xml:space="preserve"> </w:t>
      </w:r>
      <w:r w:rsidR="004462B9" w:rsidRPr="004462B9">
        <w:rPr>
          <w:rFonts w:ascii="Aptos" w:hAnsi="Aptos"/>
        </w:rPr>
        <w:t xml:space="preserve">Relevant status updates on containment, ongoing recovery efforts, and newly discovered </w:t>
      </w:r>
      <w:proofErr w:type="spellStart"/>
      <w:r w:rsidR="004462B9" w:rsidRPr="004462B9">
        <w:rPr>
          <w:rFonts w:ascii="Aptos" w:hAnsi="Aptos"/>
        </w:rPr>
        <w:t>IoCs</w:t>
      </w:r>
      <w:proofErr w:type="spellEnd"/>
      <w:r w:rsidR="004462B9" w:rsidRPr="004462B9">
        <w:rPr>
          <w:rFonts w:ascii="Aptos" w:hAnsi="Aptos"/>
        </w:rPr>
        <w:t>.</w:t>
      </w:r>
    </w:p>
    <w:p w14:paraId="5FC4B336" w14:textId="77777777" w:rsidR="004462B9" w:rsidRPr="00BB0102" w:rsidRDefault="004462B9" w:rsidP="00BB0102">
      <w:pPr>
        <w:rPr>
          <w:rFonts w:ascii="Aptos" w:hAnsi="Aptos"/>
        </w:rPr>
      </w:pPr>
    </w:p>
    <w:p w14:paraId="134C2196" w14:textId="77777777" w:rsidR="00D07B7D" w:rsidRPr="004F53B4" w:rsidRDefault="00D07B7D" w:rsidP="00D07B7D">
      <w:pPr>
        <w:rPr>
          <w:rFonts w:ascii="Aptos" w:hAnsi="Aptos"/>
          <w:color w:val="1F4E79" w:themeColor="accent1" w:themeShade="80"/>
        </w:rPr>
      </w:pPr>
      <w:r w:rsidRPr="004F53B4">
        <w:rPr>
          <w:rFonts w:ascii="Aptos" w:hAnsi="Aptos"/>
          <w:color w:val="1F4E79" w:themeColor="accent1" w:themeShade="80"/>
        </w:rPr>
        <w:t>3.4 Phase 4: The 1-Month Final Report</w:t>
      </w:r>
    </w:p>
    <w:p w14:paraId="545D7F4E" w14:textId="77777777" w:rsidR="004462B9" w:rsidRPr="004462B9" w:rsidRDefault="004462B9" w:rsidP="004462B9">
      <w:pPr>
        <w:rPr>
          <w:rFonts w:ascii="Aptos" w:hAnsi="Aptos"/>
        </w:rPr>
      </w:pPr>
      <w:r w:rsidRPr="004462B9">
        <w:rPr>
          <w:rFonts w:ascii="Aptos" w:hAnsi="Aptos"/>
        </w:rPr>
        <w:t>•</w:t>
      </w:r>
      <w:r w:rsidRPr="004462B9">
        <w:rPr>
          <w:rFonts w:ascii="Aptos" w:hAnsi="Aptos"/>
        </w:rPr>
        <w:tab/>
      </w:r>
      <w:r w:rsidRPr="004462B9">
        <w:rPr>
          <w:rFonts w:ascii="Aptos" w:hAnsi="Aptos"/>
          <w:b/>
          <w:bCs/>
        </w:rPr>
        <w:t>Deadline:</w:t>
      </w:r>
      <w:r w:rsidRPr="004462B9">
        <w:rPr>
          <w:rFonts w:ascii="Aptos" w:hAnsi="Aptos"/>
        </w:rPr>
        <w:t xml:space="preserve"> Not later than one month after the submission of the 72-Hour Incident Notification. If the incident is still ongoing at 30 days, a Progress Report must be filed instead, with the Final Report due one month after the incident is fully closed.</w:t>
      </w:r>
      <w:r w:rsidRPr="004462B9">
        <w:rPr>
          <w:rFonts w:ascii="Aptos" w:hAnsi="Aptos"/>
        </w:rPr>
        <w:tab/>
      </w:r>
    </w:p>
    <w:p w14:paraId="21E9AE4D" w14:textId="77777777" w:rsidR="004462B9" w:rsidRPr="004462B9" w:rsidRDefault="004462B9" w:rsidP="004462B9">
      <w:pPr>
        <w:rPr>
          <w:rFonts w:ascii="Aptos" w:hAnsi="Aptos"/>
        </w:rPr>
      </w:pPr>
      <w:r w:rsidRPr="004462B9">
        <w:rPr>
          <w:rFonts w:ascii="Aptos" w:hAnsi="Aptos"/>
        </w:rPr>
        <w:t>•</w:t>
      </w:r>
      <w:r w:rsidRPr="004462B9">
        <w:rPr>
          <w:rFonts w:ascii="Aptos" w:hAnsi="Aptos"/>
        </w:rPr>
        <w:tab/>
      </w:r>
      <w:r w:rsidRPr="004462B9">
        <w:rPr>
          <w:rFonts w:ascii="Aptos" w:hAnsi="Aptos"/>
          <w:b/>
          <w:bCs/>
        </w:rPr>
        <w:t>Recipient:</w:t>
      </w:r>
      <w:r w:rsidRPr="004462B9">
        <w:rPr>
          <w:rFonts w:ascii="Aptos" w:hAnsi="Aptos"/>
        </w:rPr>
        <w:t xml:space="preserve"> BSI.</w:t>
      </w:r>
      <w:r w:rsidRPr="004462B9">
        <w:rPr>
          <w:rFonts w:ascii="MS Gothic" w:eastAsia="MS Gothic" w:hAnsi="MS Gothic" w:cs="MS Gothic" w:hint="eastAsia"/>
        </w:rPr>
        <w:t> </w:t>
      </w:r>
      <w:r w:rsidRPr="004462B9">
        <w:rPr>
          <w:rFonts w:ascii="Aptos" w:hAnsi="Aptos"/>
        </w:rPr>
        <w:tab/>
      </w:r>
    </w:p>
    <w:p w14:paraId="1CD08715" w14:textId="77777777" w:rsidR="004462B9" w:rsidRPr="004462B9" w:rsidRDefault="004462B9" w:rsidP="004462B9">
      <w:pPr>
        <w:rPr>
          <w:rFonts w:ascii="Aptos" w:hAnsi="Aptos"/>
        </w:rPr>
      </w:pPr>
      <w:r w:rsidRPr="004462B9">
        <w:rPr>
          <w:rFonts w:ascii="Aptos" w:hAnsi="Aptos"/>
        </w:rPr>
        <w:t>•</w:t>
      </w:r>
      <w:r w:rsidRPr="004462B9">
        <w:rPr>
          <w:rFonts w:ascii="Aptos" w:hAnsi="Aptos"/>
        </w:rPr>
        <w:tab/>
      </w:r>
      <w:r w:rsidRPr="004462B9">
        <w:rPr>
          <w:rFonts w:ascii="Aptos" w:hAnsi="Aptos"/>
          <w:b/>
          <w:bCs/>
        </w:rPr>
        <w:t>Owner: Head of Engineering (Interim CISO) (Approval by CEO).</w:t>
      </w:r>
      <w:r w:rsidRPr="004462B9">
        <w:rPr>
          <w:rFonts w:ascii="Aptos" w:hAnsi="Aptos"/>
        </w:rPr>
        <w:t xml:space="preserve"/>
      </w:r>
      <w:r w:rsidRPr="004462B9">
        <w:rPr>
          <w:rFonts w:ascii="Aptos" w:hAnsi="Aptos"/>
        </w:rPr>
        <w:tab/>
      </w:r>
    </w:p>
    <w:p w14:paraId="78FFC7A7" w14:textId="06DAF292" w:rsidR="004F53B4" w:rsidRPr="004F53B4" w:rsidRDefault="004462B9" w:rsidP="004462B9">
      <w:pPr>
        <w:rPr>
          <w:rFonts w:ascii="Aptos" w:eastAsia="Arial" w:hAnsi="Aptos" w:cs="Arial"/>
          <w:color w:val="1F4E79" w:themeColor="accent1" w:themeShade="80"/>
          <w:sz w:val="32"/>
          <w:szCs w:val="32"/>
        </w:rPr>
      </w:pPr>
      <w:r w:rsidRPr="004462B9">
        <w:rPr>
          <w:rFonts w:ascii="Aptos" w:hAnsi="Aptos"/>
        </w:rPr>
        <w:t>•</w:t>
      </w:r>
      <w:r w:rsidRPr="004462B9">
        <w:rPr>
          <w:rFonts w:ascii="Aptos" w:hAnsi="Aptos"/>
        </w:rPr>
        <w:tab/>
      </w:r>
      <w:r w:rsidRPr="004462B9">
        <w:rPr>
          <w:rFonts w:ascii="Aptos" w:hAnsi="Aptos"/>
          <w:b/>
          <w:bCs/>
        </w:rPr>
        <w:t>Required Information:</w:t>
      </w:r>
      <w:r w:rsidRPr="004462B9">
        <w:rPr>
          <w:rFonts w:ascii="Aptos" w:hAnsi="Aptos"/>
        </w:rPr>
        <w:t xml:space="preserve"> A detailed forensic description of the incident, its severity and total impact, the exact type of threat or root cause, applied and ongoing risk mitigation measures, and a final assessment of cross-border impacts.</w:t>
      </w:r>
      <w:r w:rsidR="004F53B4" w:rsidRPr="004F53B4">
        <w:rPr>
          <w:rFonts w:ascii="Aptos" w:hAnsi="Aptos"/>
          <w:color w:val="1F4E79" w:themeColor="accent1" w:themeShade="80"/>
        </w:rPr>
        <w:br w:type="page"/>
      </w:r>
    </w:p>
    <w:p w14:paraId="72FB96A7" w14:textId="66F2504F" w:rsidR="00381BBA" w:rsidRPr="004F53B4" w:rsidRDefault="00000000" w:rsidP="00D61372">
      <w:pPr>
        <w:pStyle w:val="Heading2"/>
        <w:rPr>
          <w:rFonts w:ascii="Aptos" w:hAnsi="Aptos"/>
          <w:color w:val="1F4E79" w:themeColor="accent1" w:themeShade="80"/>
        </w:rPr>
      </w:pPr>
      <w:r w:rsidRPr="004F53B4">
        <w:rPr>
          <w:rFonts w:ascii="Aptos" w:hAnsi="Aptos"/>
          <w:color w:val="1F4E79" w:themeColor="accent1" w:themeShade="80"/>
        </w:rPr>
        <w:lastRenderedPageBreak/>
        <w:t xml:space="preserve">4. </w:t>
      </w:r>
      <w:r w:rsidR="00D07B7D" w:rsidRPr="004F53B4">
        <w:rPr>
          <w:rFonts w:ascii="Aptos" w:hAnsi="Aptos"/>
          <w:color w:val="1F4E79" w:themeColor="accent1" w:themeShade="80"/>
        </w:rPr>
        <w:t>Parallel Reporting Obligations (The "Double Notification" Rule)</w:t>
      </w:r>
    </w:p>
    <w:p w14:paraId="0B662A52" w14:textId="77777777" w:rsidR="00D07B7D" w:rsidRPr="004F53B4" w:rsidRDefault="00D07B7D">
      <w:pPr>
        <w:pStyle w:val="Heading5"/>
        <w:rPr>
          <w:rFonts w:ascii="Aptos" w:eastAsiaTheme="minorHAnsi" w:hAnsi="Aptos" w:cstheme="minorBidi"/>
          <w:color w:val="auto"/>
        </w:rPr>
      </w:pPr>
      <w:r w:rsidRPr="004F53B4">
        <w:rPr>
          <w:rFonts w:ascii="Aptos" w:eastAsiaTheme="minorHAnsi" w:hAnsi="Aptos" w:cstheme="minorBidi"/>
          <w:color w:val="auto"/>
        </w:rPr>
        <w:t>A cyber incident at MunichTech GmbH may trigger parallel legal obligations. The Legal Counsel is responsible for managing the following concurrent workflows:</w:t>
      </w:r>
    </w:p>
    <w:p w14:paraId="4C97C095" w14:textId="6B912C22" w:rsidR="00381BBA" w:rsidRPr="004F53B4" w:rsidRDefault="00381BBA">
      <w:pPr>
        <w:rPr>
          <w:rFonts w:ascii="Aptos" w:hAnsi="Aptos"/>
        </w:rPr>
      </w:pPr>
    </w:p>
    <w:tbl>
      <w:tblPr>
        <w:tblStyle w:val="TableGrid"/>
        <w:tblW w:w="9465" w:type="dxa"/>
        <w:tblLook w:val="04A0" w:firstRow="1" w:lastRow="0" w:firstColumn="1" w:lastColumn="0" w:noHBand="0" w:noVBand="1"/>
      </w:tblPr>
      <w:tblGrid>
        <w:gridCol w:w="2607"/>
        <w:gridCol w:w="1798"/>
        <w:gridCol w:w="2970"/>
        <w:gridCol w:w="2090"/>
      </w:tblGrid>
      <w:tr w:rsidR="00D07B7D" w:rsidRPr="004F53B4" w14:paraId="217F0449" w14:textId="3276885C" w:rsidTr="004F53B4">
        <w:trPr>
          <w:trHeight w:val="615"/>
        </w:trPr>
        <w:tc>
          <w:tcPr>
            <w:tcW w:w="2607" w:type="dxa"/>
            <w:vAlign w:val="center"/>
          </w:tcPr>
          <w:p w14:paraId="74C3EF04" w14:textId="76B060E1" w:rsidR="00D07B7D" w:rsidRPr="004F53B4" w:rsidRDefault="00D07B7D" w:rsidP="004F53B4">
            <w:pPr>
              <w:pStyle w:val="Heading4"/>
              <w:spacing w:before="0" w:after="0"/>
              <w:rPr>
                <w:rFonts w:ascii="Aptos" w:hAnsi="Aptos"/>
                <w:color w:val="1F4E79" w:themeColor="accent1" w:themeShade="80"/>
              </w:rPr>
            </w:pPr>
            <w:r w:rsidRPr="004F53B4">
              <w:rPr>
                <w:rFonts w:ascii="Aptos" w:hAnsi="Aptos"/>
                <w:color w:val="1F4E79" w:themeColor="accent1" w:themeShade="80"/>
              </w:rPr>
              <w:t>Regulatory Body</w:t>
            </w:r>
          </w:p>
        </w:tc>
        <w:tc>
          <w:tcPr>
            <w:tcW w:w="1798" w:type="dxa"/>
            <w:vAlign w:val="center"/>
          </w:tcPr>
          <w:p w14:paraId="1BB552F5" w14:textId="67A580E4" w:rsidR="00D07B7D" w:rsidRPr="004F53B4" w:rsidRDefault="00D07B7D" w:rsidP="004F53B4">
            <w:pPr>
              <w:pStyle w:val="Heading4"/>
              <w:spacing w:before="0" w:after="0"/>
              <w:rPr>
                <w:rFonts w:ascii="Aptos" w:hAnsi="Aptos"/>
                <w:color w:val="1F4E79" w:themeColor="accent1" w:themeShade="80"/>
              </w:rPr>
            </w:pPr>
            <w:r w:rsidRPr="004F53B4">
              <w:rPr>
                <w:rFonts w:ascii="Aptos" w:hAnsi="Aptos"/>
                <w:color w:val="1F4E79" w:themeColor="accent1" w:themeShade="80"/>
              </w:rPr>
              <w:t>Law / Regulation</w:t>
            </w:r>
          </w:p>
        </w:tc>
        <w:tc>
          <w:tcPr>
            <w:tcW w:w="2970" w:type="dxa"/>
            <w:vAlign w:val="center"/>
          </w:tcPr>
          <w:p w14:paraId="163C4711" w14:textId="03EF289F" w:rsidR="00D07B7D" w:rsidRPr="004F53B4" w:rsidRDefault="00D07B7D" w:rsidP="004F53B4">
            <w:pPr>
              <w:pStyle w:val="Heading4"/>
              <w:spacing w:before="0" w:after="0"/>
              <w:rPr>
                <w:rFonts w:ascii="Aptos" w:hAnsi="Aptos"/>
                <w:color w:val="1F4E79" w:themeColor="accent1" w:themeShade="80"/>
              </w:rPr>
            </w:pPr>
            <w:r w:rsidRPr="004F53B4">
              <w:rPr>
                <w:rFonts w:ascii="Aptos" w:hAnsi="Aptos"/>
                <w:color w:val="1F4E79" w:themeColor="accent1" w:themeShade="80"/>
              </w:rPr>
              <w:t>Deadline</w:t>
            </w:r>
          </w:p>
        </w:tc>
        <w:tc>
          <w:tcPr>
            <w:tcW w:w="2090" w:type="dxa"/>
            <w:vAlign w:val="center"/>
          </w:tcPr>
          <w:p w14:paraId="085A0C04" w14:textId="62C1528D" w:rsidR="00D07B7D" w:rsidRPr="004F53B4" w:rsidRDefault="00D07B7D" w:rsidP="004F53B4">
            <w:pPr>
              <w:pStyle w:val="Heading4"/>
              <w:spacing w:before="0" w:after="0"/>
              <w:rPr>
                <w:rFonts w:ascii="Aptos" w:hAnsi="Aptos"/>
                <w:color w:val="1F4E79" w:themeColor="accent1" w:themeShade="80"/>
              </w:rPr>
            </w:pPr>
            <w:r w:rsidRPr="004F53B4">
              <w:rPr>
                <w:rFonts w:ascii="Aptos" w:hAnsi="Aptos"/>
                <w:color w:val="1F4E79" w:themeColor="accent1" w:themeShade="80"/>
              </w:rPr>
              <w:t>Trigger Condition</w:t>
            </w:r>
          </w:p>
        </w:tc>
      </w:tr>
      <w:tr w:rsidR="00D07B7D" w:rsidRPr="004F53B4" w14:paraId="334DAFAD" w14:textId="65EFEDF0" w:rsidTr="004F53B4">
        <w:trPr>
          <w:trHeight w:val="1718"/>
        </w:trPr>
        <w:tc>
          <w:tcPr>
            <w:tcW w:w="2607" w:type="dxa"/>
            <w:vAlign w:val="center"/>
          </w:tcPr>
          <w:p w14:paraId="20D42556" w14:textId="686C66CD" w:rsidR="00D07B7D" w:rsidRPr="004F53B4" w:rsidRDefault="00D07B7D" w:rsidP="004F53B4">
            <w:pPr>
              <w:rPr>
                <w:rFonts w:ascii="Aptos" w:hAnsi="Aptos"/>
              </w:rPr>
            </w:pPr>
            <w:r w:rsidRPr="004F53B4">
              <w:rPr>
                <w:rFonts w:ascii="Aptos" w:hAnsi="Aptos"/>
              </w:rPr>
              <w:t>BSI (Germany)</w:t>
            </w:r>
          </w:p>
        </w:tc>
        <w:tc>
          <w:tcPr>
            <w:tcW w:w="1798" w:type="dxa"/>
            <w:vAlign w:val="center"/>
          </w:tcPr>
          <w:p w14:paraId="05A90C4B" w14:textId="312CB0B9" w:rsidR="00D07B7D" w:rsidRPr="004F53B4" w:rsidRDefault="00D07B7D" w:rsidP="004F53B4">
            <w:pPr>
              <w:rPr>
                <w:rFonts w:ascii="Aptos" w:hAnsi="Aptos"/>
              </w:rPr>
            </w:pPr>
            <w:r w:rsidRPr="004F53B4">
              <w:rPr>
                <w:rFonts w:ascii="Aptos" w:hAnsi="Aptos"/>
              </w:rPr>
              <w:t>NIS2 (BSIG § 32)</w:t>
            </w:r>
          </w:p>
        </w:tc>
        <w:tc>
          <w:tcPr>
            <w:tcW w:w="2970" w:type="dxa"/>
            <w:vAlign w:val="center"/>
          </w:tcPr>
          <w:p w14:paraId="414947A1" w14:textId="0DF6AD37" w:rsidR="00D07B7D" w:rsidRPr="004F53B4" w:rsidRDefault="00D07B7D" w:rsidP="004F53B4">
            <w:pPr>
              <w:rPr>
                <w:rFonts w:ascii="Aptos" w:hAnsi="Aptos"/>
              </w:rPr>
            </w:pPr>
            <w:r w:rsidRPr="004F53B4">
              <w:rPr>
                <w:rFonts w:ascii="Aptos" w:hAnsi="Aptos"/>
              </w:rPr>
              <w:t>24 Hours</w:t>
            </w:r>
          </w:p>
        </w:tc>
        <w:tc>
          <w:tcPr>
            <w:tcW w:w="2090" w:type="dxa"/>
            <w:vAlign w:val="center"/>
          </w:tcPr>
          <w:p w14:paraId="03795677" w14:textId="77777777" w:rsidR="00D07B7D" w:rsidRPr="004F53B4" w:rsidRDefault="00D07B7D" w:rsidP="004F53B4">
            <w:pPr>
              <w:rPr>
                <w:rFonts w:ascii="Aptos" w:hAnsi="Aptos"/>
              </w:rPr>
            </w:pPr>
            <w:r w:rsidRPr="004F53B4">
              <w:rPr>
                <w:rFonts w:ascii="Aptos" w:hAnsi="Aptos"/>
              </w:rPr>
              <w:t>Significant operational disruption or systemic risk.</w:t>
            </w:r>
          </w:p>
          <w:p w14:paraId="4087EA8D" w14:textId="653CB1AA" w:rsidR="00D07B7D" w:rsidRPr="004F53B4" w:rsidRDefault="00D07B7D" w:rsidP="004F53B4">
            <w:pPr>
              <w:rPr>
                <w:rFonts w:ascii="Aptos" w:hAnsi="Aptos"/>
              </w:rPr>
            </w:pPr>
          </w:p>
        </w:tc>
      </w:tr>
      <w:tr w:rsidR="00D07B7D" w:rsidRPr="004F53B4" w14:paraId="062412A4" w14:textId="16857729" w:rsidTr="004F53B4">
        <w:trPr>
          <w:trHeight w:val="2158"/>
        </w:trPr>
        <w:tc>
          <w:tcPr>
            <w:tcW w:w="2607" w:type="dxa"/>
            <w:vAlign w:val="center"/>
          </w:tcPr>
          <w:p w14:paraId="46593E90" w14:textId="0F3B8125" w:rsidR="00D07B7D" w:rsidRPr="004F53B4" w:rsidRDefault="004F53B4" w:rsidP="004F53B4">
            <w:pPr>
              <w:rPr>
                <w:rFonts w:ascii="Aptos" w:hAnsi="Aptos"/>
              </w:rPr>
            </w:pPr>
            <w:r w:rsidRPr="004F53B4">
              <w:rPr>
                <w:rFonts w:ascii="Aptos" w:hAnsi="Aptos"/>
              </w:rPr>
              <w:t>BayLDA (Bavaria)</w:t>
            </w:r>
          </w:p>
        </w:tc>
        <w:tc>
          <w:tcPr>
            <w:tcW w:w="1798" w:type="dxa"/>
            <w:vAlign w:val="center"/>
          </w:tcPr>
          <w:p w14:paraId="68C1F56C" w14:textId="42E16381" w:rsidR="00D07B7D" w:rsidRPr="004F53B4" w:rsidRDefault="004F53B4" w:rsidP="004F53B4">
            <w:pPr>
              <w:rPr>
                <w:rFonts w:ascii="Aptos" w:hAnsi="Aptos"/>
              </w:rPr>
            </w:pPr>
            <w:r w:rsidRPr="004F53B4">
              <w:rPr>
                <w:rFonts w:ascii="Aptos" w:hAnsi="Aptos"/>
              </w:rPr>
              <w:t>DSGVO (GDPR) Art. 33</w:t>
            </w:r>
          </w:p>
        </w:tc>
        <w:tc>
          <w:tcPr>
            <w:tcW w:w="2970" w:type="dxa"/>
            <w:vAlign w:val="center"/>
          </w:tcPr>
          <w:p w14:paraId="73F12BA3" w14:textId="5D68BED6" w:rsidR="00D07B7D" w:rsidRPr="004F53B4" w:rsidRDefault="004F53B4" w:rsidP="004F53B4">
            <w:pPr>
              <w:rPr>
                <w:rFonts w:ascii="Aptos" w:hAnsi="Aptos"/>
              </w:rPr>
            </w:pPr>
            <w:r w:rsidRPr="004F53B4">
              <w:rPr>
                <w:rFonts w:ascii="Aptos" w:hAnsi="Aptos"/>
              </w:rPr>
              <w:t>72 Hours</w:t>
            </w:r>
          </w:p>
        </w:tc>
        <w:tc>
          <w:tcPr>
            <w:tcW w:w="2090" w:type="dxa"/>
            <w:vAlign w:val="center"/>
          </w:tcPr>
          <w:p w14:paraId="19391300" w14:textId="275D3288" w:rsidR="00D07B7D" w:rsidRPr="004F53B4" w:rsidRDefault="004F53B4" w:rsidP="004F53B4">
            <w:pPr>
              <w:rPr>
                <w:rFonts w:ascii="Aptos" w:hAnsi="Aptos"/>
              </w:rPr>
            </w:pPr>
            <w:r w:rsidRPr="004F53B4">
              <w:rPr>
                <w:rFonts w:ascii="Aptos" w:hAnsi="Aptos"/>
              </w:rPr>
              <w:t>The incident involves the accidental or unlawful destruction, loss, alteration, or unauthorized disclosure of personal data (e.g., client PII).</w:t>
            </w:r>
          </w:p>
        </w:tc>
      </w:tr>
      <w:tr w:rsidR="00D07B7D" w:rsidRPr="004F53B4" w14:paraId="15C752AF" w14:textId="463C4371" w:rsidTr="004F53B4">
        <w:trPr>
          <w:trHeight w:val="2135"/>
        </w:trPr>
        <w:tc>
          <w:tcPr>
            <w:tcW w:w="2607" w:type="dxa"/>
            <w:vAlign w:val="center"/>
          </w:tcPr>
          <w:p w14:paraId="30EBCBCF" w14:textId="0086BEFA" w:rsidR="00D07B7D" w:rsidRPr="004F53B4" w:rsidRDefault="004F53B4" w:rsidP="004F53B4">
            <w:pPr>
              <w:rPr>
                <w:rFonts w:ascii="Aptos" w:hAnsi="Aptos"/>
              </w:rPr>
            </w:pPr>
            <w:r w:rsidRPr="004F53B4">
              <w:rPr>
                <w:rFonts w:ascii="Aptos" w:hAnsi="Aptos"/>
              </w:rPr>
              <w:t>Enterprise Clients</w:t>
            </w:r>
          </w:p>
        </w:tc>
        <w:tc>
          <w:tcPr>
            <w:tcW w:w="1798" w:type="dxa"/>
            <w:vAlign w:val="center"/>
          </w:tcPr>
          <w:p w14:paraId="60F6A0CF" w14:textId="7500C9F1" w:rsidR="00D07B7D" w:rsidRPr="004F53B4" w:rsidRDefault="004F53B4" w:rsidP="004F53B4">
            <w:pPr>
              <w:rPr>
                <w:rFonts w:ascii="Aptos" w:hAnsi="Aptos"/>
              </w:rPr>
            </w:pPr>
            <w:r w:rsidRPr="004F53B4">
              <w:rPr>
                <w:rFonts w:ascii="Aptos" w:hAnsi="Aptos"/>
              </w:rPr>
              <w:t>Contracts / DORA</w:t>
            </w:r>
          </w:p>
        </w:tc>
        <w:tc>
          <w:tcPr>
            <w:tcW w:w="2970" w:type="dxa"/>
            <w:vAlign w:val="center"/>
          </w:tcPr>
          <w:p w14:paraId="70841284" w14:textId="41920B4F" w:rsidR="00D07B7D" w:rsidRPr="004F53B4" w:rsidRDefault="004F53B4" w:rsidP="004F53B4">
            <w:pPr>
              <w:rPr>
                <w:rFonts w:ascii="Aptos" w:hAnsi="Aptos"/>
              </w:rPr>
            </w:pPr>
            <w:r w:rsidRPr="004F53B4">
              <w:rPr>
                <w:rFonts w:ascii="Aptos" w:hAnsi="Aptos"/>
              </w:rPr>
              <w:t>Immediate</w:t>
            </w:r>
          </w:p>
        </w:tc>
        <w:tc>
          <w:tcPr>
            <w:tcW w:w="2090" w:type="dxa"/>
            <w:vAlign w:val="center"/>
          </w:tcPr>
          <w:p w14:paraId="10F4237D" w14:textId="29CA3CED" w:rsidR="00D07B7D" w:rsidRPr="004F53B4" w:rsidRDefault="004F53B4" w:rsidP="004F53B4">
            <w:pPr>
              <w:rPr>
                <w:rFonts w:ascii="Aptos" w:hAnsi="Aptos"/>
              </w:rPr>
            </w:pPr>
            <w:r w:rsidRPr="004F53B4">
              <w:rPr>
                <w:rFonts w:ascii="Aptos" w:hAnsi="Aptos"/>
              </w:rPr>
              <w:t>The BSI orders MunichTech to inform clients, OR the incident directly impacts the provision of services to the client.</w:t>
            </w:r>
          </w:p>
        </w:tc>
      </w:tr>
    </w:tbl>
    <w:p w14:paraId="31F3C989" w14:textId="77777777" w:rsidR="00381BBA" w:rsidRPr="004F53B4" w:rsidRDefault="00381BBA">
      <w:pPr>
        <w:rPr>
          <w:rFonts w:ascii="Aptos" w:hAnsi="Aptos"/>
        </w:rPr>
      </w:pPr>
    </w:p>
    <w:p w14:paraId="3529AD45" w14:textId="40FD8F29" w:rsidR="00381BBA" w:rsidRPr="004F53B4" w:rsidRDefault="00000000" w:rsidP="0040212B">
      <w:pPr>
        <w:pStyle w:val="Heading2"/>
        <w:rPr>
          <w:rFonts w:ascii="Aptos" w:hAnsi="Aptos"/>
          <w:color w:val="1F4E79" w:themeColor="accent1" w:themeShade="80"/>
        </w:rPr>
      </w:pPr>
      <w:r w:rsidRPr="004F53B4">
        <w:rPr>
          <w:rFonts w:ascii="Aptos" w:hAnsi="Aptos"/>
          <w:color w:val="1F4E79" w:themeColor="accent1" w:themeShade="80"/>
        </w:rPr>
        <w:t xml:space="preserve">5. </w:t>
      </w:r>
      <w:r w:rsidR="004F53B4" w:rsidRPr="004F53B4">
        <w:rPr>
          <w:rFonts w:ascii="Aptos" w:hAnsi="Aptos"/>
          <w:color w:val="1F4E79" w:themeColor="accent1" w:themeShade="80"/>
        </w:rPr>
        <w:t>Executive Accountability (§ 38 BSIG / NIS2 Art. 20)</w:t>
      </w:r>
    </w:p>
    <w:p w14:paraId="33945DE1" w14:textId="77777777" w:rsidR="004F53B4" w:rsidRPr="004F53B4" w:rsidRDefault="004F53B4" w:rsidP="004F53B4">
      <w:pPr>
        <w:pStyle w:val="Heading2"/>
        <w:rPr>
          <w:rFonts w:ascii="Aptos" w:eastAsiaTheme="minorHAnsi" w:hAnsi="Aptos" w:cstheme="minorBidi"/>
          <w:color w:val="auto"/>
          <w:sz w:val="22"/>
          <w:szCs w:val="22"/>
        </w:rPr>
      </w:pPr>
      <w:r w:rsidRPr="004F53B4">
        <w:rPr>
          <w:rFonts w:ascii="Aptos" w:eastAsiaTheme="minorHAnsi" w:hAnsi="Aptos" w:cstheme="minorBidi"/>
          <w:color w:val="auto"/>
          <w:sz w:val="22"/>
          <w:szCs w:val="22"/>
        </w:rPr>
        <w:t>Under § 38 BSIG (NIS2 Art. 20), the management body (Managing Directors / CEO) of MunichTech GmbH must approve the cybersecurity risk-management measures and oversee their implementation.</w:t>
      </w:r>
    </w:p>
    <w:p w14:paraId="23613FCF" w14:textId="5DE2587A" w:rsidR="00D61372" w:rsidRPr="004F53B4" w:rsidRDefault="004F53B4" w:rsidP="004F53B4">
      <w:pPr>
        <w:pStyle w:val="Heading2"/>
        <w:rPr>
          <w:rFonts w:ascii="Aptos" w:hAnsi="Aptos"/>
        </w:rPr>
      </w:pPr>
      <w:r w:rsidRPr="004F53B4">
        <w:rPr>
          <w:rFonts w:ascii="Aptos" w:eastAsiaTheme="minorHAnsi" w:hAnsi="Aptos" w:cstheme="minorBidi"/>
          <w:color w:val="auto"/>
          <w:sz w:val="22"/>
          <w:szCs w:val="22"/>
        </w:rPr>
        <w:t>Failure to adhere to this reporting workflow may result in administrative fines for the company, the temporary suspension of managerial responsibilities, and personal financial liability for the executive board. To satisfy this requirement, the CEO must explicitly sign off on the 72-Hour Incident Notification and the 1-Month Final Report prior to their submission to the BSI.</w:t>
      </w:r>
    </w:p>
    <w:p w14:paraId="289D0542" w14:textId="15D1F3E5" w:rsidR="00381BBA" w:rsidRPr="004F53B4" w:rsidRDefault="00381BBA">
      <w:pPr>
        <w:rPr>
          <w:rFonts w:ascii="Aptos" w:hAnsi="Aptos"/>
        </w:rPr>
      </w:pPr>
    </w:p>
    <w:tbl>
      <w:tblPr>
        <w:tblStyle w:val="TableGrid"/>
        <w:tblW w:w="0" w:type="auto"/>
        <w:tblLook w:val="04A0" w:firstRow="1" w:lastRow="0" w:firstColumn="1" w:lastColumn="0" w:noHBand="0" w:noVBand="1"/>
      </w:tblPr>
      <w:tblGrid>
        <w:gridCol w:w="9350"/>
      </w:tblGrid>
      <w:tr w:rsidR="00381BBA" w:rsidRPr="004F53B4" w14:paraId="596E338C" w14:textId="77777777" w:rsidTr="0040212B">
        <w:trPr>
          <w:trHeight w:val="8552"/>
        </w:trPr>
        <w:tc>
          <w:tcPr>
            <w:tcW w:w="9360" w:type="dxa"/>
            <w:vAlign w:val="center"/>
          </w:tcPr>
          <w:p w14:paraId="2ADF7172" w14:textId="77777777" w:rsidR="00381BBA" w:rsidRPr="004F53B4" w:rsidRDefault="00381BBA">
            <w:pPr>
              <w:jc w:val="center"/>
              <w:rPr>
                <w:rFonts w:ascii="Aptos" w:hAnsi="Aptos"/>
              </w:rPr>
            </w:pPr>
          </w:p>
          <w:p w14:paraId="590FEC4B" w14:textId="77777777" w:rsidR="00381BBA" w:rsidRPr="004F53B4" w:rsidRDefault="00000000">
            <w:pPr>
              <w:pStyle w:val="Heading2"/>
              <w:jc w:val="center"/>
              <w:rPr>
                <w:rFonts w:ascii="Aptos" w:hAnsi="Aptos"/>
                <w:color w:val="1F4E79" w:themeColor="accent1" w:themeShade="80"/>
              </w:rPr>
            </w:pPr>
            <w:r w:rsidRPr="004F53B4">
              <w:rPr>
                <w:rFonts w:ascii="Aptos" w:hAnsi="Aptos"/>
                <w:color w:val="1F4E79" w:themeColor="accent1" w:themeShade="80"/>
              </w:rPr>
              <w:t>DOCUMENT APPROVAL</w:t>
            </w:r>
          </w:p>
          <w:p w14:paraId="52E8D6D5" w14:textId="77777777" w:rsidR="00381BBA" w:rsidRPr="004F53B4" w:rsidRDefault="00381BBA">
            <w:pPr>
              <w:jc w:val="center"/>
              <w:rPr>
                <w:rFonts w:ascii="Aptos" w:hAnsi="Aptos"/>
              </w:rPr>
            </w:pPr>
          </w:p>
          <w:tbl>
            <w:tblPr>
              <w:tblStyle w:val="TableGrid"/>
              <w:tblW w:w="0" w:type="auto"/>
              <w:tblLook w:val="04A0" w:firstRow="1" w:lastRow="0" w:firstColumn="1" w:lastColumn="0" w:noHBand="0" w:noVBand="1"/>
            </w:tblPr>
            <w:tblGrid>
              <w:gridCol w:w="4562"/>
              <w:gridCol w:w="4562"/>
            </w:tblGrid>
            <w:tr w:rsidR="00381BBA" w:rsidRPr="004F53B4" w14:paraId="01AC352C" w14:textId="77777777" w:rsidTr="0040212B">
              <w:trPr>
                <w:trHeight w:val="417"/>
              </w:trPr>
              <w:tc>
                <w:tcPr>
                  <w:tcW w:w="4572" w:type="dxa"/>
                  <w:vAlign w:val="center"/>
                </w:tcPr>
                <w:p w14:paraId="49867E33" w14:textId="77777777" w:rsidR="00381BBA" w:rsidRPr="004F53B4" w:rsidRDefault="00000000">
                  <w:pPr>
                    <w:pStyle w:val="Heading4"/>
                    <w:rPr>
                      <w:rFonts w:ascii="Aptos" w:hAnsi="Aptos"/>
                      <w:color w:val="1F4E79" w:themeColor="accent1" w:themeShade="80"/>
                    </w:rPr>
                  </w:pPr>
                  <w:r w:rsidRPr="004F53B4">
                    <w:rPr>
                      <w:rFonts w:ascii="Aptos" w:hAnsi="Aptos"/>
                      <w:color w:val="1F4E79" w:themeColor="accent1" w:themeShade="80"/>
                    </w:rPr>
                    <w:t>PREPARED BY</w:t>
                  </w:r>
                </w:p>
              </w:tc>
              <w:tc>
                <w:tcPr>
                  <w:tcW w:w="4572" w:type="dxa"/>
                  <w:vAlign w:val="center"/>
                </w:tcPr>
                <w:p w14:paraId="47A435AE" w14:textId="77777777" w:rsidR="00381BBA" w:rsidRPr="004F53B4" w:rsidRDefault="00381BBA">
                  <w:pPr>
                    <w:jc w:val="center"/>
                    <w:rPr>
                      <w:rFonts w:ascii="Aptos" w:hAnsi="Aptos"/>
                    </w:rPr>
                  </w:pPr>
                </w:p>
              </w:tc>
            </w:tr>
            <w:tr w:rsidR="00381BBA" w:rsidRPr="004F53B4" w14:paraId="2C8D241F" w14:textId="77777777" w:rsidTr="0040212B">
              <w:trPr>
                <w:trHeight w:val="438"/>
              </w:trPr>
              <w:tc>
                <w:tcPr>
                  <w:tcW w:w="4572" w:type="dxa"/>
                  <w:vAlign w:val="center"/>
                </w:tcPr>
                <w:p w14:paraId="46808E1C" w14:textId="77777777" w:rsidR="00381BBA" w:rsidRPr="004F53B4" w:rsidRDefault="00000000">
                  <w:pPr>
                    <w:jc w:val="center"/>
                    <w:rPr>
                      <w:rFonts w:ascii="Aptos" w:hAnsi="Aptos"/>
                    </w:rPr>
                  </w:pPr>
                  <w:r w:rsidRPr="004F53B4">
                    <w:rPr>
                      <w:rFonts w:ascii="Aptos" w:hAnsi="Aptos"/>
                    </w:rPr>
                    <w:t>Name</w:t>
                  </w:r>
                </w:p>
              </w:tc>
              <w:tc>
                <w:tcPr>
                  <w:tcW w:w="4572" w:type="dxa"/>
                  <w:vAlign w:val="center"/>
                </w:tcPr>
                <w:p w14:paraId="4CD899B2" w14:textId="77777777" w:rsidR="00381BBA" w:rsidRPr="004F53B4" w:rsidRDefault="00000000">
                  <w:pPr>
                    <w:jc w:val="center"/>
                    <w:rPr>
                      <w:rFonts w:ascii="Aptos" w:hAnsi="Aptos"/>
                    </w:rPr>
                  </w:pPr>
                  <w:r w:rsidRPr="004F53B4">
                    <w:rPr>
                      <w:rFonts w:ascii="Aptos" w:hAnsi="Aptos"/>
                    </w:rPr>
                    <w:t>Austin Bond</w:t>
                  </w:r>
                </w:p>
              </w:tc>
            </w:tr>
            <w:tr w:rsidR="00381BBA" w:rsidRPr="004F53B4" w14:paraId="25069471" w14:textId="77777777" w:rsidTr="0040212B">
              <w:trPr>
                <w:trHeight w:val="415"/>
              </w:trPr>
              <w:tc>
                <w:tcPr>
                  <w:tcW w:w="4572" w:type="dxa"/>
                  <w:vAlign w:val="center"/>
                </w:tcPr>
                <w:p w14:paraId="3DAF86AA" w14:textId="77777777" w:rsidR="00381BBA" w:rsidRPr="004F53B4" w:rsidRDefault="00000000">
                  <w:pPr>
                    <w:jc w:val="center"/>
                    <w:rPr>
                      <w:rFonts w:ascii="Aptos" w:hAnsi="Aptos"/>
                    </w:rPr>
                  </w:pPr>
                  <w:r w:rsidRPr="004F53B4">
                    <w:rPr>
                      <w:rFonts w:ascii="Aptos" w:hAnsi="Aptos"/>
                    </w:rPr>
                    <w:t>Title</w:t>
                  </w:r>
                </w:p>
              </w:tc>
              <w:tc>
                <w:tcPr>
                  <w:tcW w:w="4572" w:type="dxa"/>
                  <w:vAlign w:val="center"/>
                </w:tcPr>
                <w:p w14:paraId="11CDF397" w14:textId="77777777" w:rsidR="00381BBA" w:rsidRPr="004F53B4" w:rsidRDefault="00000000">
                  <w:pPr>
                    <w:jc w:val="center"/>
                    <w:rPr>
                      <w:rFonts w:ascii="Aptos" w:hAnsi="Aptos"/>
                    </w:rPr>
                  </w:pPr>
                  <w:r w:rsidRPr="004F53B4">
                    <w:rPr>
                      <w:rFonts w:ascii="Aptos" w:hAnsi="Aptos"/>
                    </w:rPr>
                    <w:t>Junior GRC Consultant</w:t>
                  </w:r>
                </w:p>
              </w:tc>
            </w:tr>
            <w:tr w:rsidR="00381BBA" w:rsidRPr="004F53B4" w14:paraId="0C4AD99C" w14:textId="77777777" w:rsidTr="0040212B">
              <w:trPr>
                <w:trHeight w:val="415"/>
              </w:trPr>
              <w:tc>
                <w:tcPr>
                  <w:tcW w:w="4572" w:type="dxa"/>
                  <w:vAlign w:val="center"/>
                </w:tcPr>
                <w:p w14:paraId="08796974" w14:textId="77777777" w:rsidR="00381BBA" w:rsidRPr="004F53B4" w:rsidRDefault="00000000">
                  <w:pPr>
                    <w:jc w:val="center"/>
                    <w:rPr>
                      <w:rFonts w:ascii="Aptos" w:hAnsi="Aptos"/>
                    </w:rPr>
                  </w:pPr>
                  <w:r w:rsidRPr="004F53B4">
                    <w:rPr>
                      <w:rFonts w:ascii="Aptos" w:hAnsi="Aptos"/>
                    </w:rPr>
                    <w:t>Date</w:t>
                  </w:r>
                </w:p>
              </w:tc>
              <w:tc>
                <w:tcPr>
                  <w:tcW w:w="4572" w:type="dxa"/>
                  <w:vAlign w:val="center"/>
                </w:tcPr>
                <w:p w14:paraId="34CF35AC" w14:textId="77777777" w:rsidR="00381BBA" w:rsidRPr="004F53B4" w:rsidRDefault="00000000">
                  <w:pPr>
                    <w:jc w:val="center"/>
                    <w:rPr>
                      <w:rFonts w:ascii="Aptos" w:hAnsi="Aptos"/>
                    </w:rPr>
                  </w:pPr>
                  <w:r w:rsidRPr="004F53B4">
                    <w:rPr>
                      <w:rFonts w:ascii="Aptos" w:hAnsi="Aptos"/>
                    </w:rPr>
                    <w:t>20 October 2026</w:t>
                  </w:r>
                </w:p>
              </w:tc>
            </w:tr>
            <w:tr w:rsidR="00381BBA" w:rsidRPr="004F53B4" w14:paraId="5B613556" w14:textId="77777777" w:rsidTr="0040212B">
              <w:trPr>
                <w:trHeight w:val="641"/>
              </w:trPr>
              <w:tc>
                <w:tcPr>
                  <w:tcW w:w="4572" w:type="dxa"/>
                  <w:vAlign w:val="center"/>
                </w:tcPr>
                <w:p w14:paraId="2E8AEC25" w14:textId="77777777" w:rsidR="00381BBA" w:rsidRPr="004F53B4" w:rsidRDefault="00000000">
                  <w:pPr>
                    <w:jc w:val="center"/>
                    <w:rPr>
                      <w:rFonts w:ascii="Aptos" w:hAnsi="Aptos"/>
                    </w:rPr>
                  </w:pPr>
                  <w:r w:rsidRPr="004F53B4">
                    <w:rPr>
                      <w:rFonts w:ascii="Aptos" w:hAnsi="Aptos"/>
                    </w:rPr>
                    <w:t>Signature</w:t>
                  </w:r>
                </w:p>
              </w:tc>
              <w:tc>
                <w:tcPr>
                  <w:tcW w:w="4572" w:type="dxa"/>
                  <w:vAlign w:val="center"/>
                </w:tcPr>
                <w:p w14:paraId="2292234E" w14:textId="77777777" w:rsidR="00381BBA" w:rsidRPr="004F53B4" w:rsidRDefault="00381BBA">
                  <w:pPr>
                    <w:jc w:val="center"/>
                    <w:rPr>
                      <w:rFonts w:ascii="Aptos" w:hAnsi="Aptos"/>
                    </w:rPr>
                  </w:pPr>
                </w:p>
              </w:tc>
            </w:tr>
            <w:tr w:rsidR="00381BBA" w:rsidRPr="004F53B4" w14:paraId="64FC2971" w14:textId="77777777" w:rsidTr="0040212B">
              <w:trPr>
                <w:trHeight w:val="329"/>
              </w:trPr>
              <w:tc>
                <w:tcPr>
                  <w:tcW w:w="4572" w:type="dxa"/>
                  <w:vAlign w:val="center"/>
                </w:tcPr>
                <w:p w14:paraId="3B480174" w14:textId="77777777" w:rsidR="00381BBA" w:rsidRPr="004F53B4" w:rsidRDefault="00000000">
                  <w:pPr>
                    <w:pStyle w:val="Heading4"/>
                    <w:rPr>
                      <w:rFonts w:ascii="Aptos" w:hAnsi="Aptos"/>
                    </w:rPr>
                  </w:pPr>
                  <w:r w:rsidRPr="004F53B4">
                    <w:rPr>
                      <w:rFonts w:ascii="Aptos" w:hAnsi="Aptos"/>
                      <w:color w:val="1F4E79" w:themeColor="accent1" w:themeShade="80"/>
                    </w:rPr>
                    <w:t>REVIEWED BY</w:t>
                  </w:r>
                </w:p>
              </w:tc>
              <w:tc>
                <w:tcPr>
                  <w:tcW w:w="4572" w:type="dxa"/>
                  <w:vAlign w:val="center"/>
                </w:tcPr>
                <w:p w14:paraId="546C977B" w14:textId="77777777" w:rsidR="00381BBA" w:rsidRPr="004F53B4" w:rsidRDefault="00381BBA">
                  <w:pPr>
                    <w:jc w:val="center"/>
                    <w:rPr>
                      <w:rFonts w:ascii="Aptos" w:hAnsi="Aptos"/>
                    </w:rPr>
                  </w:pPr>
                </w:p>
              </w:tc>
            </w:tr>
            <w:tr w:rsidR="00381BBA" w:rsidRPr="004F53B4" w14:paraId="5ED95D3C" w14:textId="77777777" w:rsidTr="0040212B">
              <w:trPr>
                <w:trHeight w:val="415"/>
              </w:trPr>
              <w:tc>
                <w:tcPr>
                  <w:tcW w:w="4572" w:type="dxa"/>
                  <w:vAlign w:val="center"/>
                </w:tcPr>
                <w:p w14:paraId="38CEB323" w14:textId="77777777" w:rsidR="00381BBA" w:rsidRPr="004F53B4" w:rsidRDefault="00000000">
                  <w:pPr>
                    <w:jc w:val="center"/>
                    <w:rPr>
                      <w:rFonts w:ascii="Aptos" w:hAnsi="Aptos"/>
                    </w:rPr>
                  </w:pPr>
                  <w:r w:rsidRPr="004F53B4">
                    <w:rPr>
                      <w:rFonts w:ascii="Aptos" w:hAnsi="Aptos"/>
                    </w:rPr>
                    <w:t>Name</w:t>
                  </w:r>
                </w:p>
              </w:tc>
              <w:tc>
                <w:tcPr>
                  <w:tcW w:w="4572" w:type="dxa"/>
                  <w:vAlign w:val="center"/>
                </w:tcPr>
                <w:p w14:paraId="6CBB0C72" w14:textId="77777777" w:rsidR="00381BBA" w:rsidRPr="004F53B4" w:rsidRDefault="00000000">
                  <w:pPr>
                    <w:tabs>
                      <w:tab w:val="left" w:pos="1424"/>
                    </w:tabs>
                    <w:jc w:val="center"/>
                    <w:rPr>
                      <w:rFonts w:ascii="Aptos" w:hAnsi="Aptos"/>
                    </w:rPr>
                  </w:pPr>
                  <w:r w:rsidRPr="004F53B4">
                    <w:rPr>
                      <w:rFonts w:ascii="Aptos" w:hAnsi="Aptos"/>
                    </w:rPr>
                    <w:t>Dr. Andreas Kellermann</w:t>
                  </w:r>
                </w:p>
              </w:tc>
            </w:tr>
            <w:tr w:rsidR="00381BBA" w:rsidRPr="004F53B4" w14:paraId="0B9B166E" w14:textId="77777777" w:rsidTr="0040212B">
              <w:trPr>
                <w:trHeight w:val="557"/>
              </w:trPr>
              <w:tc>
                <w:tcPr>
                  <w:tcW w:w="4572" w:type="dxa"/>
                  <w:vAlign w:val="center"/>
                </w:tcPr>
                <w:p w14:paraId="53DAAF52" w14:textId="77777777" w:rsidR="00381BBA" w:rsidRPr="004F53B4" w:rsidRDefault="00000000">
                  <w:pPr>
                    <w:jc w:val="center"/>
                    <w:rPr>
                      <w:rFonts w:ascii="Aptos" w:hAnsi="Aptos"/>
                    </w:rPr>
                  </w:pPr>
                  <w:r w:rsidRPr="004F53B4">
                    <w:rPr>
                      <w:rFonts w:ascii="Aptos" w:hAnsi="Aptos"/>
                    </w:rPr>
                    <w:t>Title</w:t>
                  </w:r>
                </w:p>
              </w:tc>
              <w:tc>
                <w:tcPr>
                  <w:tcW w:w="4572" w:type="dxa"/>
                  <w:vAlign w:val="center"/>
                </w:tcPr>
                <w:p w14:paraId="0784C58B" w14:textId="77777777" w:rsidR="00381BBA" w:rsidRPr="004F53B4" w:rsidRDefault="00000000">
                  <w:pPr>
                    <w:jc w:val="center"/>
                    <w:rPr>
                      <w:rFonts w:ascii="Aptos" w:hAnsi="Aptos"/>
                    </w:rPr>
                  </w:pPr>
                  <w:r w:rsidRPr="004F53B4">
                    <w:rPr>
                      <w:rFonts w:ascii="Aptos" w:hAnsi="Aptos"/>
                    </w:rPr>
                    <w:t>Senior GRC Partner, CISM | ISO 27001 Lead Auditor</w:t>
                  </w:r>
                </w:p>
              </w:tc>
            </w:tr>
            <w:tr w:rsidR="00381BBA" w:rsidRPr="004F53B4" w14:paraId="0CCF9993" w14:textId="77777777" w:rsidTr="0040212B">
              <w:trPr>
                <w:trHeight w:val="415"/>
              </w:trPr>
              <w:tc>
                <w:tcPr>
                  <w:tcW w:w="4572" w:type="dxa"/>
                  <w:vAlign w:val="center"/>
                </w:tcPr>
                <w:p w14:paraId="57B81E86" w14:textId="77777777" w:rsidR="00381BBA" w:rsidRPr="004F53B4" w:rsidRDefault="00000000">
                  <w:pPr>
                    <w:jc w:val="center"/>
                    <w:rPr>
                      <w:rFonts w:ascii="Aptos" w:hAnsi="Aptos"/>
                    </w:rPr>
                  </w:pPr>
                  <w:r w:rsidRPr="004F53B4">
                    <w:rPr>
                      <w:rFonts w:ascii="Aptos" w:hAnsi="Aptos"/>
                    </w:rPr>
                    <w:t>Date</w:t>
                  </w:r>
                </w:p>
              </w:tc>
              <w:tc>
                <w:tcPr>
                  <w:tcW w:w="4572" w:type="dxa"/>
                  <w:vAlign w:val="center"/>
                </w:tcPr>
                <w:p w14:paraId="4D77ED18" w14:textId="77777777" w:rsidR="00381BBA" w:rsidRPr="004F53B4" w:rsidRDefault="00000000">
                  <w:pPr>
                    <w:jc w:val="center"/>
                    <w:rPr>
                      <w:rFonts w:ascii="Aptos" w:hAnsi="Aptos"/>
                    </w:rPr>
                  </w:pPr>
                  <w:r w:rsidRPr="004F53B4">
                    <w:rPr>
                      <w:rFonts w:ascii="Aptos" w:hAnsi="Aptos"/>
                    </w:rPr>
                    <w:t>20 October 2026</w:t>
                  </w:r>
                </w:p>
              </w:tc>
            </w:tr>
            <w:tr w:rsidR="00381BBA" w:rsidRPr="004F53B4" w14:paraId="5EDE434F" w14:textId="77777777" w:rsidTr="0040212B">
              <w:trPr>
                <w:trHeight w:val="701"/>
              </w:trPr>
              <w:tc>
                <w:tcPr>
                  <w:tcW w:w="4572" w:type="dxa"/>
                  <w:vAlign w:val="center"/>
                </w:tcPr>
                <w:p w14:paraId="13434671" w14:textId="77777777" w:rsidR="00381BBA" w:rsidRPr="004F53B4" w:rsidRDefault="00000000">
                  <w:pPr>
                    <w:jc w:val="center"/>
                    <w:rPr>
                      <w:rFonts w:ascii="Aptos" w:hAnsi="Aptos"/>
                    </w:rPr>
                  </w:pPr>
                  <w:r w:rsidRPr="004F53B4">
                    <w:rPr>
                      <w:rFonts w:ascii="Aptos" w:hAnsi="Aptos"/>
                    </w:rPr>
                    <w:t>Signature</w:t>
                  </w:r>
                </w:p>
              </w:tc>
              <w:tc>
                <w:tcPr>
                  <w:tcW w:w="4572" w:type="dxa"/>
                  <w:vAlign w:val="center"/>
                </w:tcPr>
                <w:p w14:paraId="16F20CB5" w14:textId="77777777" w:rsidR="00381BBA" w:rsidRPr="004F53B4" w:rsidRDefault="00381BBA">
                  <w:pPr>
                    <w:jc w:val="center"/>
                    <w:rPr>
                      <w:rFonts w:ascii="Aptos" w:hAnsi="Aptos"/>
                    </w:rPr>
                  </w:pPr>
                </w:p>
              </w:tc>
            </w:tr>
            <w:tr w:rsidR="00381BBA" w:rsidRPr="004F53B4" w14:paraId="6AEF3617" w14:textId="77777777" w:rsidTr="0040212B">
              <w:trPr>
                <w:trHeight w:val="444"/>
              </w:trPr>
              <w:tc>
                <w:tcPr>
                  <w:tcW w:w="4572" w:type="dxa"/>
                  <w:vAlign w:val="center"/>
                </w:tcPr>
                <w:p w14:paraId="0FC91973" w14:textId="77777777" w:rsidR="00381BBA" w:rsidRPr="004F53B4" w:rsidRDefault="00000000">
                  <w:pPr>
                    <w:pStyle w:val="Heading4"/>
                    <w:rPr>
                      <w:rFonts w:ascii="Aptos" w:hAnsi="Aptos"/>
                    </w:rPr>
                  </w:pPr>
                  <w:r w:rsidRPr="004F53B4">
                    <w:rPr>
                      <w:rFonts w:ascii="Aptos" w:hAnsi="Aptos"/>
                      <w:color w:val="1F4E79" w:themeColor="accent1" w:themeShade="80"/>
                    </w:rPr>
                    <w:t>APPROVED BY</w:t>
                  </w:r>
                </w:p>
              </w:tc>
              <w:tc>
                <w:tcPr>
                  <w:tcW w:w="4572" w:type="dxa"/>
                  <w:vAlign w:val="center"/>
                </w:tcPr>
                <w:p w14:paraId="30E20BE6" w14:textId="77777777" w:rsidR="00381BBA" w:rsidRPr="004F53B4" w:rsidRDefault="00381BBA">
                  <w:pPr>
                    <w:jc w:val="center"/>
                    <w:rPr>
                      <w:rFonts w:ascii="Aptos" w:hAnsi="Aptos"/>
                    </w:rPr>
                  </w:pPr>
                </w:p>
              </w:tc>
            </w:tr>
            <w:tr w:rsidR="00381BBA" w:rsidRPr="004F53B4" w14:paraId="5D489E59" w14:textId="77777777" w:rsidTr="0040212B">
              <w:trPr>
                <w:trHeight w:val="415"/>
              </w:trPr>
              <w:tc>
                <w:tcPr>
                  <w:tcW w:w="4572" w:type="dxa"/>
                  <w:vAlign w:val="center"/>
                </w:tcPr>
                <w:p w14:paraId="75FB11C1" w14:textId="77777777" w:rsidR="00381BBA" w:rsidRPr="004F53B4" w:rsidRDefault="00000000">
                  <w:pPr>
                    <w:jc w:val="center"/>
                    <w:rPr>
                      <w:rFonts w:ascii="Aptos" w:hAnsi="Aptos"/>
                    </w:rPr>
                  </w:pPr>
                  <w:r w:rsidRPr="004F53B4">
                    <w:rPr>
                      <w:rFonts w:ascii="Aptos" w:hAnsi="Aptos"/>
                    </w:rPr>
                    <w:t>Name</w:t>
                  </w:r>
                </w:p>
              </w:tc>
              <w:tc>
                <w:tcPr>
                  <w:tcW w:w="4572" w:type="dxa"/>
                  <w:vAlign w:val="center"/>
                </w:tcPr>
                <w:p w14:paraId="3BE50DA1" w14:textId="77777777" w:rsidR="00381BBA" w:rsidRPr="004F53B4" w:rsidRDefault="00000000">
                  <w:pPr>
                    <w:jc w:val="center"/>
                    <w:rPr>
                      <w:rFonts w:ascii="Aptos" w:hAnsi="Aptos"/>
                    </w:rPr>
                  </w:pPr>
                  <w:r w:rsidRPr="004F53B4">
                    <w:rPr>
                      <w:rFonts w:ascii="Aptos" w:hAnsi="Aptos"/>
                    </w:rPr>
                    <w:t>Dr. Katharina Vogt</w:t>
                  </w:r>
                </w:p>
              </w:tc>
            </w:tr>
            <w:tr w:rsidR="00381BBA" w:rsidRPr="004F53B4" w14:paraId="1776A378" w14:textId="77777777" w:rsidTr="0040212B">
              <w:trPr>
                <w:trHeight w:val="415"/>
              </w:trPr>
              <w:tc>
                <w:tcPr>
                  <w:tcW w:w="4572" w:type="dxa"/>
                  <w:vAlign w:val="center"/>
                </w:tcPr>
                <w:p w14:paraId="45EF9366" w14:textId="77777777" w:rsidR="00381BBA" w:rsidRPr="004F53B4" w:rsidRDefault="00000000">
                  <w:pPr>
                    <w:jc w:val="center"/>
                    <w:rPr>
                      <w:rFonts w:ascii="Aptos" w:hAnsi="Aptos"/>
                    </w:rPr>
                  </w:pPr>
                  <w:r w:rsidRPr="004F53B4">
                    <w:rPr>
                      <w:rFonts w:ascii="Aptos" w:hAnsi="Aptos"/>
                    </w:rPr>
                    <w:t>Title</w:t>
                  </w:r>
                </w:p>
              </w:tc>
              <w:tc>
                <w:tcPr>
                  <w:tcW w:w="4572" w:type="dxa"/>
                  <w:vAlign w:val="center"/>
                </w:tcPr>
                <w:p w14:paraId="12F68C72" w14:textId="77777777" w:rsidR="00381BBA" w:rsidRPr="004F53B4" w:rsidRDefault="00000000">
                  <w:pPr>
                    <w:jc w:val="center"/>
                    <w:rPr>
                      <w:rFonts w:ascii="Aptos" w:hAnsi="Aptos"/>
                    </w:rPr>
                  </w:pPr>
                  <w:r w:rsidRPr="004F53B4">
                    <w:rPr>
                      <w:rFonts w:ascii="Aptos" w:hAnsi="Aptos"/>
                    </w:rPr>
                    <w:t>Chief Executive Officer, MunichTech GmbH</w:t>
                  </w:r>
                </w:p>
              </w:tc>
            </w:tr>
            <w:tr w:rsidR="00381BBA" w:rsidRPr="004F53B4" w14:paraId="5592A033" w14:textId="77777777" w:rsidTr="0040212B">
              <w:trPr>
                <w:trHeight w:val="415"/>
              </w:trPr>
              <w:tc>
                <w:tcPr>
                  <w:tcW w:w="4572" w:type="dxa"/>
                  <w:vMerge w:val="restart"/>
                  <w:vAlign w:val="center"/>
                </w:tcPr>
                <w:p w14:paraId="3D69F2F5" w14:textId="77777777" w:rsidR="00381BBA" w:rsidRPr="004F53B4" w:rsidRDefault="00000000">
                  <w:pPr>
                    <w:jc w:val="center"/>
                    <w:rPr>
                      <w:rFonts w:ascii="Aptos" w:hAnsi="Aptos"/>
                    </w:rPr>
                  </w:pPr>
                  <w:r w:rsidRPr="004F53B4">
                    <w:rPr>
                      <w:rFonts w:ascii="Aptos" w:hAnsi="Aptos"/>
                    </w:rPr>
                    <w:t>Date</w:t>
                  </w:r>
                </w:p>
              </w:tc>
              <w:tc>
                <w:tcPr>
                  <w:tcW w:w="4572" w:type="dxa"/>
                  <w:vMerge w:val="restart"/>
                  <w:vAlign w:val="center"/>
                </w:tcPr>
                <w:p w14:paraId="249A7BF8" w14:textId="77777777" w:rsidR="00381BBA" w:rsidRPr="004F53B4" w:rsidRDefault="00000000">
                  <w:pPr>
                    <w:jc w:val="center"/>
                    <w:rPr>
                      <w:rFonts w:ascii="Aptos" w:hAnsi="Aptos"/>
                    </w:rPr>
                  </w:pPr>
                  <w:r w:rsidRPr="004F53B4">
                    <w:rPr>
                      <w:rFonts w:ascii="Aptos" w:hAnsi="Aptos"/>
                    </w:rPr>
                    <w:t>26 October 2026</w:t>
                  </w:r>
                </w:p>
              </w:tc>
            </w:tr>
            <w:tr w:rsidR="00381BBA" w:rsidRPr="004F53B4" w14:paraId="144C1FA8" w14:textId="77777777" w:rsidTr="0040212B">
              <w:trPr>
                <w:trHeight w:val="670"/>
              </w:trPr>
              <w:tc>
                <w:tcPr>
                  <w:tcW w:w="4572" w:type="dxa"/>
                  <w:vMerge w:val="restart"/>
                  <w:vAlign w:val="center"/>
                </w:tcPr>
                <w:p w14:paraId="7518ACD3" w14:textId="77777777" w:rsidR="00381BBA" w:rsidRPr="004F53B4" w:rsidRDefault="00000000">
                  <w:pPr>
                    <w:jc w:val="center"/>
                    <w:rPr>
                      <w:rFonts w:ascii="Aptos" w:hAnsi="Aptos"/>
                    </w:rPr>
                  </w:pPr>
                  <w:r w:rsidRPr="004F53B4">
                    <w:rPr>
                      <w:rFonts w:ascii="Aptos" w:hAnsi="Aptos"/>
                    </w:rPr>
                    <w:t>Signature</w:t>
                  </w:r>
                </w:p>
              </w:tc>
              <w:tc>
                <w:tcPr>
                  <w:tcW w:w="4572" w:type="dxa"/>
                  <w:vMerge w:val="restart"/>
                  <w:vAlign w:val="center"/>
                </w:tcPr>
                <w:p w14:paraId="4EAB14DC" w14:textId="77777777" w:rsidR="00381BBA" w:rsidRPr="004F53B4" w:rsidRDefault="00381BBA">
                  <w:pPr>
                    <w:jc w:val="center"/>
                    <w:rPr>
                      <w:rFonts w:ascii="Aptos" w:hAnsi="Aptos"/>
                    </w:rPr>
                  </w:pPr>
                </w:p>
              </w:tc>
            </w:tr>
          </w:tbl>
          <w:p w14:paraId="47671A71" w14:textId="77777777" w:rsidR="00381BBA" w:rsidRPr="004F53B4" w:rsidRDefault="00381BBA">
            <w:pPr>
              <w:jc w:val="center"/>
              <w:rPr>
                <w:rFonts w:ascii="Aptos" w:hAnsi="Aptos"/>
              </w:rPr>
            </w:pPr>
          </w:p>
        </w:tc>
      </w:tr>
    </w:tbl>
    <w:p w14:paraId="73BC5B2C" w14:textId="77777777" w:rsidR="00381BBA" w:rsidRPr="004F53B4" w:rsidRDefault="00381BBA">
      <w:pPr>
        <w:rPr>
          <w:rFonts w:ascii="Aptos" w:hAnsi="Aptos"/>
        </w:rPr>
      </w:pPr>
    </w:p>
    <w:p w14:paraId="1C02949B" w14:textId="77777777" w:rsidR="00381BBA" w:rsidRPr="004F53B4" w:rsidRDefault="00381BBA">
      <w:pPr>
        <w:rPr>
          <w:rFonts w:ascii="Aptos" w:hAnsi="Aptos"/>
        </w:rPr>
      </w:pPr>
    </w:p>
    <w:sectPr w:rsidR="00381BBA" w:rsidRPr="004F53B4" w:rsidSect="00413FE1">
      <w:headerReference w:type="default" r:id="rId8"/>
      <w:headerReference w:type="first" r:id="rId9"/>
      <w:pgSz w:w="11906" w:h="16838"/>
      <w:pgMar w:top="1115" w:right="1440" w:bottom="1440" w:left="1440" w:header="534"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241A2" w14:textId="77777777" w:rsidR="00F92AD5" w:rsidRDefault="00F92AD5">
      <w:pPr>
        <w:spacing w:after="0" w:line="240" w:lineRule="auto"/>
      </w:pPr>
      <w:r>
        <w:separator/>
      </w:r>
    </w:p>
  </w:endnote>
  <w:endnote w:type="continuationSeparator" w:id="0">
    <w:p w14:paraId="605F6994" w14:textId="77777777" w:rsidR="00F92AD5" w:rsidRDefault="00F92A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igma Sans">
    <w:panose1 w:val="00000000000000000000"/>
    <w:charset w:val="4D"/>
    <w:family w:val="auto"/>
    <w:pitch w:val="variable"/>
    <w:sig w:usb0="A00000EF" w:usb1="400020FB" w:usb2="00000000" w:usb3="00000000" w:csb0="00000093" w:csb1="00000000"/>
  </w:font>
  <w:font w:name="Academy Engraved LET">
    <w:panose1 w:val="02000000000000000000"/>
    <w:charset w:val="00"/>
    <w:family w:val="auto"/>
    <w:pitch w:val="variable"/>
    <w:sig w:usb0="8000007F" w:usb1="4000000A"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A5632" w14:textId="77777777" w:rsidR="00F92AD5" w:rsidRDefault="00F92AD5">
      <w:pPr>
        <w:spacing w:after="0" w:line="240" w:lineRule="auto"/>
      </w:pPr>
      <w:r>
        <w:separator/>
      </w:r>
    </w:p>
  </w:footnote>
  <w:footnote w:type="continuationSeparator" w:id="0">
    <w:p w14:paraId="4078DDCC" w14:textId="77777777" w:rsidR="00F92AD5" w:rsidRDefault="00F92A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A007B" w14:textId="77777777" w:rsidR="00381BBA" w:rsidRDefault="00000000">
    <w:pPr>
      <w:pStyle w:val="Header"/>
      <w:jc w:val="right"/>
    </w:pPr>
    <w:r>
      <w:fldChar w:fldCharType="begin"/>
    </w:r>
    <w:r>
      <w:instrText>PAGE \* MERGEFORMAT</w:instrText>
    </w:r>
    <w:r>
      <w:fldChar w:fldCharType="separate"/>
    </w:r>
    <w:r>
      <w:t>1</w:t>
    </w:r>
    <w:r>
      <w:fldChar w:fldCharType="end"/>
    </w:r>
  </w:p>
  <w:p w14:paraId="23C11F9D" w14:textId="77777777" w:rsidR="00381BBA" w:rsidRDefault="00381B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96E24" w14:textId="60A745CD" w:rsidR="008D24CF" w:rsidRPr="00635D60" w:rsidRDefault="00000000" w:rsidP="009B2193">
    <w:pPr>
      <w:pStyle w:val="Heading1"/>
      <w:pBdr>
        <w:bottom w:val="single" w:sz="6" w:space="1" w:color="auto"/>
      </w:pBdr>
      <w:rPr>
        <w:rFonts w:ascii="Sigma Sans" w:eastAsia="Academy Engraved LET" w:hAnsi="Sigma Sans" w:cs="Academy Engraved LET"/>
        <w:color w:val="002060"/>
        <w:sz w:val="72"/>
        <w:szCs w:val="72"/>
      </w:rPr>
    </w:pPr>
    <w:r w:rsidRPr="00635D60">
      <w:rPr>
        <w:rFonts w:ascii="Sigma Sans" w:eastAsia="Academy Engraved LET" w:hAnsi="Sigma Sans" w:cs="Academy Engraved LET"/>
        <w:b/>
        <w:bCs/>
        <w:color w:val="002060"/>
        <w:sz w:val="72"/>
        <w:szCs w:val="72"/>
      </w:rPr>
      <w:t>MunichTech</w:t>
    </w:r>
    <w:r w:rsidRPr="00635D60">
      <w:rPr>
        <w:rFonts w:ascii="Sigma Sans" w:eastAsia="Academy Engraved LET" w:hAnsi="Sigma Sans" w:cs="Academy Engraved LET"/>
        <w:color w:val="002060"/>
        <w:sz w:val="72"/>
        <w:szCs w:val="72"/>
      </w:rPr>
      <w:t xml:space="preserve"> GmbH</w:t>
    </w:r>
  </w:p>
  <w:p w14:paraId="6185D6C6" w14:textId="25CDBBB8" w:rsidR="00413FE1" w:rsidRDefault="00413FE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6195A"/>
    <w:multiLevelType w:val="hybridMultilevel"/>
    <w:tmpl w:val="A0AA4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580744"/>
    <w:multiLevelType w:val="hybridMultilevel"/>
    <w:tmpl w:val="C840D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EB582D"/>
    <w:multiLevelType w:val="hybridMultilevel"/>
    <w:tmpl w:val="11DA4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1B60A97"/>
    <w:multiLevelType w:val="multilevel"/>
    <w:tmpl w:val="D85820DE"/>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4" w15:restartNumberingAfterBreak="0">
    <w:nsid w:val="623AF6B1"/>
    <w:multiLevelType w:val="multilevel"/>
    <w:tmpl w:val="446C4170"/>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num w:numId="1" w16cid:durableId="1389915039">
    <w:abstractNumId w:val="3"/>
  </w:num>
  <w:num w:numId="2" w16cid:durableId="219480438">
    <w:abstractNumId w:val="4"/>
  </w:num>
  <w:num w:numId="3" w16cid:durableId="532350802">
    <w:abstractNumId w:val="0"/>
  </w:num>
  <w:num w:numId="4" w16cid:durableId="741758448">
    <w:abstractNumId w:val="2"/>
  </w:num>
  <w:num w:numId="5" w16cid:durableId="11616955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BBA"/>
    <w:rsid w:val="00014575"/>
    <w:rsid w:val="00036C15"/>
    <w:rsid w:val="00037438"/>
    <w:rsid w:val="00092D82"/>
    <w:rsid w:val="0024598B"/>
    <w:rsid w:val="00381BBA"/>
    <w:rsid w:val="0040212B"/>
    <w:rsid w:val="00413FE1"/>
    <w:rsid w:val="00425484"/>
    <w:rsid w:val="00442826"/>
    <w:rsid w:val="004451E2"/>
    <w:rsid w:val="004462B9"/>
    <w:rsid w:val="004F53B4"/>
    <w:rsid w:val="0053129D"/>
    <w:rsid w:val="005F2BE0"/>
    <w:rsid w:val="0060178D"/>
    <w:rsid w:val="00635D60"/>
    <w:rsid w:val="00681D6C"/>
    <w:rsid w:val="006B04E8"/>
    <w:rsid w:val="007867A0"/>
    <w:rsid w:val="008D24CF"/>
    <w:rsid w:val="009B2193"/>
    <w:rsid w:val="009E60C9"/>
    <w:rsid w:val="00A0120D"/>
    <w:rsid w:val="00A061A2"/>
    <w:rsid w:val="00AF125F"/>
    <w:rsid w:val="00B92A0E"/>
    <w:rsid w:val="00B94F48"/>
    <w:rsid w:val="00BB0102"/>
    <w:rsid w:val="00C6323F"/>
    <w:rsid w:val="00CF5327"/>
    <w:rsid w:val="00D07B7D"/>
    <w:rsid w:val="00D61372"/>
    <w:rsid w:val="00DA46F9"/>
    <w:rsid w:val="00DD2F61"/>
    <w:rsid w:val="00EB74AB"/>
    <w:rsid w:val="00EC650A"/>
    <w:rsid w:val="00F92A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E5314"/>
  <w15:docId w15:val="{35DEE46D-7A6D-7447-9811-2EFDCF8DF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7B7D"/>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NoSpacing">
    <w:name w:val="No Spacing"/>
    <w:basedOn w:val="Normal"/>
    <w:uiPriority w:val="1"/>
    <w:qFormat/>
    <w:pPr>
      <w:spacing w:after="0" w:line="240" w:lineRule="auto"/>
    </w:p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5C676C-B0FD-F84B-B1C4-5DD22CEAAE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6</Pages>
  <Words>898</Words>
  <Characters>5125</Characters>
  <Application>Microsoft Office Word</Application>
  <DocSecurity>2</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Austin B.</cp:lastModifiedBy>
  <cp:revision>30</cp:revision>
  <cp:lastPrinted>2026-04-19T07:30:00Z</cp:lastPrinted>
  <dcterms:created xsi:type="dcterms:W3CDTF">2026-04-12T18:12:00Z</dcterms:created>
  <dcterms:modified xsi:type="dcterms:W3CDTF">2026-04-19T07:31:00Z</dcterms:modified>
</cp:coreProperties>
</file>