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F53B4" w:rsidRDefault="00000000" w:rsidP="00EC650A">
      <w:pPr>
        <w:pStyle w:val="Title"/>
        <w:rPr>
          <w:rFonts w:ascii="Aptos" w:hAnsi="Aptos"/>
          <w:sz w:val="40"/>
          <w:szCs w:val="40"/>
        </w:rPr>
      </w:pPr>
      <w:r>
        <w:rPr>
          <w:rFonts w:ascii="Aptos" w:hAnsi="Aptos"/>
          <w:sz w:val="40"/>
          <w:szCs w:val="40"/>
        </w:rPr>
        <w:t xml:space="preserve">INFORMATION SECURITY MANAGEMENT SYSTEM</w:t>
      </w:r>
    </w:p>
    <w:p w14:paraId="20DE26A2" w14:textId="56D376C9" w:rsidR="00EC650A" w:rsidRDefault="007867A0" w:rsidP="00EC650A">
      <w:pPr>
        <w:rPr>
          <w:rStyle w:val="SubtitleChar"/>
          <w:rFonts w:ascii="Aptos" w:eastAsia="Arial" w:hAnsi="Aptos" w:cstheme="minorHAnsi"/>
        </w:rPr>
      </w:pPr>
      <w:r>
        <w:rPr>
          <w:rStyle w:val="SubtitleChar"/>
          <w:rFonts w:ascii="Aptos" w:eastAsia="Arial" w:hAnsi="Aptos" w:cstheme="minorHAnsi"/>
        </w:rPr>
        <w:t xml:space="preserve">NIS-2 Betroffenheitsprüfung and BSI Registration Record</w:t>
      </w:r>
    </w:p>
    <w:p w14:paraId="31E46362" w14:textId="77777777" w:rsidR="007867A0" w:rsidRPr="004F53B4" w:rsidRDefault="007867A0"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F53B4" w14:paraId="77EAC466" w14:textId="77777777" w:rsidTr="0040212B">
        <w:trPr>
          <w:cantSplit/>
        </w:trPr>
        <w:tc>
          <w:tcPr>
            <w:tcW w:w="3662" w:type="dxa"/>
            <w:vAlign w:val="center"/>
          </w:tcPr>
          <w:p w14:paraId="2558D5ED" w14:textId="77777777" w:rsidR="00381BBA" w:rsidRPr="004F53B4" w:rsidRDefault="00000000">
            <w:pPr>
              <w:rPr>
                <w:rFonts w:ascii="Aptos" w:hAnsi="Aptos"/>
              </w:rPr>
            </w:pPr>
            <w:r>
              <w:rPr>
                <w:rFonts w:ascii="Aptos" w:hAnsi="Aptos"/>
              </w:rPr>
              <w:t xml:space="preserve">Document Reference</w:t>
            </w:r>
          </w:p>
        </w:tc>
        <w:tc>
          <w:tcPr>
            <w:tcW w:w="5698" w:type="dxa"/>
            <w:vAlign w:val="center"/>
          </w:tcPr>
          <w:p w14:paraId="5C139FEA" w14:textId="1DC9DA0E" w:rsidR="00381BBA" w:rsidRPr="004F53B4" w:rsidRDefault="00A061A2">
            <w:pPr>
              <w:rPr>
                <w:rFonts w:ascii="Aptos" w:hAnsi="Aptos"/>
              </w:rPr>
            </w:pPr>
            <w:r>
              <w:rPr>
                <w:rFonts w:ascii="Aptos" w:hAnsi="Aptos"/>
              </w:rPr>
              <w:t xml:space="preserve">MT-NIS2-REG-001</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Version</w:t>
            </w:r>
          </w:p>
        </w:tc>
        <w:tc>
          <w:tcPr>
            <w:tcW w:w="5698" w:type="dxa"/>
            <w:vAlign w:val="center"/>
          </w:tcPr>
          <w:p w14:paraId="5A21C26A" w14:textId="77777777" w:rsidR="00381BBA" w:rsidRPr="004F53B4" w:rsidRDefault="00000000">
            <w:pPr>
              <w:rPr>
                <w:rFonts w:ascii="Aptos" w:hAnsi="Aptos"/>
              </w:rPr>
            </w:pPr>
            <w:r>
              <w:rPr>
                <w:rFonts w:ascii="Aptos" w:hAnsi="Aptos"/>
              </w:rPr>
              <w:t xml:space="preserve">1.1</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Status</w:t>
            </w:r>
          </w:p>
        </w:tc>
        <w:tc>
          <w:tcPr>
            <w:tcW w:w="5698" w:type="dxa"/>
            <w:vAlign w:val="center"/>
          </w:tcPr>
          <w:p w14:paraId="5A21C26A" w14:textId="77777777" w:rsidR="00381BBA" w:rsidRPr="004F53B4" w:rsidRDefault="00000000">
            <w:pPr>
              <w:rPr>
                <w:rFonts w:ascii="Aptos" w:hAnsi="Aptos"/>
              </w:rPr>
            </w:pPr>
            <w:r>
              <w:rPr>
                <w:rFonts w:ascii="Aptos" w:hAnsi="Aptos"/>
              </w:rPr>
              <w:t xml:space="preserve">Final</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Classification</w:t>
            </w:r>
          </w:p>
        </w:tc>
        <w:tc>
          <w:tcPr>
            <w:tcW w:w="5698" w:type="dxa"/>
            <w:vAlign w:val="center"/>
          </w:tcPr>
          <w:p w14:paraId="5A21C26A" w14:textId="77777777" w:rsidR="00381BBA" w:rsidRPr="004F53B4" w:rsidRDefault="00000000">
            <w:pPr>
              <w:rPr>
                <w:rFonts w:ascii="Aptos" w:hAnsi="Aptos"/>
              </w:rPr>
            </w:pPr>
            <w:r>
              <w:rPr>
                <w:rFonts w:ascii="Aptos" w:hAnsi="Aptos"/>
              </w:rPr>
              <w:t xml:space="preserve">Internal</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Regulatory Basis</w:t>
            </w:r>
          </w:p>
        </w:tc>
        <w:tc>
          <w:tcPr>
            <w:tcW w:w="5698" w:type="dxa"/>
            <w:vAlign w:val="center"/>
          </w:tcPr>
          <w:p w14:paraId="5A21C26A" w14:textId="77777777" w:rsidR="00381BBA" w:rsidRPr="004F53B4" w:rsidRDefault="00000000">
            <w:pPr>
              <w:rPr>
                <w:rFonts w:ascii="Aptos" w:hAnsi="Aptos"/>
              </w:rPr>
            </w:pPr>
            <w:r>
              <w:rPr>
                <w:rFonts w:ascii="Aptos" w:hAnsi="Aptos"/>
              </w:rPr>
              <w:t xml:space="preserve">§§ 33, 34 BSIG (NIS2 Art. 27); § 28(2) BSIG (Anlage 1, Nr. 6.1.4)</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ISO 27001:2022 Clauses</w:t>
            </w:r>
          </w:p>
        </w:tc>
        <w:tc>
          <w:tcPr>
            <w:tcW w:w="5698" w:type="dxa"/>
            <w:vAlign w:val="center"/>
          </w:tcPr>
          <w:p w14:paraId="5A21C26A" w14:textId="77777777" w:rsidR="00381BBA" w:rsidRPr="004F53B4" w:rsidRDefault="00000000">
            <w:pPr>
              <w:rPr>
                <w:rFonts w:ascii="Aptos" w:hAnsi="Aptos"/>
              </w:rPr>
            </w:pPr>
            <w:r>
              <w:rPr>
                <w:rFonts w:ascii="Aptos" w:hAnsi="Aptos"/>
              </w:rPr>
              <w:t xml:space="preserve">4.1, 4.2, 6.1.3, 7.5</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Document Owner</w:t>
            </w:r>
          </w:p>
        </w:tc>
        <w:tc>
          <w:tcPr>
            <w:tcW w:w="5698" w:type="dxa"/>
            <w:vAlign w:val="center"/>
          </w:tcPr>
          <w:p w14:paraId="5A21C26A" w14:textId="77777777" w:rsidR="00381BBA" w:rsidRPr="004F53B4" w:rsidRDefault="00000000">
            <w:pPr>
              <w:rPr>
                <w:rFonts w:ascii="Aptos" w:hAnsi="Aptos"/>
              </w:rPr>
            </w:pPr>
            <w:r>
              <w:rPr>
                <w:rFonts w:ascii="Aptos" w:hAnsi="Aptos"/>
              </w:rPr>
              <w:t xml:space="preserve">IT Security Lead</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Approved By</w:t>
            </w:r>
          </w:p>
        </w:tc>
        <w:tc>
          <w:tcPr>
            <w:tcW w:w="5698" w:type="dxa"/>
            <w:vAlign w:val="center"/>
          </w:tcPr>
          <w:p w14:paraId="5A21C26A" w14:textId="77777777" w:rsidR="00381BBA" w:rsidRPr="004F53B4" w:rsidRDefault="00000000">
            <w:pPr>
              <w:rPr>
                <w:rFonts w:ascii="Aptos" w:hAnsi="Aptos"/>
              </w:rPr>
            </w:pPr>
            <w:r>
              <w:rPr>
                <w:rFonts w:ascii="Aptos" w:hAnsi="Aptos"/>
              </w:rPr>
              <w:t xml:space="preserve">Managing Director (CEO)</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Effective Date</w:t>
            </w:r>
          </w:p>
        </w:tc>
        <w:tc>
          <w:tcPr>
            <w:tcW w:w="5698" w:type="dxa"/>
            <w:vAlign w:val="center"/>
          </w:tcPr>
          <w:p w14:paraId="5A21C26A" w14:textId="77777777" w:rsidR="00381BBA" w:rsidRPr="004F53B4" w:rsidRDefault="00000000">
            <w:pPr>
              <w:rPr>
                <w:rFonts w:ascii="Aptos" w:hAnsi="Aptos"/>
              </w:rPr>
            </w:pPr>
            <w:r>
              <w:rPr>
                <w:rFonts w:ascii="Aptos" w:hAnsi="Aptos"/>
              </w:rPr>
              <w:t xml:space="preserve">21 October 2026</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Review Cycle</w:t>
            </w:r>
          </w:p>
        </w:tc>
        <w:tc>
          <w:tcPr>
            <w:tcW w:w="5698" w:type="dxa"/>
            <w:vAlign w:val="center"/>
          </w:tcPr>
          <w:p w14:paraId="5A21C26A" w14:textId="77777777" w:rsidR="00381BBA" w:rsidRPr="004F53B4" w:rsidRDefault="00000000">
            <w:pPr>
              <w:rPr>
                <w:rFonts w:ascii="Aptos" w:hAnsi="Aptos"/>
              </w:rPr>
            </w:pPr>
            <w:r>
              <w:rPr>
                <w:rFonts w:ascii="Aptos" w:hAnsi="Aptos"/>
              </w:rPr>
              <w:t xml:space="preserve">Annual, and on any trigger in Section 9</w:t>
            </w:r>
          </w:p>
        </w:tc>
      </w:tr>
    </w:tbl>
    <w:p w14:paraId="31E46362" w14:textId="77777777" w:rsidR="007867A0" w:rsidRPr="004F53B4" w:rsidRDefault="007867A0" w:rsidP="00EC650A">
      <w:pPr>
        <w:rPr>
          <w:rFonts w:ascii="Aptos" w:hAnsi="Aptos"/>
        </w:rPr>
      </w:pPr>
    </w:p>
    <w:p w14:paraId="31E46362" w14:textId="77777777" w:rsidR="007867A0" w:rsidRPr="004F53B4" w:rsidRDefault="007867A0" w:rsidP="00EC650A">
      <w:pPr>
        <w:rPr>
          <w:rFonts w:ascii="Aptos" w:hAnsi="Aptos"/>
        </w:rPr>
      </w:pPr>
    </w:p>
    <w:tbl>
      <w:tblPr>
        <w:tblStyle w:val="TableGrid"/>
        <w:tblW w:w="0" w:type="auto"/>
        <w:tblLayout w:type="fixed"/>
        <w:tblLook w:val="04A0" w:firstRow="1" w:lastRow="0" w:firstColumn="1" w:lastColumn="0" w:noHBand="0" w:noVBand="1"/>
      </w:tblPr>
      <w:tblGrid>
        <w:gridCol w:w="1200"/>
        <w:gridCol w:w="1450"/>
        <w:gridCol w:w="1700"/>
        <w:gridCol w:w="5010"/>
      </w:tblGrid>
      <w:tr w:rsidR="0060178D" w:rsidRPr="004F53B4" w14:paraId="572D4D4B" w14:textId="77777777" w:rsidTr="0040212B">
        <w:trPr>
          <w:cantSplit/>
        </w:trPr>
        <w:tc>
          <w:tcPr>
            <w:tcW w:w="1200" w:type="dxa"/>
            <w:vAlign w:val="center"/>
          </w:tcPr>
          <w:p w14:paraId="588FF3F9" w14:textId="77777777" w:rsidR="00381BBA" w:rsidRPr="004F53B4" w:rsidRDefault="00000000">
            <w:pPr>
              <w:pStyle w:val="Heading4"/>
              <w:rPr>
                <w:rFonts w:ascii="Aptos" w:hAnsi="Aptos"/>
                <w:color w:val="1F4E79" w:themeColor="accent1" w:themeShade="80"/>
              </w:rPr>
            </w:pPr>
            <w:r>
              <w:rPr>
                <w:rFonts w:ascii="Aptos" w:hAnsi="Aptos"/>
                <w:color w:val="1F4E79" w:themeColor="accent1" w:themeShade="80"/>
              </w:rPr>
              <w:t xml:space="preserve">Version</w:t>
            </w:r>
          </w:p>
        </w:tc>
        <w:tc>
          <w:tcPr>
            <w:tcW w:w="1450" w:type="dxa"/>
            <w:vAlign w:val="center"/>
          </w:tcPr>
          <w:p w14:paraId="258F872D" w14:textId="77777777" w:rsidR="00381BBA" w:rsidRPr="004F53B4" w:rsidRDefault="00000000">
            <w:pPr>
              <w:pStyle w:val="Heading4"/>
              <w:rPr>
                <w:rFonts w:ascii="Aptos" w:hAnsi="Aptos"/>
                <w:color w:val="1F4E79" w:themeColor="accent1" w:themeShade="80"/>
              </w:rPr>
            </w:pPr>
            <w:r>
              <w:rPr>
                <w:rFonts w:ascii="Aptos" w:hAnsi="Aptos"/>
                <w:color w:val="1F4E79" w:themeColor="accent1" w:themeShade="80"/>
              </w:rPr>
              <w:t xml:space="preserve">Date</w:t>
            </w:r>
          </w:p>
        </w:tc>
        <w:tc>
          <w:tcPr>
            <w:tcW w:w="1700" w:type="dxa"/>
            <w:vAlign w:val="center"/>
          </w:tcPr>
          <w:p w14:paraId="0E419C85" w14:textId="77777777" w:rsidR="00381BBA" w:rsidRPr="004F53B4" w:rsidRDefault="00000000">
            <w:pPr>
              <w:pStyle w:val="Heading4"/>
              <w:rPr>
                <w:rFonts w:ascii="Aptos" w:hAnsi="Aptos"/>
                <w:color w:val="1F4E79" w:themeColor="accent1" w:themeShade="80"/>
              </w:rPr>
            </w:pPr>
            <w:r>
              <w:rPr>
                <w:rFonts w:ascii="Aptos" w:hAnsi="Aptos"/>
                <w:color w:val="1F4E79" w:themeColor="accent1" w:themeShade="80"/>
              </w:rPr>
              <w:t xml:space="preserve">Author</w:t>
            </w:r>
          </w:p>
        </w:tc>
        <w:tc>
          <w:tcPr>
            <w:tcW w:w="5010" w:type="dxa"/>
            <w:vAlign w:val="center"/>
          </w:tcPr>
          <w:p w14:paraId="061E65A0" w14:textId="77777777" w:rsidR="00381BBA" w:rsidRPr="004F53B4" w:rsidRDefault="00000000">
            <w:pPr>
              <w:pStyle w:val="Heading4"/>
              <w:rPr>
                <w:rFonts w:ascii="Aptos" w:hAnsi="Aptos"/>
                <w:color w:val="1F4E79" w:themeColor="accent1" w:themeShade="80"/>
              </w:rPr>
            </w:pPr>
            <w:r>
              <w:rPr>
                <w:rFonts w:ascii="Aptos" w:hAnsi="Aptos"/>
                <w:color w:val="1F4E79" w:themeColor="accent1" w:themeShade="80"/>
              </w:rPr>
              <w:t xml:space="preserve">Change Description</w:t>
            </w:r>
          </w:p>
        </w:tc>
      </w:tr>
      <w:tr w:rsidR="00381BBA" w:rsidRPr="004F53B4" w14:paraId="763B422F" w14:textId="77777777" w:rsidTr="0040212B">
        <w:trPr>
          <w:cantSplit/>
        </w:trPr>
        <w:tc>
          <w:tcPr>
            <w:tcW w:w="1200" w:type="dxa"/>
            <w:vAlign w:val="center"/>
          </w:tcPr>
          <w:p w14:paraId="7FFB097D" w14:textId="77777777" w:rsidR="00381BBA" w:rsidRPr="004F53B4" w:rsidRDefault="00000000">
            <w:pPr>
              <w:rPr>
                <w:rFonts w:ascii="Aptos" w:hAnsi="Aptos"/>
              </w:rPr>
            </w:pPr>
            <w:r>
              <w:rPr>
                <w:rFonts w:ascii="Aptos" w:hAnsi="Aptos"/>
              </w:rPr>
              <w:t xml:space="preserve">1.0</w:t>
            </w:r>
          </w:p>
        </w:tc>
        <w:tc>
          <w:tcPr>
            <w:tcW w:w="1450" w:type="dxa"/>
            <w:vAlign w:val="center"/>
          </w:tcPr>
          <w:p w14:paraId="5CA7F90B" w14:textId="02E4EBE9" w:rsidR="00381BBA" w:rsidRPr="004F53B4" w:rsidRDefault="006B04E8">
            <w:pPr>
              <w:rPr>
                <w:rFonts w:ascii="Aptos" w:hAnsi="Aptos"/>
              </w:rPr>
            </w:pPr>
            <w:r>
              <w:rPr>
                <w:rFonts w:ascii="Aptos" w:hAnsi="Aptos"/>
              </w:rPr>
              <w:t xml:space="preserve">20 February 2026</w:t>
            </w:r>
          </w:p>
        </w:tc>
        <w:tc>
          <w:tcPr>
            <w:tcW w:w="1700" w:type="dxa"/>
            <w:vAlign w:val="center"/>
          </w:tcPr>
          <w:p w14:paraId="330A05C5" w14:textId="77777777" w:rsidR="00381BBA" w:rsidRPr="004F53B4" w:rsidRDefault="00000000">
            <w:pPr>
              <w:rPr>
                <w:rFonts w:ascii="Aptos" w:hAnsi="Aptos"/>
              </w:rPr>
            </w:pPr>
            <w:r>
              <w:rPr>
                <w:rFonts w:ascii="Aptos" w:hAnsi="Aptos"/>
              </w:rPr>
              <w:t xml:space="preserve">Austin Bond</w:t>
            </w:r>
          </w:p>
        </w:tc>
        <w:tc>
          <w:tcPr>
            <w:tcW w:w="5010" w:type="dxa"/>
            <w:vAlign w:val="center"/>
          </w:tcPr>
          <w:p w14:paraId="228C2A30" w14:textId="25830572" w:rsidR="00381BBA" w:rsidRPr="004F53B4" w:rsidRDefault="00A061A2">
            <w:pPr>
              <w:rPr>
                <w:rFonts w:ascii="Aptos" w:hAnsi="Aptos"/>
              </w:rPr>
            </w:pPr>
            <w:r>
              <w:rPr>
                <w:rFonts w:ascii="Aptos" w:hAnsi="Aptos"/>
              </w:rPr>
              <w:t xml:space="preserve">Initial issue. Self-assessment of NIS-2 applicability under Sec. 28 BSIG, classification as a wichtige Einrichtung, and record of registration under Sec. 33 BSIG.</w:t>
            </w:r>
          </w:p>
        </w:tc>
      </w:tr>
      <w:tr w:rsidR="00381BBA" w:rsidRPr="004F53B4" w14:paraId="763B422F" w14:textId="77777777" w:rsidTr="0040212B">
        <w:trPr>
          <w:cantSplit/>
        </w:trPr>
        <w:tc>
          <w:tcPr>
            <w:tcW w:w="1200" w:type="dxa"/>
            <w:vAlign w:val="center"/>
          </w:tcPr>
          <w:p w14:paraId="7FFB097D" w14:textId="77777777" w:rsidR="00381BBA" w:rsidRPr="004F53B4" w:rsidRDefault="00000000">
            <w:pPr>
              <w:rPr>
                <w:rFonts w:ascii="Aptos" w:hAnsi="Aptos"/>
              </w:rPr>
            </w:pPr>
            <w:r>
              <w:rPr>
                <w:rFonts w:ascii="Aptos" w:hAnsi="Aptos"/>
              </w:rPr>
              <w:t xml:space="preserve">1.1</w:t>
            </w:r>
          </w:p>
        </w:tc>
        <w:tc>
          <w:tcPr>
            <w:tcW w:w="1450" w:type="dxa"/>
            <w:vAlign w:val="center"/>
          </w:tcPr>
          <w:p w14:paraId="5CA7F90B" w14:textId="02E4EBE9" w:rsidR="00381BBA" w:rsidRPr="004F53B4" w:rsidRDefault="006B04E8">
            <w:pPr>
              <w:rPr>
                <w:rFonts w:ascii="Aptos" w:hAnsi="Aptos"/>
              </w:rPr>
            </w:pPr>
            <w:r>
              <w:rPr>
                <w:rFonts w:ascii="Aptos" w:hAnsi="Aptos"/>
              </w:rPr>
              <w:t xml:space="preserve">21 October 2026</w:t>
            </w:r>
          </w:p>
        </w:tc>
        <w:tc>
          <w:tcPr>
            <w:tcW w:w="1700" w:type="dxa"/>
            <w:vAlign w:val="center"/>
          </w:tcPr>
          <w:p w14:paraId="330A05C5" w14:textId="77777777" w:rsidR="00381BBA" w:rsidRPr="004F53B4" w:rsidRDefault="00000000">
            <w:pPr>
              <w:rPr>
                <w:rFonts w:ascii="Aptos" w:hAnsi="Aptos"/>
              </w:rPr>
            </w:pPr>
            <w:r>
              <w:rPr>
                <w:rFonts w:ascii="Aptos" w:hAnsi="Aptos"/>
              </w:rPr>
              <w:t xml:space="preserve">Austin Bond</w:t>
            </w:r>
          </w:p>
        </w:tc>
        <w:tc>
          <w:tcPr>
            <w:tcW w:w="5010" w:type="dxa"/>
            <w:vAlign w:val="center"/>
          </w:tcPr>
          <w:p w14:paraId="228C2A30" w14:textId="25830572" w:rsidR="00381BBA" w:rsidRPr="004F53B4" w:rsidRDefault="00A061A2">
            <w:pPr>
              <w:rPr>
                <w:rFonts w:ascii="Aptos" w:hAnsi="Aptos"/>
              </w:rPr>
            </w:pPr>
            <w:r>
              <w:rPr>
                <w:rFonts w:ascii="Aptos" w:hAnsi="Aptos"/>
              </w:rPr>
              <w:t xml:space="preserve">Einrichtungsart corrected to Anlage 1 Nr. 6.1.4; § 34 and § 33(5) obligations added. Detail in Section 10.</w:t>
            </w:r>
          </w:p>
        </w:tc>
      </w:tr>
    </w:tbl>
    <w:p w14:paraId="67166104" w14:textId="77777777" w:rsidR="00381BBA" w:rsidRPr="004F53B4" w:rsidRDefault="00000000" w:rsidP="00EC650A">
      <w:pPr>
        <w:pStyle w:val="Heading2"/>
        <w:rPr>
          <w:rFonts w:ascii="Aptos" w:hAnsi="Aptos"/>
          <w:color w:val="1F4E79" w:themeColor="accent1" w:themeShade="80"/>
        </w:rPr>
      </w:pPr>
      <w:r>
        <w:rPr>
          <w:rFonts w:ascii="Aptos" w:hAnsi="Aptos"/>
          <w:color w:val="1F4E79" w:themeColor="accent1" w:themeShade="80"/>
        </w:rPr>
        <w:t xml:space="preserve">Contents</w:t>
      </w:r>
    </w:p>
    <w:p w14:paraId="31E46362" w14:textId="77777777" w:rsidR="007867A0" w:rsidRPr="004F53B4" w:rsidRDefault="007867A0" w:rsidP="00EC650A">
      <w:pPr>
        <w:rPr>
          <w:rFonts w:ascii="Aptos" w:hAnsi="Aptos"/>
        </w:rPr>
      </w:pPr>
    </w:p>
    <w:p w14:paraId="44A34EC1" w14:textId="724E3CC2" w:rsidR="00381BBA" w:rsidRPr="004F53B4" w:rsidRDefault="00000000">
      <w:pPr>
        <w:spacing w:before="0" w:after="0"/>
        <w:ind w:left="709"/>
        <w:rPr>
          <w:rFonts w:ascii="Aptos" w:hAnsi="Aptos"/>
        </w:rPr>
      </w:pPr>
      <w:r>
        <w:rPr>
          <w:rFonts w:ascii="Aptos" w:hAnsi="Aptos"/>
        </w:rPr>
        <w:t xml:space="preserve">1. Purpose and Scope</w:t>
      </w:r>
    </w:p>
    <w:p w14:paraId="44A34EC1" w14:textId="724E3CC2" w:rsidR="00381BBA" w:rsidRPr="004F53B4" w:rsidRDefault="00000000">
      <w:pPr>
        <w:spacing w:before="0" w:after="0"/>
        <w:ind w:left="709"/>
        <w:rPr>
          <w:rFonts w:ascii="Aptos" w:hAnsi="Aptos"/>
        </w:rPr>
      </w:pPr>
      <w:r>
        <w:rPr>
          <w:rFonts w:ascii="Aptos" w:hAnsi="Aptos"/>
        </w:rPr>
        <w:t xml:space="preserve">2. Legal Basis</w:t>
      </w:r>
    </w:p>
    <w:p w14:paraId="44A34EC1" w14:textId="724E3CC2" w:rsidR="00381BBA" w:rsidRPr="004F53B4" w:rsidRDefault="00000000">
      <w:pPr>
        <w:spacing w:before="0" w:after="0"/>
        <w:ind w:left="709"/>
        <w:rPr>
          <w:rFonts w:ascii="Aptos" w:hAnsi="Aptos"/>
        </w:rPr>
      </w:pPr>
      <w:r>
        <w:rPr>
          <w:rFonts w:ascii="Aptos" w:hAnsi="Aptos"/>
        </w:rPr>
        <w:t xml:space="preserve">3. Self-Assessment of Applicability</w:t>
      </w:r>
    </w:p>
    <w:p w14:paraId="44A34EC1" w14:textId="724E3CC2" w:rsidR="00381BBA" w:rsidRPr="004F53B4" w:rsidRDefault="00000000">
      <w:pPr>
        <w:spacing w:before="0" w:after="0"/>
        <w:ind w:left="709"/>
        <w:rPr>
          <w:rFonts w:ascii="Aptos" w:hAnsi="Aptos"/>
        </w:rPr>
      </w:pPr>
      <w:r>
        <w:rPr>
          <w:rFonts w:ascii="Aptos" w:hAnsi="Aptos"/>
        </w:rPr>
        <w:t xml:space="preserve">4. Classification as a wichtige Einrichtung</w:t>
      </w:r>
    </w:p>
    <w:p w14:paraId="44A34EC1" w14:textId="724E3CC2" w:rsidR="00381BBA" w:rsidRPr="004F53B4" w:rsidRDefault="00000000">
      <w:pPr>
        <w:spacing w:before="0" w:after="0"/>
        <w:ind w:left="709"/>
        <w:rPr>
          <w:rFonts w:ascii="Aptos" w:hAnsi="Aptos"/>
        </w:rPr>
      </w:pPr>
      <w:r>
        <w:rPr>
          <w:rFonts w:ascii="Aptos" w:hAnsi="Aptos"/>
        </w:rPr>
        <w:t xml:space="preserve">5. Registration under §§ 33 and 34 BSIG</w:t>
      </w:r>
    </w:p>
    <w:p w14:paraId="44A34EC1" w14:textId="724E3CC2" w:rsidR="00381BBA" w:rsidRPr="004F53B4" w:rsidRDefault="00000000">
      <w:pPr>
        <w:spacing w:before="0" w:after="0"/>
        <w:ind w:left="709"/>
        <w:rPr>
          <w:rFonts w:ascii="Aptos" w:hAnsi="Aptos"/>
        </w:rPr>
      </w:pPr>
      <w:r>
        <w:rPr>
          <w:rFonts w:ascii="Aptos" w:hAnsi="Aptos"/>
        </w:rPr>
        <w:t xml:space="preserve">6. Contact Point and Communication with the BSI</w:t>
      </w:r>
    </w:p>
    <w:p w14:paraId="44A34EC1" w14:textId="724E3CC2" w:rsidR="00381BBA" w:rsidRPr="004F53B4" w:rsidRDefault="00000000">
      <w:pPr>
        <w:spacing w:before="0" w:after="0"/>
        <w:ind w:left="709"/>
        <w:rPr>
          <w:rFonts w:ascii="Aptos" w:hAnsi="Aptos"/>
        </w:rPr>
      </w:pPr>
      <w:r>
        <w:rPr>
          <w:rFonts w:ascii="Aptos" w:hAnsi="Aptos"/>
        </w:rPr>
        <w:t xml:space="preserve">7. Resulting Obligations</w:t>
      </w:r>
    </w:p>
    <w:p w14:paraId="44A34EC1" w14:textId="724E3CC2" w:rsidR="00381BBA" w:rsidRPr="004F53B4" w:rsidRDefault="00000000">
      <w:pPr>
        <w:spacing w:before="0" w:after="0"/>
        <w:ind w:left="709"/>
        <w:rPr>
          <w:rFonts w:ascii="Aptos" w:hAnsi="Aptos"/>
        </w:rPr>
      </w:pPr>
      <w:r>
        <w:rPr>
          <w:rFonts w:ascii="Aptos" w:hAnsi="Aptos"/>
        </w:rPr>
        <w:t xml:space="preserve">8. Interfaces with the ISMS</w:t>
      </w:r>
    </w:p>
    <w:p w14:paraId="44A34EC1" w14:textId="724E3CC2" w:rsidR="00381BBA" w:rsidRPr="004F53B4" w:rsidRDefault="00000000">
      <w:pPr>
        <w:spacing w:before="0" w:after="0"/>
        <w:ind w:left="709"/>
        <w:rPr>
          <w:rFonts w:ascii="Aptos" w:hAnsi="Aptos"/>
        </w:rPr>
      </w:pPr>
      <w:r>
        <w:rPr>
          <w:rFonts w:ascii="Aptos" w:hAnsi="Aptos"/>
        </w:rPr>
        <w:t xml:space="preserve">9. Review and Re-Assessment</w:t>
      </w:r>
    </w:p>
    <w:p w14:paraId="44A34EC1" w14:textId="724E3CC2" w:rsidR="00381BBA" w:rsidRPr="004F53B4" w:rsidRDefault="00000000">
      <w:pPr>
        <w:spacing w:before="0" w:after="0"/>
        <w:ind w:left="709"/>
        <w:rPr>
          <w:rFonts w:ascii="Aptos" w:hAnsi="Aptos"/>
        </w:rPr>
      </w:pPr>
      <w:r>
        <w:rPr>
          <w:rFonts w:ascii="Aptos" w:hAnsi="Aptos"/>
        </w:rPr>
        <w:t xml:space="preserve">10. Limitations of This Record</w:t>
      </w:r>
    </w:p>
    <w:p w14:paraId="44A34EC1" w14:textId="724E3CC2" w:rsidR="00381BBA" w:rsidRPr="004F53B4" w:rsidRDefault="00000000">
      <w:pPr>
        <w:spacing w:before="0" w:after="0"/>
        <w:ind w:left="709"/>
        <w:rPr>
          <w:rFonts w:ascii="Aptos" w:hAnsi="Aptos"/>
        </w:rPr>
      </w:pPr>
      <w:r>
        <w:rPr>
          <w:rFonts w:ascii="Aptos" w:hAnsi="Aptos"/>
        </w:rPr>
        <w:t xml:space="preserve">11. Document Sign-Off</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1. Purpose and Scope</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record documents MunichTech GmbH's self-assessment under § 28 BSIG, the resulting classification as a wichtige Einrichtung (important entity), and the registration submitted to the Federal Office for Information Security (BSI) under §§ 33 and 34 BSIG. It exists so that the classification decision can be reconstructed and defended at any point in the future, without relying on the recollection of the individuals who made it.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record is an internal ISMS artifact. It is not a document issued by the BSI and must never be presented as one. Section 10 states precisely what it does and does not evidence.</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2. Legal Basis</w:t>
      </w: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2.1 The NIS-2-Umsetzungsgesetz</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Directive (EU) 2022/2555 (NIS-2) was transposed into German law by the NIS-2-Umsetzungsgesetz of 5 December 2025 (BGBl. 2025 I Nr. 301), which restructured the BSIG. The amended BSIG has applied since 6 December 2025.</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provisions relevant to this record are: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28 BSIG — scope and the categories of Einrichtung, together with Anlage 1 (sectors and entity types) and the size thresholds.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30 BSIG — risk-management measures (NIS2 Art. 21). For the Einrichtungsarten listed in § 30(3) — which include providers of cloud-computing services — the implementing act adopted by the Commission under NIS2 Art. 21(5), first subparagraph, takes precedence over the measures listed in § 30(2).</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32 BSIG — reporting obligations: early warning within 24 hours, notification within 72 hours, final report within one month (NIS2 Art. 23).</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33 BSIG — registration with the BSI (NIS2 Art. 27), and notification of any change to the registered data without undue delay and at the latest within two weeks of the entity becoming aware of it (§ 33(5)).</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34 BSIG — the extended registration duty for the Einrichtungsarten named in § 60(1) sentence 1, which include providers of cloud-computing services, and notification of any change to that extended data set without undue delay and at the latest within three months (§ 34(2)).</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38 BSIG — management-body accountability and training (NIS2 Art. 20).</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65 BSIG — administrative fines (NIS2 Art. 34).</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2.2 Why a documented self-assessment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BSIG does not require the BSI to certify an entity's status before obligations attach. An entity that meets the scope criteria is subject to those obligations of its own motion, and the burden of showing that it assessed its position correctly rests with the entity. A written, dated and approved Betroffenheitsprüfung is therefore the only reliable evidence that the decision was taken deliberately rather than assumed.</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3. Self-Assessment of Applicability</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Applicability was assessed on 12 February 2026 against the three cumulative criteria of § 28 BSIG: a listed sector and entity type, establishment in Germany, and satisfaction of the size test.</w:t>
      </w: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3.1 Criterion 1 — Sector and entity type</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MunichTech GmbH operates a B2B SaaS platform supplying financial-data analytics and data-processing services to banks, insurers and asset managers. The service is delivered as a multi-tenant cloud service: clients obtain on-demand access over the internet to analytics capacity that MunichTech provisions, scales and operates on a shared pool of computing resources, rather than receiving software to install and run on systems of their own.</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places the entity in Anlage 1, Sektor 6 "Digitale Infrastruktur", Einrichtungsart Nr. 6.1.4 — Anbieter von Cloud-Computing-Diensten. The definition in § 2 Nr. 4 BSIG is met on its own terms: MunichTech provides a digital service that enables, on demand, the administration of a scalable and elastic pool of shared computing resources together with comprehensive remote access to that pool, and the fact that the resources are distributed across several locations does not alter that.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adjacent Einrichtungsarten 6.1.10 (Managed Services Provider) and 6.1.11 (Managed Security Services Provider) were considered and rejected. § 2 Nr. 26 BSIG defines a managed service provider as one that installs, administers, operates or maintains ICT products, networks, infrastructure, applications or other network and information systems in support of, or by actively managing, a customer's systems, whether on the customer’s premises or remotely. MunichTech does not administer or monitor systems belonging to its clients. It operates one platform of its own and returns analytics derived from data that clients submit to it, which is the supply of a cloud service, not the management of a third party’s ICT estate. Einrichtungsart 6.1.11 fails for the same reason and, additionally, because MunichTech provides no cybersecurity risk-management services to third parties, which is what distinguishes an MSSP from an MSP.</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An earlier internal position classified the entity against NIS2 Annex II, the providers of digital services (online marketplaces, search engines and social networks). That position was wrong and has been withdrawn. Annex II covers consumer-facing digital services; MunichTech provides none of the three listed service types. A second position, recorded in versions of this document up to 1.0, classified the entity as "IKT-Dienstleistungsmanagement (B2B)" — a category that does not exist in Anlage 1, and one carried over from the wording of NIS2 Annex I, which Germany split into Einrichtungsarten 6.1.10 and 6.1.11. That position has also been withdrawn, for the reasons set out above.</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3.2 Criterion 2 — Establishment in Germany</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MunichTech GmbH is incorporated and headquartered in Munich and provides its services from Germany. No establishment exists in another Member State, so the BSI is the competent authority and no cross-border coordination under NIS2 Art. 26 arises.</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3.3 Criterion 3 — Size test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size test is applied to the entity as a whole, not to a business unit, customer segment or product line: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Employees: 50, by headcount and by full-time equivalent. The medium-sized threshold is 50 or more.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Annual turnover: EUR 12.4 million. The financial threshold is more than EUR 10 million.</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Balance-sheet total: below EUR 10 million. That matters, because § 28(2) Nr. 3 BSIG offers two alternative routes and its financial route requires a turnover above EUR 10 million and, in addition, a balance-sheet total above EUR 10 million. The entity does not meet the financial route.</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conclusion therefore rests on the headcount route in § 28(2) Nr. 3 lit. a alone: at 50 employees the entity employs at least 50 employees within the meaning of that provision, whatever view is taken of the financial route. It is not sensitive to the balance-sheet figure, but it is sensitive to headcount, which is why a fall to 49 or below is a review trigger in Section 9.</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3.4 Conclusion</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b/>
          <w:bCs/>
          <w:color w:val="auto"/>
          <w:sz w:val="22"/>
          <w:szCs w:val="22"/>
        </w:rPr>
        <w:t xml:space="preserve">Result: MunichTech GmbH is a wichtige Einrichtung within the meaning of § 28(2) BSIG, Anlage 1, Sektor 6, Einrichtungsart Nr. 6.1.4 (Anbieter von Cloud-Computing-Diensten).</w:t>
      </w:r>
      <w:r>
        <w:rPr>
          <w:rFonts w:ascii="Aptos" w:eastAsiaTheme="minorHAnsi" w:hAnsi="Aptos" w:cstheme="minorBidi"/>
          <w:color w:val="auto"/>
          <w:sz w:val="22"/>
          <w:szCs w:val="22"/>
        </w:rPr>
        <w:t xml:space="preserve"> The obligations of the BSIG applied to the entity in full from 6 December 2025, independently of the registration date.</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4. Classification as a wichtige Einrichtung</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BSIG distinguishes two categories of entity. Besonders wichtige Einrichtungen are large entities — more than 249 employees, or more than EUR 50 million turnover and more than EUR 43 million balance-sheet total — together with a defined group of critical operators. Wichtige Einrichtungen are medium-sized entities operating in a listed sector.</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MunichTech GmbH is a medium-sized entity and is therefore a wichtige Einrichtung. It is not a besonders wichtige Einrichtung, and nothing in this record should be read as claiming otherwise.</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distinction is not cosmetic. It sets the fine ceiling under § 65 BSIG — up to EUR 10 million or 2% of worldwide annual turnover for besonders wichtige Einrichtungen, up to EUR 7 million or 1.4% for wichtige Einrichtungen — and it determines the intensity of BSI supervision. Applying the wrong tier overstates the exposure and damages the credibility of the assessment in front of clients and auditors.</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5. Registration under §§ 33 and 34 BSIG</w:t>
      </w: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5.1 Timeline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6 December 2025 — the amended BSIG enters into force; obligations apply from this date.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6 January 2026 — the BSI registration portal opens.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6 March 2026 — statutory registration deadline, three months after entry into force.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18 February 2026 — MunichTech GmbH submits its registration.</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Registration was completed ahead of the statutory deadline, leaving room to correct any field the BSI subsequently queries without the entity falling into breach. That allowance was used. The October 2026 re-assessment described in Section 9 found that the Einrichtungsart recorded at registration had been carried over from the NIS2 Annex I label rather than taken from Anlage 1, and that the public IP address field, which § 33(1) Nr. 2 BSIG requires, had been answered "not applicable" when the accurate answer was "no allocation held". The corrected data set was filed under § 33(5) BSIG on 21 October 2026, and the corresponding notification under § 34(2) BSIG was filed on the same date.</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5.2 Route taken</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Registration followed the two-step route operated by the BSI. Access is federated through Mein Unternehmenskonto (MUK), and the entity data set is then entered in the BSI registration portal. Because the MUK account authenticates the legal entity rather than a natural person, the registration is bound to MunichTech GmbH; the named contact point can change without re-registering the entity. Because MunichTech is an Einrichtungsart named in § 60(1) sentence 1 BSIG, the § 33 registration is accompanied by the extended submission required by § 34 BSIG. The two are cumulative rather than alternative: § 33 registers the entity, and § 34 adds the data set the BSI needs in order to exercise the central competence it holds for the whole Union under § 60(1), which rests with it because the entity's EU headquarters is in Germany. Under § 34(3) the BSI forwards that data set to ENISA, with the exception of the public IP address ranges.</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5.3 Submitted data set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following fields were submitted. This table is the internal record of the registration content, restated as corrected in October 2026, and is the baseline for any later update. The portal submission remains the authoritative copy of the filed data set; where the two diverge, the portal copy governs and this table is corrected to match it.</w:t>
      </w:r>
    </w:p>
    <w:tbl>
      <w:tblPr>
        <w:tblStyle w:val="TableGrid"/>
        <w:tblW w:w="9360" w:type="dxa"/>
        <w:tblLayout w:type="fixed"/>
        <w:tblLook w:val="04A0" w:firstRow="1" w:lastRow="0" w:firstColumn="1" w:lastColumn="0" w:noHBand="0" w:noVBand="1"/>
      </w:tblPr>
      <w:tblGrid>
        <w:gridCol w:w="2700"/>
        <w:gridCol w:w="6660"/>
      </w:tblGrid>
      <w:tr w:rsidR="00D07B7D" w:rsidRPr="004F53B4" w14:paraId="217F0449" w14:textId="3276885C" w:rsidTr="004F53B4">
        <w:trPr>
          <w:cantSplit/>
        </w:trPr>
        <w:tc>
          <w:tcPr>
            <w:tcW w:w="2700"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Field</w:t>
            </w:r>
          </w:p>
        </w:tc>
        <w:tc>
          <w:tcPr>
            <w:tcW w:w="6660"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Value submitted</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Entity name</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MunichTech GmbH</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Registered address</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Munich, Bavaria, Germany</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Legal form</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GmbH</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Sector</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Anlage 1, Sektor 6 — Digitale Infrastruktur, Nr. 6.1.4</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Entity type</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Anbieter von Cloud-Computing-Diensten</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Entity category</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wichtige Einrichtung</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Member States of service provision</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Germany only; no other Member State</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Contact point</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IT Security Lead, via the security functional mailbox</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Telephone and website</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Held in the BSI portal; not reproduced in this document</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IP ranges and domain identifiers</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No allocation held. MunichTech holds no provider-independent address space and no allocation from a regional internet registry; its platform is reachable only through AWS-managed addresses (Elastic Load Balancing, CloudFront), which rotate and cannot honestly be described as the entity's own ranges. Because § 33(1) Nr. 2 and § 34(1) Nr. 6 BSIG both require the statement, the filings record that fact and the reason rather than leaving the field blank.</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Registration submitted</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18 February 2026</w:t>
            </w:r>
          </w:p>
        </w:tc>
      </w:tr>
    </w:tbl>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5.4 Evidence retained</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following items are held in the ISMS evidence register and together demonstrate that registration took place: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EV-REG-001 — capture of the BSI portal submission confirmation, timestamped 18 February 2026.</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EV-REG-002 — system-generated acknowledgement of receipt from the BSI portal.</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EV-REG-003 — MUK account record identifying MunichTech GmbH as the authenticated legal entity.</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EV-REG-004 — corrected data set filed under § 33(5) BSIG, timestamped 21 October 2026: Einrichtungsart changed to Anlage 1 Nr. 6.1.4 and the public IP address field completed.</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EV-REG-005 — notification under § 34(2) BSIG of the same change to the extended data set, timestamped 21 October 2026.</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BSI does not issue a registration certificate. No document in this portfolio has been created to resemble one, and this record deliberately does not quote a registration number.</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6. Contact Point and Communication with the BSI</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33 BSIG requires a designated contact point. MunichTech GmbH has named the IT Security Lead as primary contact and the Managing Director as deputy, reachable through a functional mailbox so that the contact survives staff turnover. The contact details on file with the BSI are verified at each management review; a stale contact point is itself a compliance finding.</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Inbound BSI correspondence is handled as a regulatory communication. It is logged on receipt, acknowledged within two business days, and assigned to the IT Security Lead, who reports material items to the management review.</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7. Resulting Obligations</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classification triggers a defined set of obligations. Each is owned and evidenced elsewhere in the ISMS, so this record does not restate the detail:</w:t>
      </w:r>
    </w:p>
    <w:tbl>
      <w:tblPr>
        <w:tblStyle w:val="TableGrid"/>
        <w:tblW w:w="9360" w:type="dxa"/>
        <w:tblLayout w:type="fixed"/>
        <w:tblLook w:val="04A0" w:firstRow="1" w:lastRow="0" w:firstColumn="1" w:lastColumn="0" w:noHBand="0" w:noVBand="1"/>
      </w:tblPr>
      <w:tblGrid>
        <w:gridCol w:w="3000"/>
        <w:gridCol w:w="2400"/>
        <w:gridCol w:w="3960"/>
      </w:tblGrid>
      <w:tr w:rsidR="00D07B7D" w:rsidRPr="004F53B4" w14:paraId="217F0449" w14:textId="3276885C" w:rsidTr="004F53B4">
        <w:trPr>
          <w:cantSplit/>
        </w:trPr>
        <w:tc>
          <w:tcPr>
            <w:tcW w:w="3000"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Obligation</w:t>
            </w:r>
          </w:p>
        </w:tc>
        <w:tc>
          <w:tcPr>
            <w:tcW w:w="2400"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BSIG provision</w:t>
            </w:r>
          </w:p>
        </w:tc>
        <w:tc>
          <w:tcPr>
            <w:tcW w:w="3960" w:type="dxa"/>
            <w:vAlign w:val="center"/>
          </w:tcPr>
          <w:p w14:paraId="163C4711" w14:textId="03EF289F"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Where it is discharged</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Risk-management measures across the ten NIS2 Art. 21 areas, and the technical and methodological requirements of the Art. 21(5) implementing act where it takes precedence (§ 30(3))</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30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Information Security Policy (MT-ISMS-POL-001); Statement of Applicability (MT-ISMS-SOA-001)</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Incident reporting: 24-hour early warning, 72-hour notification, one-month final report</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32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NIS-2 Incident Reporting Workflow (MT-NIS2-IRP-001)</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Registration, and update of registered data on material change</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33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This record</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Extended registration content under § 60(1) BSIG, and notification of changes to it within three months</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34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This record, Section 5</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Management-body approval, oversight and training</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38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Information Security Policy; Management Review Agenda (MT-ISMS-MRA-001)</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Supply-chain security for direct suppliers and service providers</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30 BSIG (NIS2 Art. 21(2)(d))</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Information Asset Register (MT-ISMS-IAR-001); supplier assessments</w:t>
            </w:r>
          </w:p>
        </w:tc>
      </w:tr>
    </w:tbl>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The BSIG also defines a near miss (Beinahevorfall, § 2 Nr. 1 BSIG). Section 32 BSIG obliges notification only of significant incidents (erhebliche Sicherheitsvorfälle); a near miss is not notifiable and starts no reporting clock. The incident reporting workflow therefore triages near misses on a separate, internal-only branch that records and analyses them without any external notification, so that a narrowly avoided outage is examined even where no reporting duty arises (MT-NIS2-IRP-001, Section 2.1). A voluntary report to the BSI remains available under § 5 BSIG, but is not made as a matter of routine and is never treated as a substitute for a mandatory notification.</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8. Interfaces with the ISMS</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record is not standalone. It fixes inputs on which other artifacts depend, and a change here propagates:</w:t>
      </w:r>
    </w:p>
    <w:tbl>
      <w:tblPr>
        <w:tblStyle w:val="TableGrid"/>
        <w:tblW w:w="9360" w:type="dxa"/>
        <w:tblLayout w:type="fixed"/>
        <w:tblLook w:val="04A0" w:firstRow="1" w:lastRow="0" w:firstColumn="1" w:lastColumn="0" w:noHBand="0" w:noVBand="1"/>
      </w:tblPr>
      <w:tblGrid>
        <w:gridCol w:w="2900"/>
        <w:gridCol w:w="6460"/>
      </w:tblGrid>
      <w:tr w:rsidR="00D07B7D" w:rsidRPr="004F53B4" w14:paraId="217F0449" w14:textId="3276885C" w:rsidTr="004F53B4">
        <w:trPr>
          <w:cantSplit/>
        </w:trPr>
        <w:tc>
          <w:tcPr>
            <w:tcW w:w="2900"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Artifact</w:t>
            </w:r>
          </w:p>
        </w:tc>
        <w:tc>
          <w:tcPr>
            <w:tcW w:w="6460"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Dependency</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Scope and Context Document (MT-ISMS-SCO-001)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Carries the entity classification and the legal-register entry in its Clause 4.1 and 4.2 analysis</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Risk Register (MT-ISMS-RR-001)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Holds the compliance risk of misclassification and of a missed § 32 reporting deadline</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Statement of Applicability (MT-ISMS-SOA-001)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A.5.31 (legal, statutory and regulatory requirements) and A.5.5 (contact with authorities)</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NIS-2 Incident Reporting Workflow (MT-NIS2-IRP-001)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Operationalises § 32 BSIG and uses the contact point established here</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Internal Audit Checklist (MT-ISMS-AUD-001)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Tests that the registered data set still matches the entity as it operates today</w:t>
            </w:r>
          </w:p>
        </w:tc>
      </w:tr>
    </w:tbl>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9. Review and Re-Assessment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assessment is re-performed, and the classification re-confirmed or revised, whenever any of the following occurs: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Headcount falls below 50, or turnover below EUR 10 million, for two consecutive financial years — a possible basis for leaving scope, although exit is not automatic and the BSI does not grant it on request.</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A change in the nature of the service, such that the Einrichtungsart in Anlage 1 changes.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Expansion into another Member State, which may change the competent authority.</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Merger, acquisition, change of legal form or change of control.</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A BSI publication that changes the sector mapping or the interpretation of the size test, or the entry into force of a Commission implementing act under NIS2 Art. 21(5) that binds the entity through § 30(3).</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In any event annually, as a standing item at the management review.</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A revised assessment never silently overwrites this one. Each re-assessment is issued as a new version with its own revision-history row, and the superseded version is retained as evidence of how the position evolved. Two clocks govern the record itself and must not be conflated: a change to the § 33 data set is filed without undue delay and at the latest within two weeks of the entity becoming aware of it (§ 33(5)), while a change to the § 34 data set is filed without undue delay and at the latest within three months (§ 34(2)). A re-assessment that changes no filed field requires no filing; one that changes a field starts that clock on the day the change is known.</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10. Limitations of This Record</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Stating the limits of the evidence is part of presenting it honestly:</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is a self-assessment. The BSI has neither audited nor approved the classification, and no BSI endorsement is implied.</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is not a BSI registration certificate. No such certificate exists, and none has been simulated for this portfolio.</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record evidences that a registration was submitted. It does not guarantee that the BSI will accept every field; corrections requested by the BSI are logged against this record.</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legal analysis reflects the BSIG as in force on the date of issue. A later amendment, or a change in BSI guidance, may change the conclusion.</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It evidences an internal decision, not compliance with §§ 30, 32 and 38 BSIG. Those obligations are evidenced by their own artifacts.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Version 1.1 changes the Einrichtungsart recorded in version 1.0. "IKT-Dienstleistungsmanagement (B2B)" is not an Einrichtungsart in Anlage 1 BSIG; the entity is an Anbieter von Cloud-Computing-Diensten under Nr. 6.1.4. The correction does not change the entity category, the obligations that apply or the fine tier, but it does change the registration route, because Nr. 6.1.4 is one of the Einrichtungsarten listed in § 60(1) sentence 1 BSIG.</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11. Document Sign-Off</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By signing below, the Managing Director confirms that the entity classification recorded in this document is accepted, and that the obligations arising from it are resourced within the ISMS.</w:t>
      </w:r>
    </w:p>
    <w:p w14:paraId="31E46362" w14:textId="77777777" w:rsidR="007867A0" w:rsidRPr="004F53B4" w:rsidRDefault="007867A0" w:rsidP="00EC650A">
      <w:pPr>
        <w:rPr>
          <w:rFonts w:ascii="Aptos" w:hAnsi="Aptos"/>
        </w:rPr>
      </w:pPr>
    </w:p>
    <w:tbl>
      <w:tblPr>
        <w:tblStyle w:val="TableGrid"/>
        <w:tblW w:w="0" w:type="auto"/>
        <w:tblLook w:val="04A0" w:firstRow="1" w:lastRow="0" w:firstColumn="1" w:lastColumn="0" w:noHBand="0" w:noVBand="1"/>
      </w:tblPr>
      <w:tblGrid>
        <w:gridCol w:w="9350"/>
      </w:tblGrid>
      <w:tr w:rsidR="00381BBA" w:rsidRPr="004F53B4" w14:paraId="596E338C" w14:textId="77777777" w:rsidTr="0040212B">
        <w:trPr>
          <w:trHeight w:val="8552"/>
        </w:trPr>
        <w:tc>
          <w:tcPr>
            <w:tcW w:w="9360" w:type="dxa"/>
            <w:vAlign w:val="center"/>
          </w:tcPr>
          <w:p w14:paraId="2ADF7172" w14:textId="77777777" w:rsidR="00381BBA" w:rsidRPr="004F53B4" w:rsidRDefault="00381BBA">
            <w:pPr>
              <w:jc w:val="center"/>
              <w:rPr>
                <w:rFonts w:ascii="Aptos" w:hAnsi="Aptos"/>
              </w:rPr>
            </w:pPr>
          </w:p>
          <w:p w14:paraId="590FEC4B" w14:textId="77777777" w:rsidR="00381BBA" w:rsidRPr="004F53B4" w:rsidRDefault="00000000">
            <w:pPr>
              <w:pStyle w:val="Heading2"/>
              <w:jc w:val="center"/>
              <w:rPr>
                <w:rFonts w:ascii="Aptos" w:hAnsi="Aptos"/>
                <w:color w:val="1F4E79" w:themeColor="accent1" w:themeShade="80"/>
              </w:rPr>
            </w:pPr>
            <w:r w:rsidRPr="004F53B4">
              <w:rPr>
                <w:rFonts w:ascii="Aptos" w:hAnsi="Aptos"/>
                <w:color w:val="1F4E79" w:themeColor="accent1" w:themeShade="80"/>
              </w:rPr>
              <w:t>DOCUMENT APPROVAL</w:t>
            </w:r>
          </w:p>
          <w:p w14:paraId="52E8D6D5" w14:textId="77777777" w:rsidR="00381BBA" w:rsidRPr="004F53B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F53B4" w14:paraId="01AC352C" w14:textId="77777777" w:rsidTr="0040212B">
              <w:trPr>
                <w:trHeight w:val="417"/>
              </w:trPr>
              <w:tc>
                <w:tcPr>
                  <w:tcW w:w="4572" w:type="dxa"/>
                  <w:vAlign w:val="center"/>
                </w:tcPr>
                <w:p w14:paraId="49867E33"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PREPARED BY</w:t>
                  </w:r>
                </w:p>
              </w:tc>
              <w:tc>
                <w:tcPr>
                  <w:tcW w:w="4572" w:type="dxa"/>
                  <w:vAlign w:val="center"/>
                </w:tcPr>
                <w:p w14:paraId="47A435AE" w14:textId="77777777" w:rsidR="00381BBA" w:rsidRPr="004F53B4" w:rsidRDefault="00381BBA">
                  <w:pPr>
                    <w:jc w:val="center"/>
                    <w:rPr>
                      <w:rFonts w:ascii="Aptos" w:hAnsi="Aptos"/>
                    </w:rPr>
                  </w:pPr>
                </w:p>
              </w:tc>
            </w:tr>
            <w:tr w:rsidR="00381BBA" w:rsidRPr="004F53B4" w14:paraId="2C8D241F" w14:textId="77777777" w:rsidTr="0040212B">
              <w:trPr>
                <w:trHeight w:val="438"/>
              </w:trPr>
              <w:tc>
                <w:tcPr>
                  <w:tcW w:w="4572" w:type="dxa"/>
                  <w:vAlign w:val="center"/>
                </w:tcPr>
                <w:p w14:paraId="46808E1C"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4CD899B2" w14:textId="77777777" w:rsidR="00381BBA" w:rsidRPr="004F53B4" w:rsidRDefault="00000000">
                  <w:pPr>
                    <w:jc w:val="center"/>
                    <w:rPr>
                      <w:rFonts w:ascii="Aptos" w:hAnsi="Aptos"/>
                    </w:rPr>
                  </w:pPr>
                  <w:r w:rsidRPr="004F53B4">
                    <w:rPr>
                      <w:rFonts w:ascii="Aptos" w:hAnsi="Aptos"/>
                    </w:rPr>
                    <w:t>Austin Bond</w:t>
                  </w:r>
                </w:p>
              </w:tc>
            </w:tr>
            <w:tr w:rsidR="00381BBA" w:rsidRPr="004F53B4" w14:paraId="25069471" w14:textId="77777777" w:rsidTr="0040212B">
              <w:trPr>
                <w:trHeight w:val="415"/>
              </w:trPr>
              <w:tc>
                <w:tcPr>
                  <w:tcW w:w="4572" w:type="dxa"/>
                  <w:vAlign w:val="center"/>
                </w:tcPr>
                <w:p w14:paraId="3DAF86AA"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1CDF397" w14:textId="77777777" w:rsidR="00381BBA" w:rsidRPr="004F53B4" w:rsidRDefault="00000000">
                  <w:pPr>
                    <w:jc w:val="center"/>
                    <w:rPr>
                      <w:rFonts w:ascii="Aptos" w:hAnsi="Aptos"/>
                    </w:rPr>
                  </w:pPr>
                  <w:r w:rsidRPr="004F53B4">
                    <w:rPr>
                      <w:rFonts w:ascii="Aptos" w:hAnsi="Aptos"/>
                    </w:rPr>
                    <w:t>Junior GRC Consultant</w:t>
                  </w:r>
                </w:p>
              </w:tc>
            </w:tr>
            <w:tr w:rsidR="00381BBA" w:rsidRPr="004F53B4" w14:paraId="0C4AD99C" w14:textId="77777777" w:rsidTr="0040212B">
              <w:trPr>
                <w:trHeight w:val="415"/>
              </w:trPr>
              <w:tc>
                <w:tcPr>
                  <w:tcW w:w="4572" w:type="dxa"/>
                  <w:vAlign w:val="center"/>
                </w:tcPr>
                <w:p w14:paraId="08796974"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34CF35AC" w14:textId="77777777" w:rsidR="00381BBA" w:rsidRPr="004F53B4" w:rsidRDefault="00000000">
                  <w:pPr>
                    <w:jc w:val="center"/>
                    <w:rPr>
                      <w:rFonts w:ascii="Aptos" w:hAnsi="Aptos"/>
                    </w:rPr>
                  </w:pPr>
                  <w:r w:rsidRPr="004F53B4">
                    <w:rPr>
                      <w:rFonts w:ascii="Aptos" w:hAnsi="Aptos"/>
                    </w:rPr>
                    <w:t>20 October 2026</w:t>
                  </w:r>
                </w:p>
              </w:tc>
            </w:tr>
            <w:tr w:rsidR="00381BBA" w:rsidRPr="004F53B4" w14:paraId="5B613556" w14:textId="77777777" w:rsidTr="0040212B">
              <w:trPr>
                <w:trHeight w:val="641"/>
              </w:trPr>
              <w:tc>
                <w:tcPr>
                  <w:tcW w:w="4572" w:type="dxa"/>
                  <w:vAlign w:val="center"/>
                </w:tcPr>
                <w:p w14:paraId="2E8AEC25"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2292234E" w14:textId="77777777" w:rsidR="00381BBA" w:rsidRPr="004F53B4" w:rsidRDefault="00381BBA">
                  <w:pPr>
                    <w:jc w:val="center"/>
                    <w:rPr>
                      <w:rFonts w:ascii="Aptos" w:hAnsi="Aptos"/>
                    </w:rPr>
                  </w:pPr>
                </w:p>
              </w:tc>
            </w:tr>
            <w:tr w:rsidR="00381BBA" w:rsidRPr="004F53B4" w14:paraId="64FC2971" w14:textId="77777777" w:rsidTr="0040212B">
              <w:trPr>
                <w:trHeight w:val="329"/>
              </w:trPr>
              <w:tc>
                <w:tcPr>
                  <w:tcW w:w="4572" w:type="dxa"/>
                  <w:vAlign w:val="center"/>
                </w:tcPr>
                <w:p w14:paraId="3B480174" w14:textId="77777777" w:rsidR="00381BBA" w:rsidRPr="004F53B4" w:rsidRDefault="00000000">
                  <w:pPr>
                    <w:pStyle w:val="Heading4"/>
                    <w:rPr>
                      <w:rFonts w:ascii="Aptos" w:hAnsi="Aptos"/>
                    </w:rPr>
                  </w:pPr>
                  <w:r w:rsidRPr="004F53B4">
                    <w:rPr>
                      <w:rFonts w:ascii="Aptos" w:hAnsi="Aptos"/>
                      <w:color w:val="1F4E79" w:themeColor="accent1" w:themeShade="80"/>
                    </w:rPr>
                    <w:t>REVIEWED BY</w:t>
                  </w:r>
                </w:p>
              </w:tc>
              <w:tc>
                <w:tcPr>
                  <w:tcW w:w="4572" w:type="dxa"/>
                  <w:vAlign w:val="center"/>
                </w:tcPr>
                <w:p w14:paraId="546C977B" w14:textId="77777777" w:rsidR="00381BBA" w:rsidRPr="004F53B4" w:rsidRDefault="00381BBA">
                  <w:pPr>
                    <w:jc w:val="center"/>
                    <w:rPr>
                      <w:rFonts w:ascii="Aptos" w:hAnsi="Aptos"/>
                    </w:rPr>
                  </w:pPr>
                </w:p>
              </w:tc>
            </w:tr>
            <w:tr w:rsidR="00381BBA" w:rsidRPr="004F53B4" w14:paraId="5ED95D3C" w14:textId="77777777" w:rsidTr="0040212B">
              <w:trPr>
                <w:trHeight w:val="415"/>
              </w:trPr>
              <w:tc>
                <w:tcPr>
                  <w:tcW w:w="4572" w:type="dxa"/>
                  <w:vAlign w:val="center"/>
                </w:tcPr>
                <w:p w14:paraId="38CEB323"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6CBB0C72" w14:textId="77777777" w:rsidR="00381BBA" w:rsidRPr="004F53B4" w:rsidRDefault="00000000">
                  <w:pPr>
                    <w:tabs>
                      <w:tab w:val="left" w:pos="1424"/>
                    </w:tabs>
                    <w:jc w:val="center"/>
                    <w:rPr>
                      <w:rFonts w:ascii="Aptos" w:hAnsi="Aptos"/>
                    </w:rPr>
                  </w:pPr>
                  <w:r w:rsidRPr="004F53B4">
                    <w:rPr>
                      <w:rFonts w:ascii="Aptos" w:hAnsi="Aptos"/>
                    </w:rPr>
                    <w:t>Dr. Andreas Kellermann</w:t>
                  </w:r>
                </w:p>
              </w:tc>
            </w:tr>
            <w:tr w:rsidR="00381BBA" w:rsidRPr="004F53B4" w14:paraId="0B9B166E" w14:textId="77777777" w:rsidTr="0040212B">
              <w:trPr>
                <w:trHeight w:val="557"/>
              </w:trPr>
              <w:tc>
                <w:tcPr>
                  <w:tcW w:w="4572" w:type="dxa"/>
                  <w:vAlign w:val="center"/>
                </w:tcPr>
                <w:p w14:paraId="53DAAF52"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0784C58B" w14:textId="77777777" w:rsidR="00381BBA" w:rsidRPr="004F53B4" w:rsidRDefault="00000000">
                  <w:pPr>
                    <w:jc w:val="center"/>
                    <w:rPr>
                      <w:rFonts w:ascii="Aptos" w:hAnsi="Aptos"/>
                    </w:rPr>
                  </w:pPr>
                  <w:r w:rsidRPr="004F53B4">
                    <w:rPr>
                      <w:rFonts w:ascii="Aptos" w:hAnsi="Aptos"/>
                    </w:rPr>
                    <w:t>Senior GRC Partner, CISM | ISO 27001 Lead Auditor</w:t>
                  </w:r>
                </w:p>
              </w:tc>
            </w:tr>
            <w:tr w:rsidR="00381BBA" w:rsidRPr="004F53B4" w14:paraId="0CCF9993" w14:textId="77777777" w:rsidTr="0040212B">
              <w:trPr>
                <w:trHeight w:val="415"/>
              </w:trPr>
              <w:tc>
                <w:tcPr>
                  <w:tcW w:w="4572" w:type="dxa"/>
                  <w:vAlign w:val="center"/>
                </w:tcPr>
                <w:p w14:paraId="57B81E86"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4D77ED18" w14:textId="77777777" w:rsidR="00381BBA" w:rsidRPr="004F53B4" w:rsidRDefault="00000000">
                  <w:pPr>
                    <w:jc w:val="center"/>
                    <w:rPr>
                      <w:rFonts w:ascii="Aptos" w:hAnsi="Aptos"/>
                    </w:rPr>
                  </w:pPr>
                  <w:r w:rsidRPr="004F53B4">
                    <w:rPr>
                      <w:rFonts w:ascii="Aptos" w:hAnsi="Aptos"/>
                    </w:rPr>
                    <w:t>20 October 2026</w:t>
                  </w:r>
                </w:p>
              </w:tc>
            </w:tr>
            <w:tr w:rsidR="00381BBA" w:rsidRPr="004F53B4" w14:paraId="5EDE434F" w14:textId="77777777" w:rsidTr="0040212B">
              <w:trPr>
                <w:trHeight w:val="701"/>
              </w:trPr>
              <w:tc>
                <w:tcPr>
                  <w:tcW w:w="4572" w:type="dxa"/>
                  <w:vAlign w:val="center"/>
                </w:tcPr>
                <w:p w14:paraId="13434671"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16F20CB5" w14:textId="77777777" w:rsidR="00381BBA" w:rsidRPr="004F53B4" w:rsidRDefault="00381BBA">
                  <w:pPr>
                    <w:jc w:val="center"/>
                    <w:rPr>
                      <w:rFonts w:ascii="Aptos" w:hAnsi="Aptos"/>
                    </w:rPr>
                  </w:pPr>
                </w:p>
              </w:tc>
            </w:tr>
            <w:tr w:rsidR="00381BBA" w:rsidRPr="004F53B4" w14:paraId="6AEF3617" w14:textId="77777777" w:rsidTr="0040212B">
              <w:trPr>
                <w:trHeight w:val="444"/>
              </w:trPr>
              <w:tc>
                <w:tcPr>
                  <w:tcW w:w="4572" w:type="dxa"/>
                  <w:vAlign w:val="center"/>
                </w:tcPr>
                <w:p w14:paraId="0FC91973" w14:textId="77777777" w:rsidR="00381BBA" w:rsidRPr="004F53B4" w:rsidRDefault="00000000">
                  <w:pPr>
                    <w:pStyle w:val="Heading4"/>
                    <w:rPr>
                      <w:rFonts w:ascii="Aptos" w:hAnsi="Aptos"/>
                    </w:rPr>
                  </w:pPr>
                  <w:r w:rsidRPr="004F53B4">
                    <w:rPr>
                      <w:rFonts w:ascii="Aptos" w:hAnsi="Aptos"/>
                      <w:color w:val="1F4E79" w:themeColor="accent1" w:themeShade="80"/>
                    </w:rPr>
                    <w:t>APPROVED BY</w:t>
                  </w:r>
                </w:p>
              </w:tc>
              <w:tc>
                <w:tcPr>
                  <w:tcW w:w="4572" w:type="dxa"/>
                  <w:vAlign w:val="center"/>
                </w:tcPr>
                <w:p w14:paraId="30E20BE6" w14:textId="77777777" w:rsidR="00381BBA" w:rsidRPr="004F53B4" w:rsidRDefault="00381BBA">
                  <w:pPr>
                    <w:jc w:val="center"/>
                    <w:rPr>
                      <w:rFonts w:ascii="Aptos" w:hAnsi="Aptos"/>
                    </w:rPr>
                  </w:pPr>
                </w:p>
              </w:tc>
            </w:tr>
            <w:tr w:rsidR="00381BBA" w:rsidRPr="004F53B4" w14:paraId="5D489E59" w14:textId="77777777" w:rsidTr="0040212B">
              <w:trPr>
                <w:trHeight w:val="415"/>
              </w:trPr>
              <w:tc>
                <w:tcPr>
                  <w:tcW w:w="4572" w:type="dxa"/>
                  <w:vAlign w:val="center"/>
                </w:tcPr>
                <w:p w14:paraId="75FB11C1"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3BE50DA1" w14:textId="77777777" w:rsidR="00381BBA" w:rsidRPr="004F53B4" w:rsidRDefault="00000000">
                  <w:pPr>
                    <w:jc w:val="center"/>
                    <w:rPr>
                      <w:rFonts w:ascii="Aptos" w:hAnsi="Aptos"/>
                    </w:rPr>
                  </w:pPr>
                  <w:r w:rsidRPr="004F53B4">
                    <w:rPr>
                      <w:rFonts w:ascii="Aptos" w:hAnsi="Aptos"/>
                    </w:rPr>
                    <w:t>Dr. Katharina Vogt</w:t>
                  </w:r>
                </w:p>
              </w:tc>
            </w:tr>
            <w:tr w:rsidR="00381BBA" w:rsidRPr="004F53B4" w14:paraId="1776A378" w14:textId="77777777" w:rsidTr="0040212B">
              <w:trPr>
                <w:trHeight w:val="415"/>
              </w:trPr>
              <w:tc>
                <w:tcPr>
                  <w:tcW w:w="4572" w:type="dxa"/>
                  <w:vAlign w:val="center"/>
                </w:tcPr>
                <w:p w14:paraId="45EF9366"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2F68C72" w14:textId="77777777" w:rsidR="00381BBA" w:rsidRPr="004F53B4" w:rsidRDefault="00000000">
                  <w:pPr>
                    <w:jc w:val="center"/>
                    <w:rPr>
                      <w:rFonts w:ascii="Aptos" w:hAnsi="Aptos"/>
                    </w:rPr>
                  </w:pPr>
                  <w:r w:rsidRPr="004F53B4">
                    <w:rPr>
                      <w:rFonts w:ascii="Aptos" w:hAnsi="Aptos"/>
                    </w:rPr>
                    <w:t>Chief Executive Officer, MunichTech GmbH</w:t>
                  </w:r>
                </w:p>
              </w:tc>
            </w:tr>
            <w:tr w:rsidR="00381BBA" w:rsidRPr="004F53B4" w14:paraId="5592A033" w14:textId="77777777" w:rsidTr="0040212B">
              <w:trPr>
                <w:trHeight w:val="415"/>
              </w:trPr>
              <w:tc>
                <w:tcPr>
                  <w:tcW w:w="4572" w:type="dxa"/>
                  <w:vMerge w:val="restart"/>
                  <w:vAlign w:val="center"/>
                </w:tcPr>
                <w:p w14:paraId="3D69F2F5" w14:textId="77777777" w:rsidR="00381BBA" w:rsidRPr="004F53B4" w:rsidRDefault="00000000">
                  <w:pPr>
                    <w:jc w:val="center"/>
                    <w:rPr>
                      <w:rFonts w:ascii="Aptos" w:hAnsi="Aptos"/>
                    </w:rPr>
                  </w:pPr>
                  <w:r w:rsidRPr="004F53B4">
                    <w:rPr>
                      <w:rFonts w:ascii="Aptos" w:hAnsi="Aptos"/>
                    </w:rPr>
                    <w:t>Date</w:t>
                  </w:r>
                </w:p>
              </w:tc>
              <w:tc>
                <w:tcPr>
                  <w:tcW w:w="4572" w:type="dxa"/>
                  <w:vMerge w:val="restart"/>
                  <w:vAlign w:val="center"/>
                </w:tcPr>
                <w:p w14:paraId="249A7BF8" w14:textId="77777777" w:rsidR="00381BBA" w:rsidRPr="004F53B4" w:rsidRDefault="00000000">
                  <w:pPr>
                    <w:jc w:val="center"/>
                    <w:rPr>
                      <w:rFonts w:ascii="Aptos" w:hAnsi="Aptos"/>
                    </w:rPr>
                  </w:pPr>
                  <w:r w:rsidRPr="004F53B4">
                    <w:rPr>
                      <w:rFonts w:ascii="Aptos" w:hAnsi="Aptos"/>
                    </w:rPr>
                    <w:t>21 October 2026</w:t>
                  </w:r>
                </w:p>
              </w:tc>
            </w:tr>
            <w:tr w:rsidR="00381BBA" w:rsidRPr="004F53B4" w14:paraId="144C1FA8" w14:textId="77777777" w:rsidTr="0040212B">
              <w:trPr>
                <w:trHeight w:val="670"/>
              </w:trPr>
              <w:tc>
                <w:tcPr>
                  <w:tcW w:w="4572" w:type="dxa"/>
                  <w:vMerge w:val="restart"/>
                  <w:vAlign w:val="center"/>
                </w:tcPr>
                <w:p w14:paraId="7518ACD3" w14:textId="77777777" w:rsidR="00381BBA" w:rsidRPr="004F53B4" w:rsidRDefault="00000000">
                  <w:pPr>
                    <w:jc w:val="center"/>
                    <w:rPr>
                      <w:rFonts w:ascii="Aptos" w:hAnsi="Aptos"/>
                    </w:rPr>
                  </w:pPr>
                  <w:r w:rsidRPr="004F53B4">
                    <w:rPr>
                      <w:rFonts w:ascii="Aptos" w:hAnsi="Aptos"/>
                    </w:rPr>
                    <w:t>Signature</w:t>
                  </w:r>
                </w:p>
              </w:tc>
              <w:tc>
                <w:tcPr>
                  <w:tcW w:w="4572" w:type="dxa"/>
                  <w:vMerge w:val="restart"/>
                  <w:vAlign w:val="center"/>
                </w:tcPr>
                <w:p w14:paraId="4EAB14DC" w14:textId="77777777" w:rsidR="00381BBA" w:rsidRPr="004F53B4" w:rsidRDefault="00381BBA">
                  <w:pPr>
                    <w:jc w:val="center"/>
                    <w:rPr>
                      <w:rFonts w:ascii="Aptos" w:hAnsi="Aptos"/>
                    </w:rPr>
                  </w:pPr>
                </w:p>
              </w:tc>
            </w:tr>
          </w:tbl>
          <w:p w14:paraId="47671A71" w14:textId="77777777" w:rsidR="00381BBA" w:rsidRPr="004F53B4" w:rsidRDefault="00381BBA">
            <w:pPr>
              <w:jc w:val="center"/>
              <w:rPr>
                <w:rFonts w:ascii="Aptos" w:hAnsi="Aptos"/>
              </w:rPr>
            </w:pPr>
          </w:p>
        </w:tc>
      </w:tr>
    </w:tbl>
    <w:sectPr w:rsidR="00381BBA" w:rsidRPr="004F53B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41A2" w14:textId="77777777" w:rsidR="00F92AD5" w:rsidRDefault="00F92AD5">
      <w:pPr>
        <w:spacing w:after="0" w:line="240" w:lineRule="auto"/>
      </w:pPr>
      <w:r>
        <w:separator/>
      </w:r>
    </w:p>
  </w:endnote>
  <w:endnote w:type="continuationSeparator" w:id="0">
    <w:p w14:paraId="605F6994" w14:textId="77777777" w:rsidR="00F92AD5" w:rsidRDefault="00F92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5632" w14:textId="77777777" w:rsidR="00F92AD5" w:rsidRDefault="00F92AD5">
      <w:pPr>
        <w:spacing w:after="0" w:line="240" w:lineRule="auto"/>
      </w:pPr>
      <w:r>
        <w:separator/>
      </w:r>
    </w:p>
  </w:footnote>
  <w:footnote w:type="continuationSeparator" w:id="0">
    <w:p w14:paraId="4078DDCC" w14:textId="77777777" w:rsidR="00F92AD5" w:rsidRDefault="00F92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195A"/>
    <w:multiLevelType w:val="hybridMultilevel"/>
    <w:tmpl w:val="A0AA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80744"/>
    <w:multiLevelType w:val="hybridMultilevel"/>
    <w:tmpl w:val="C840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B582D"/>
    <w:multiLevelType w:val="hybridMultilevel"/>
    <w:tmpl w:val="11DA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3"/>
  </w:num>
  <w:num w:numId="2" w16cid:durableId="219480438">
    <w:abstractNumId w:val="4"/>
  </w:num>
  <w:num w:numId="3" w16cid:durableId="532350802">
    <w:abstractNumId w:val="0"/>
  </w:num>
  <w:num w:numId="4" w16cid:durableId="741758448">
    <w:abstractNumId w:val="2"/>
  </w:num>
  <w:num w:numId="5" w16cid:durableId="116169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4462B9"/>
    <w:rsid w:val="004F53B4"/>
    <w:rsid w:val="0053129D"/>
    <w:rsid w:val="005F2BE0"/>
    <w:rsid w:val="0060178D"/>
    <w:rsid w:val="00635D60"/>
    <w:rsid w:val="00681D6C"/>
    <w:rsid w:val="006B04E8"/>
    <w:rsid w:val="007867A0"/>
    <w:rsid w:val="008D24CF"/>
    <w:rsid w:val="009B2193"/>
    <w:rsid w:val="009E60C9"/>
    <w:rsid w:val="00A0120D"/>
    <w:rsid w:val="00A061A2"/>
    <w:rsid w:val="00AF125F"/>
    <w:rsid w:val="00B92A0E"/>
    <w:rsid w:val="00B94F48"/>
    <w:rsid w:val="00BB0102"/>
    <w:rsid w:val="00C6323F"/>
    <w:rsid w:val="00CF5327"/>
    <w:rsid w:val="00D07B7D"/>
    <w:rsid w:val="00D61372"/>
    <w:rsid w:val="00DA46F9"/>
    <w:rsid w:val="00DD2F61"/>
    <w:rsid w:val="00EB74AB"/>
    <w:rsid w:val="00EC650A"/>
    <w:rsid w:val="00F92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B7D"/>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898</Words>
  <Characters>5125</Characters>
  <Application>Microsoft Office Word</Application>
  <DocSecurity>2</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NIS-2 Betroffenheitsprüfung and BSI Registration Record</dc:title>
  <dc:creator/>
  <cp:lastModifiedBy>Austin B.</cp:lastModifiedBy>
  <cp:revision>30</cp:revision>
  <cp:lastPrinted>2026-04-19T07:30:00Z</cp:lastPrinted>
  <dcterms:created xsi:type="dcterms:W3CDTF">2026-04-12T18:12:00Z</dcterms:created>
  <dcterms:modified xsi:type="dcterms:W3CDTF">2026-04-19T07:31:00Z</dcterms:modified>
</cp:coreProperties>
</file>