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A25" w:rsidRDefault="00C40F9D">
      <w:pPr>
        <w:pStyle w:val="Title"/>
        <w:pBdr>
          <w:top w:val="nil"/>
          <w:left w:val="nil"/>
          <w:bottom w:val="nil"/>
          <w:right w:val="nil"/>
          <w:between w:val="nil"/>
        </w:pBdr>
        <w:rPr>
          <w:b/>
        </w:rPr>
      </w:pPr>
      <w:bookmarkStart w:id="0" w:name="_mbjsiz6n6jlo" w:colFirst="0" w:colLast="0"/>
      <w:bookmarkEnd w:id="0"/>
      <w:r>
        <w:rPr>
          <w:b/>
        </w:rPr>
        <w:t>Client Tenure / Longevity Analysis</w:t>
      </w:r>
    </w:p>
    <w:p w:rsidR="00E04A25" w:rsidRDefault="00C40F9D">
      <w:pPr>
        <w:pStyle w:val="Subtitle"/>
        <w:pBdr>
          <w:top w:val="nil"/>
          <w:left w:val="nil"/>
          <w:bottom w:val="nil"/>
          <w:right w:val="nil"/>
          <w:between w:val="nil"/>
        </w:pBdr>
        <w:rPr>
          <w:sz w:val="36"/>
          <w:szCs w:val="36"/>
        </w:rPr>
      </w:pPr>
      <w:bookmarkStart w:id="1" w:name="_vb8p0lepu9vn" w:colFirst="0" w:colLast="0"/>
      <w:bookmarkEnd w:id="1"/>
      <w:r>
        <w:rPr>
          <w:color w:val="000000"/>
          <w:sz w:val="36"/>
          <w:szCs w:val="36"/>
        </w:rPr>
        <w:t>Austin Johnson</w:t>
      </w:r>
      <w:bookmarkStart w:id="2" w:name="_GoBack"/>
      <w:bookmarkEnd w:id="2"/>
    </w:p>
    <w:p w:rsidR="00E04A25" w:rsidRDefault="00C40F9D">
      <w:pPr>
        <w:pBdr>
          <w:top w:val="nil"/>
          <w:left w:val="nil"/>
          <w:bottom w:val="nil"/>
          <w:right w:val="nil"/>
          <w:between w:val="nil"/>
        </w:pBdr>
        <w:spacing w:before="60" w:line="240" w:lineRule="auto"/>
      </w:pPr>
      <w:r>
        <w:rPr>
          <w:noProof/>
          <w:sz w:val="24"/>
          <w:szCs w:val="24"/>
        </w:rPr>
        <w:drawing>
          <wp:inline distT="114300" distB="114300" distL="114300" distR="114300">
            <wp:extent cx="5943600" cy="38100"/>
            <wp:effectExtent l="0" t="0" r="0" b="0"/>
            <wp:docPr id="10"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E04A25" w:rsidRDefault="00E04A25">
      <w:pPr>
        <w:pStyle w:val="Heading1"/>
        <w:spacing w:line="240" w:lineRule="auto"/>
        <w:jc w:val="center"/>
      </w:pPr>
      <w:bookmarkStart w:id="3" w:name="_o0ztztpjmpat" w:colFirst="0" w:colLast="0"/>
      <w:bookmarkEnd w:id="3"/>
    </w:p>
    <w:p w:rsidR="00E04A25" w:rsidRDefault="00E04A25">
      <w:pPr>
        <w:pStyle w:val="Heading1"/>
        <w:spacing w:line="240" w:lineRule="auto"/>
        <w:jc w:val="center"/>
      </w:pPr>
      <w:bookmarkStart w:id="4" w:name="_mfjqunimbccd" w:colFirst="0" w:colLast="0"/>
      <w:bookmarkEnd w:id="4"/>
    </w:p>
    <w:p w:rsidR="00E04A25" w:rsidRDefault="00C40F9D">
      <w:pPr>
        <w:pStyle w:val="Heading1"/>
        <w:spacing w:line="240" w:lineRule="auto"/>
        <w:jc w:val="center"/>
      </w:pPr>
      <w:bookmarkStart w:id="5" w:name="_66eg4p5dvjcm" w:colFirst="0" w:colLast="0"/>
      <w:bookmarkEnd w:id="5"/>
      <w:r>
        <w:rPr>
          <w:noProof/>
        </w:rPr>
        <w:drawing>
          <wp:inline distT="114300" distB="114300" distL="114300" distR="114300">
            <wp:extent cx="5718276" cy="32115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18276" cy="3211513"/>
                    </a:xfrm>
                    <a:prstGeom prst="rect">
                      <a:avLst/>
                    </a:prstGeom>
                    <a:ln/>
                  </pic:spPr>
                </pic:pic>
              </a:graphicData>
            </a:graphic>
          </wp:inline>
        </w:drawing>
      </w:r>
    </w:p>
    <w:p w:rsidR="00E04A25" w:rsidRDefault="00E04A25">
      <w:pPr>
        <w:spacing w:line="240" w:lineRule="auto"/>
      </w:pPr>
    </w:p>
    <w:p w:rsidR="00E04A25" w:rsidRDefault="00E04A25">
      <w:pPr>
        <w:spacing w:line="240" w:lineRule="auto"/>
      </w:pPr>
    </w:p>
    <w:p w:rsidR="00E04A25" w:rsidRDefault="00C40F9D">
      <w:pPr>
        <w:pStyle w:val="Heading1"/>
        <w:spacing w:line="240" w:lineRule="auto"/>
      </w:pPr>
      <w:bookmarkStart w:id="6" w:name="_6e49gq5ontri" w:colFirst="0" w:colLast="0"/>
      <w:bookmarkEnd w:id="6"/>
      <w:r>
        <w:br w:type="page"/>
      </w:r>
    </w:p>
    <w:p w:rsidR="00E04A25" w:rsidRDefault="00C40F9D">
      <w:pPr>
        <w:pStyle w:val="Heading1"/>
        <w:spacing w:line="240" w:lineRule="auto"/>
      </w:pPr>
      <w:bookmarkStart w:id="7" w:name="_f56fbic2hkar" w:colFirst="0" w:colLast="0"/>
      <w:bookmarkEnd w:id="7"/>
      <w:r>
        <w:lastRenderedPageBreak/>
        <w:t>Table of Contents</w:t>
      </w:r>
    </w:p>
    <w:p w:rsidR="00E04A25" w:rsidRDefault="00E04A25">
      <w:pPr>
        <w:spacing w:line="240" w:lineRule="auto"/>
      </w:pPr>
    </w:p>
    <w:sdt>
      <w:sdtPr>
        <w:id w:val="979123669"/>
        <w:docPartObj>
          <w:docPartGallery w:val="Table of Contents"/>
          <w:docPartUnique/>
        </w:docPartObj>
      </w:sdtPr>
      <w:sdtEndPr/>
      <w:sdtContent>
        <w:p w:rsidR="00E04A25" w:rsidRDefault="00C40F9D">
          <w:pPr>
            <w:tabs>
              <w:tab w:val="right" w:pos="10800"/>
            </w:tabs>
            <w:spacing w:before="80" w:line="240" w:lineRule="auto"/>
            <w:ind w:left="0"/>
            <w:rPr>
              <w:b/>
              <w:color w:val="000000"/>
            </w:rPr>
          </w:pPr>
          <w:r>
            <w:fldChar w:fldCharType="begin"/>
          </w:r>
          <w:r>
            <w:instrText xml:space="preserve"> TOC \h \u \z </w:instrText>
          </w:r>
          <w:r>
            <w:fldChar w:fldCharType="separate"/>
          </w:r>
          <w:hyperlink w:anchor="_f56fbic2hkar">
            <w:r>
              <w:rPr>
                <w:b/>
                <w:color w:val="000000"/>
              </w:rPr>
              <w:t>Table of Contents</w:t>
            </w:r>
          </w:hyperlink>
          <w:r>
            <w:rPr>
              <w:b/>
              <w:color w:val="000000"/>
            </w:rPr>
            <w:tab/>
          </w:r>
          <w:r>
            <w:fldChar w:fldCharType="begin"/>
          </w:r>
          <w:r>
            <w:instrText xml:space="preserve"> PAGEREF _f56fbic2hkar \h </w:instrText>
          </w:r>
          <w:r>
            <w:fldChar w:fldCharType="separate"/>
          </w:r>
          <w:r>
            <w:rPr>
              <w:b/>
              <w:color w:val="000000"/>
            </w:rPr>
            <w:t>2</w:t>
          </w:r>
          <w:r>
            <w:fldChar w:fldCharType="end"/>
          </w:r>
        </w:p>
        <w:p w:rsidR="00E04A25" w:rsidRDefault="00C40F9D">
          <w:pPr>
            <w:tabs>
              <w:tab w:val="right" w:pos="10800"/>
            </w:tabs>
            <w:spacing w:line="240" w:lineRule="auto"/>
            <w:ind w:left="0"/>
            <w:rPr>
              <w:b/>
              <w:color w:val="000000"/>
            </w:rPr>
          </w:pPr>
          <w:hyperlink w:anchor="_hpy8g4hq5bw2">
            <w:r>
              <w:rPr>
                <w:b/>
                <w:color w:val="000000"/>
              </w:rPr>
              <w:t>Executive Summary</w:t>
            </w:r>
          </w:hyperlink>
          <w:r>
            <w:rPr>
              <w:b/>
              <w:color w:val="000000"/>
            </w:rPr>
            <w:tab/>
          </w:r>
          <w:r>
            <w:fldChar w:fldCharType="begin"/>
          </w:r>
          <w:r>
            <w:instrText xml:space="preserve"> PAGEREF _hpy8g4hq5bw2 \h </w:instrText>
          </w:r>
          <w:r>
            <w:fldChar w:fldCharType="separate"/>
          </w:r>
          <w:r>
            <w:rPr>
              <w:b/>
              <w:color w:val="000000"/>
            </w:rPr>
            <w:t>3</w:t>
          </w:r>
          <w:r>
            <w:fldChar w:fldCharType="end"/>
          </w:r>
        </w:p>
        <w:p w:rsidR="00E04A25" w:rsidRDefault="00C40F9D">
          <w:pPr>
            <w:tabs>
              <w:tab w:val="right" w:pos="10800"/>
            </w:tabs>
            <w:spacing w:line="240" w:lineRule="auto"/>
            <w:ind w:left="0"/>
            <w:rPr>
              <w:b/>
              <w:color w:val="000000"/>
            </w:rPr>
          </w:pPr>
          <w:hyperlink w:anchor="_o473e6yyfygz">
            <w:r>
              <w:rPr>
                <w:b/>
                <w:color w:val="000000"/>
              </w:rPr>
              <w:t>Problem Definition &amp; Significance</w:t>
            </w:r>
          </w:hyperlink>
          <w:r>
            <w:rPr>
              <w:b/>
              <w:color w:val="000000"/>
            </w:rPr>
            <w:tab/>
          </w:r>
          <w:r>
            <w:fldChar w:fldCharType="begin"/>
          </w:r>
          <w:r>
            <w:instrText xml:space="preserve"> PAGEREF _o473e6yyfygz \h </w:instrText>
          </w:r>
          <w:r>
            <w:fldChar w:fldCharType="separate"/>
          </w:r>
          <w:r>
            <w:rPr>
              <w:b/>
              <w:color w:val="000000"/>
            </w:rPr>
            <w:t>3</w:t>
          </w:r>
          <w:r>
            <w:fldChar w:fldCharType="end"/>
          </w:r>
        </w:p>
        <w:p w:rsidR="00E04A25" w:rsidRDefault="00C40F9D">
          <w:pPr>
            <w:tabs>
              <w:tab w:val="right" w:pos="10800"/>
            </w:tabs>
            <w:spacing w:line="240" w:lineRule="auto"/>
            <w:ind w:left="0"/>
            <w:rPr>
              <w:b/>
              <w:color w:val="000000"/>
            </w:rPr>
          </w:pPr>
          <w:hyperlink w:anchor="_c3o5fzm9rjj7">
            <w:r>
              <w:rPr>
                <w:b/>
                <w:color w:val="000000"/>
              </w:rPr>
              <w:t>Prior Literature</w:t>
            </w:r>
          </w:hyperlink>
          <w:r>
            <w:rPr>
              <w:b/>
              <w:color w:val="000000"/>
            </w:rPr>
            <w:tab/>
          </w:r>
          <w:r>
            <w:fldChar w:fldCharType="begin"/>
          </w:r>
          <w:r>
            <w:instrText xml:space="preserve"> PAGEREF _c3o5fzm9rjj7 \h </w:instrText>
          </w:r>
          <w:r>
            <w:fldChar w:fldCharType="separate"/>
          </w:r>
          <w:r>
            <w:rPr>
              <w:b/>
              <w:color w:val="000000"/>
            </w:rPr>
            <w:t>4</w:t>
          </w:r>
          <w:r>
            <w:fldChar w:fldCharType="end"/>
          </w:r>
        </w:p>
        <w:p w:rsidR="00E04A25" w:rsidRDefault="00C40F9D">
          <w:pPr>
            <w:tabs>
              <w:tab w:val="right" w:pos="10800"/>
            </w:tabs>
            <w:spacing w:line="240" w:lineRule="auto"/>
            <w:ind w:left="0"/>
            <w:rPr>
              <w:b/>
              <w:color w:val="000000"/>
            </w:rPr>
          </w:pPr>
          <w:hyperlink w:anchor="_e2whst52iglg">
            <w:r>
              <w:rPr>
                <w:b/>
                <w:color w:val="000000"/>
              </w:rPr>
              <w:t>Data Source/Preparation</w:t>
            </w:r>
          </w:hyperlink>
          <w:r>
            <w:rPr>
              <w:b/>
              <w:color w:val="000000"/>
            </w:rPr>
            <w:tab/>
          </w:r>
          <w:r>
            <w:fldChar w:fldCharType="begin"/>
          </w:r>
          <w:r>
            <w:instrText xml:space="preserve"> PAGEREF _e2whst52iglg \h </w:instrText>
          </w:r>
          <w:r>
            <w:fldChar w:fldCharType="separate"/>
          </w:r>
          <w:r>
            <w:rPr>
              <w:b/>
              <w:color w:val="000000"/>
            </w:rPr>
            <w:t>5</w:t>
          </w:r>
          <w:r>
            <w:fldChar w:fldCharType="end"/>
          </w:r>
        </w:p>
        <w:p w:rsidR="00E04A25" w:rsidRDefault="00C40F9D">
          <w:pPr>
            <w:tabs>
              <w:tab w:val="right" w:pos="10800"/>
            </w:tabs>
            <w:spacing w:before="60" w:line="240" w:lineRule="auto"/>
            <w:ind w:left="720"/>
            <w:rPr>
              <w:color w:val="000000"/>
            </w:rPr>
          </w:pPr>
          <w:hyperlink w:anchor="_rq9uljt4qmvf">
            <w:r>
              <w:rPr>
                <w:color w:val="000000"/>
              </w:rPr>
              <w:t>Source</w:t>
            </w:r>
          </w:hyperlink>
          <w:r>
            <w:rPr>
              <w:color w:val="000000"/>
            </w:rPr>
            <w:tab/>
          </w:r>
          <w:r>
            <w:fldChar w:fldCharType="begin"/>
          </w:r>
          <w:r>
            <w:instrText xml:space="preserve"> P</w:instrText>
          </w:r>
          <w:r>
            <w:instrText xml:space="preserve">AGEREF _rq9uljt4qmvf \h </w:instrText>
          </w:r>
          <w:r>
            <w:fldChar w:fldCharType="separate"/>
          </w:r>
          <w:r>
            <w:rPr>
              <w:color w:val="000000"/>
            </w:rPr>
            <w:t>5</w:t>
          </w:r>
          <w:r>
            <w:fldChar w:fldCharType="end"/>
          </w:r>
        </w:p>
        <w:p w:rsidR="00E04A25" w:rsidRDefault="00C40F9D">
          <w:pPr>
            <w:tabs>
              <w:tab w:val="right" w:pos="10800"/>
            </w:tabs>
            <w:spacing w:before="60" w:line="240" w:lineRule="auto"/>
            <w:ind w:left="720"/>
            <w:rPr>
              <w:color w:val="000000"/>
            </w:rPr>
          </w:pPr>
          <w:hyperlink w:anchor="_545iqg38jfvt">
            <w:r>
              <w:rPr>
                <w:color w:val="000000"/>
              </w:rPr>
              <w:t>Available variables - Data Dictionary</w:t>
            </w:r>
          </w:hyperlink>
          <w:r>
            <w:rPr>
              <w:color w:val="000000"/>
            </w:rPr>
            <w:tab/>
          </w:r>
          <w:r>
            <w:fldChar w:fldCharType="begin"/>
          </w:r>
          <w:r>
            <w:instrText xml:space="preserve"> PAGEREF _545iqg38jfvt \h </w:instrText>
          </w:r>
          <w:r>
            <w:fldChar w:fldCharType="separate"/>
          </w:r>
          <w:r>
            <w:rPr>
              <w:color w:val="000000"/>
            </w:rPr>
            <w:t>5</w:t>
          </w:r>
          <w:r>
            <w:fldChar w:fldCharType="end"/>
          </w:r>
        </w:p>
        <w:p w:rsidR="00E04A25" w:rsidRDefault="00C40F9D">
          <w:pPr>
            <w:tabs>
              <w:tab w:val="right" w:pos="10800"/>
            </w:tabs>
            <w:spacing w:before="60" w:line="240" w:lineRule="auto"/>
            <w:ind w:left="720"/>
            <w:rPr>
              <w:color w:val="000000"/>
            </w:rPr>
          </w:pPr>
          <w:hyperlink w:anchor="_96j35w61npov">
            <w:r>
              <w:rPr>
                <w:color w:val="000000"/>
              </w:rPr>
              <w:t>Data Joins and Cleansing</w:t>
            </w:r>
          </w:hyperlink>
          <w:r>
            <w:rPr>
              <w:color w:val="000000"/>
            </w:rPr>
            <w:tab/>
          </w:r>
          <w:r>
            <w:fldChar w:fldCharType="begin"/>
          </w:r>
          <w:r>
            <w:instrText xml:space="preserve"> PAGEREF _96j35w61npov \h </w:instrText>
          </w:r>
          <w:r>
            <w:fldChar w:fldCharType="separate"/>
          </w:r>
          <w:r>
            <w:rPr>
              <w:color w:val="000000"/>
            </w:rPr>
            <w:t>6</w:t>
          </w:r>
          <w:r>
            <w:fldChar w:fldCharType="end"/>
          </w:r>
        </w:p>
        <w:p w:rsidR="00E04A25" w:rsidRDefault="00C40F9D">
          <w:pPr>
            <w:tabs>
              <w:tab w:val="right" w:pos="10800"/>
            </w:tabs>
            <w:spacing w:before="60" w:line="240" w:lineRule="auto"/>
            <w:ind w:left="720"/>
            <w:rPr>
              <w:color w:val="000000"/>
            </w:rPr>
          </w:pPr>
          <w:hyperlink w:anchor="_ud70wtpiw81o">
            <w:r>
              <w:rPr>
                <w:color w:val="000000"/>
              </w:rPr>
              <w:t>Variable Selection</w:t>
            </w:r>
          </w:hyperlink>
          <w:r>
            <w:rPr>
              <w:color w:val="000000"/>
            </w:rPr>
            <w:tab/>
          </w:r>
          <w:r>
            <w:fldChar w:fldCharType="begin"/>
          </w:r>
          <w:r>
            <w:instrText xml:space="preserve"> PAGEREF _ud70wtpiw81o \h </w:instrText>
          </w:r>
          <w:r>
            <w:fldChar w:fldCharType="separate"/>
          </w:r>
          <w:r>
            <w:rPr>
              <w:color w:val="000000"/>
            </w:rPr>
            <w:t>6</w:t>
          </w:r>
          <w:r>
            <w:fldChar w:fldCharType="end"/>
          </w:r>
        </w:p>
        <w:p w:rsidR="00E04A25" w:rsidRDefault="00C40F9D">
          <w:pPr>
            <w:tabs>
              <w:tab w:val="right" w:pos="10800"/>
            </w:tabs>
            <w:spacing w:line="240" w:lineRule="auto"/>
            <w:ind w:left="0"/>
            <w:rPr>
              <w:b/>
              <w:color w:val="000000"/>
            </w:rPr>
          </w:pPr>
          <w:hyperlink w:anchor="_xw6y84eqzrwc">
            <w:r>
              <w:rPr>
                <w:b/>
                <w:color w:val="000000"/>
              </w:rPr>
              <w:t>Varia</w:t>
            </w:r>
            <w:r>
              <w:rPr>
                <w:b/>
                <w:color w:val="000000"/>
              </w:rPr>
              <w:t>ble Choice</w:t>
            </w:r>
          </w:hyperlink>
          <w:r>
            <w:rPr>
              <w:b/>
              <w:color w:val="000000"/>
            </w:rPr>
            <w:tab/>
          </w:r>
          <w:r>
            <w:fldChar w:fldCharType="begin"/>
          </w:r>
          <w:r>
            <w:instrText xml:space="preserve"> PAGEREF _xw6y84eqzrwc \h </w:instrText>
          </w:r>
          <w:r>
            <w:fldChar w:fldCharType="separate"/>
          </w:r>
          <w:r>
            <w:rPr>
              <w:b/>
              <w:color w:val="000000"/>
            </w:rPr>
            <w:t>7</w:t>
          </w:r>
          <w:r>
            <w:fldChar w:fldCharType="end"/>
          </w:r>
        </w:p>
        <w:p w:rsidR="00E04A25" w:rsidRDefault="00C40F9D">
          <w:pPr>
            <w:tabs>
              <w:tab w:val="right" w:pos="10800"/>
            </w:tabs>
            <w:spacing w:line="240" w:lineRule="auto"/>
            <w:ind w:left="0"/>
            <w:rPr>
              <w:b/>
              <w:color w:val="000000"/>
            </w:rPr>
          </w:pPr>
          <w:hyperlink w:anchor="_qpf1b565xo1t">
            <w:r>
              <w:rPr>
                <w:b/>
                <w:color w:val="000000"/>
              </w:rPr>
              <w:t>Exploratory Data Analysis &amp; Visualizations</w:t>
            </w:r>
          </w:hyperlink>
          <w:r>
            <w:rPr>
              <w:b/>
              <w:color w:val="000000"/>
            </w:rPr>
            <w:tab/>
          </w:r>
          <w:r>
            <w:fldChar w:fldCharType="begin"/>
          </w:r>
          <w:r>
            <w:instrText xml:space="preserve"> PAGEREF _qpf1b565xo1t \h </w:instrText>
          </w:r>
          <w:r>
            <w:fldChar w:fldCharType="separate"/>
          </w:r>
          <w:r>
            <w:rPr>
              <w:b/>
              <w:color w:val="000000"/>
            </w:rPr>
            <w:t>8</w:t>
          </w:r>
          <w:r>
            <w:fldChar w:fldCharType="end"/>
          </w:r>
        </w:p>
        <w:p w:rsidR="00E04A25" w:rsidRDefault="00C40F9D">
          <w:pPr>
            <w:tabs>
              <w:tab w:val="right" w:pos="10800"/>
            </w:tabs>
            <w:spacing w:line="240" w:lineRule="auto"/>
            <w:ind w:left="0"/>
            <w:rPr>
              <w:b/>
              <w:color w:val="000000"/>
            </w:rPr>
          </w:pPr>
          <w:hyperlink w:anchor="_yoc02vngqceu">
            <w:r>
              <w:rPr>
                <w:b/>
                <w:color w:val="000000"/>
              </w:rPr>
              <w:t>Models</w:t>
            </w:r>
          </w:hyperlink>
          <w:r>
            <w:rPr>
              <w:b/>
              <w:color w:val="000000"/>
            </w:rPr>
            <w:tab/>
          </w:r>
          <w:r>
            <w:fldChar w:fldCharType="begin"/>
          </w:r>
          <w:r>
            <w:instrText xml:space="preserve"> PAGEREF _yoc02vngqceu \h </w:instrText>
          </w:r>
          <w:r>
            <w:fldChar w:fldCharType="separate"/>
          </w:r>
          <w:r>
            <w:rPr>
              <w:b/>
              <w:color w:val="000000"/>
            </w:rPr>
            <w:t>10</w:t>
          </w:r>
          <w:r>
            <w:fldChar w:fldCharType="end"/>
          </w:r>
        </w:p>
        <w:p w:rsidR="00E04A25" w:rsidRDefault="00C40F9D">
          <w:pPr>
            <w:tabs>
              <w:tab w:val="right" w:pos="10800"/>
            </w:tabs>
            <w:spacing w:line="240" w:lineRule="auto"/>
            <w:ind w:left="0"/>
            <w:rPr>
              <w:b/>
              <w:color w:val="000000"/>
            </w:rPr>
          </w:pPr>
          <w:hyperlink w:anchor="_o67grslgp4ej">
            <w:r>
              <w:rPr>
                <w:b/>
                <w:color w:val="000000"/>
              </w:rPr>
              <w:t>Quality Checks</w:t>
            </w:r>
          </w:hyperlink>
          <w:r>
            <w:rPr>
              <w:b/>
              <w:color w:val="000000"/>
            </w:rPr>
            <w:tab/>
          </w:r>
          <w:r>
            <w:fldChar w:fldCharType="begin"/>
          </w:r>
          <w:r>
            <w:instrText xml:space="preserve"> PAGEREF _o67grslgp4ej \h </w:instrText>
          </w:r>
          <w:r>
            <w:fldChar w:fldCharType="separate"/>
          </w:r>
          <w:r>
            <w:rPr>
              <w:b/>
              <w:color w:val="000000"/>
            </w:rPr>
            <w:t>11</w:t>
          </w:r>
          <w:r>
            <w:fldChar w:fldCharType="end"/>
          </w:r>
        </w:p>
        <w:p w:rsidR="00E04A25" w:rsidRDefault="00C40F9D">
          <w:pPr>
            <w:tabs>
              <w:tab w:val="right" w:pos="10800"/>
            </w:tabs>
            <w:spacing w:line="240" w:lineRule="auto"/>
            <w:ind w:left="0"/>
            <w:rPr>
              <w:b/>
              <w:color w:val="000000"/>
            </w:rPr>
          </w:pPr>
          <w:hyperlink w:anchor="_skluctntnb28">
            <w:r>
              <w:rPr>
                <w:b/>
                <w:color w:val="000000"/>
              </w:rPr>
              <w:t>Insights &amp; Recommendations</w:t>
            </w:r>
          </w:hyperlink>
          <w:r>
            <w:rPr>
              <w:b/>
              <w:color w:val="000000"/>
            </w:rPr>
            <w:tab/>
          </w:r>
          <w:r>
            <w:fldChar w:fldCharType="begin"/>
          </w:r>
          <w:r>
            <w:instrText xml:space="preserve"> PAGEREF _skluctntnb28 \h </w:instrText>
          </w:r>
          <w:r>
            <w:fldChar w:fldCharType="separate"/>
          </w:r>
          <w:r>
            <w:rPr>
              <w:b/>
              <w:color w:val="000000"/>
            </w:rPr>
            <w:t>11</w:t>
          </w:r>
          <w:r>
            <w:fldChar w:fldCharType="end"/>
          </w:r>
        </w:p>
        <w:p w:rsidR="00E04A25" w:rsidRDefault="00C40F9D">
          <w:pPr>
            <w:tabs>
              <w:tab w:val="right" w:pos="10800"/>
            </w:tabs>
            <w:spacing w:line="240" w:lineRule="auto"/>
            <w:ind w:left="0"/>
            <w:rPr>
              <w:b/>
              <w:color w:val="000000"/>
            </w:rPr>
          </w:pPr>
          <w:hyperlink w:anchor="_b4cy5o1185t2">
            <w:r>
              <w:rPr>
                <w:b/>
                <w:color w:val="000000"/>
              </w:rPr>
              <w:t>References</w:t>
            </w:r>
          </w:hyperlink>
          <w:r>
            <w:rPr>
              <w:b/>
              <w:color w:val="000000"/>
            </w:rPr>
            <w:tab/>
          </w:r>
          <w:r>
            <w:fldChar w:fldCharType="begin"/>
          </w:r>
          <w:r>
            <w:instrText xml:space="preserve"> PAGEREF _b4cy5o1185t2 \h </w:instrText>
          </w:r>
          <w:r>
            <w:fldChar w:fldCharType="separate"/>
          </w:r>
          <w:r>
            <w:rPr>
              <w:b/>
              <w:color w:val="000000"/>
            </w:rPr>
            <w:t>11</w:t>
          </w:r>
          <w:r>
            <w:fldChar w:fldCharType="end"/>
          </w:r>
        </w:p>
        <w:p w:rsidR="00E04A25" w:rsidRDefault="00C40F9D">
          <w:pPr>
            <w:tabs>
              <w:tab w:val="right" w:pos="10800"/>
            </w:tabs>
            <w:spacing w:after="80" w:line="240" w:lineRule="auto"/>
            <w:ind w:left="0"/>
            <w:rPr>
              <w:b/>
              <w:color w:val="000000"/>
            </w:rPr>
          </w:pPr>
          <w:hyperlink w:anchor="_8if5g5wkm7u0">
            <w:r>
              <w:rPr>
                <w:b/>
                <w:color w:val="000000"/>
              </w:rPr>
              <w:t>Appendix</w:t>
            </w:r>
          </w:hyperlink>
          <w:r>
            <w:rPr>
              <w:b/>
              <w:color w:val="000000"/>
            </w:rPr>
            <w:tab/>
          </w:r>
          <w:r>
            <w:fldChar w:fldCharType="begin"/>
          </w:r>
          <w:r>
            <w:instrText xml:space="preserve"> PAGEREF _8if5g5wkm7u0 \h </w:instrText>
          </w:r>
          <w:r>
            <w:fldChar w:fldCharType="separate"/>
          </w:r>
          <w:r>
            <w:rPr>
              <w:b/>
              <w:color w:val="000000"/>
            </w:rPr>
            <w:t>12</w:t>
          </w:r>
          <w:r>
            <w:fldChar w:fldCharType="end"/>
          </w:r>
          <w:r>
            <w:fldChar w:fldCharType="end"/>
          </w:r>
        </w:p>
      </w:sdtContent>
    </w:sdt>
    <w:p w:rsidR="00E04A25" w:rsidRDefault="00C40F9D">
      <w:pPr>
        <w:spacing w:line="240" w:lineRule="auto"/>
      </w:pPr>
      <w:r>
        <w:br w:type="page"/>
      </w:r>
    </w:p>
    <w:p w:rsidR="00E04A25" w:rsidRDefault="00C40F9D">
      <w:pPr>
        <w:pStyle w:val="Heading1"/>
        <w:numPr>
          <w:ilvl w:val="0"/>
          <w:numId w:val="3"/>
        </w:numPr>
        <w:spacing w:line="240" w:lineRule="auto"/>
        <w:rPr>
          <w:rFonts w:ascii="Nunito" w:eastAsia="Nunito" w:hAnsi="Nunito" w:cs="Nunito"/>
          <w:sz w:val="20"/>
          <w:szCs w:val="20"/>
        </w:rPr>
      </w:pPr>
      <w:bookmarkStart w:id="8" w:name="_hpy8g4hq5bw2" w:colFirst="0" w:colLast="0"/>
      <w:bookmarkEnd w:id="8"/>
      <w:r>
        <w:rPr>
          <w:rFonts w:ascii="Nunito" w:eastAsia="Nunito" w:hAnsi="Nunito" w:cs="Nunito"/>
          <w:sz w:val="20"/>
          <w:szCs w:val="20"/>
        </w:rPr>
        <w:lastRenderedPageBreak/>
        <w:t>Executive Summary</w:t>
      </w:r>
    </w:p>
    <w:p w:rsidR="00E04A25" w:rsidRDefault="00C40F9D">
      <w:pPr>
        <w:spacing w:before="240" w:after="240" w:line="240" w:lineRule="auto"/>
        <w:ind w:left="0"/>
        <w:rPr>
          <w:rFonts w:ascii="Nunito" w:eastAsia="Nunito" w:hAnsi="Nunito" w:cs="Nunito"/>
          <w:sz w:val="20"/>
          <w:szCs w:val="20"/>
        </w:rPr>
      </w:pPr>
      <w:r>
        <w:rPr>
          <w:rFonts w:ascii="Nunito" w:eastAsia="Nunito" w:hAnsi="Nunito" w:cs="Nunito"/>
          <w:sz w:val="20"/>
          <w:szCs w:val="20"/>
        </w:rPr>
        <w:t>The Professional Employment Organization (PEO) industry is a fast growing, highly competitive industry that allows smaller organizations the ability to offer competit</w:t>
      </w:r>
      <w:r>
        <w:rPr>
          <w:rFonts w:ascii="Nunito" w:eastAsia="Nunito" w:hAnsi="Nunito" w:cs="Nunito"/>
          <w:sz w:val="20"/>
          <w:szCs w:val="20"/>
        </w:rPr>
        <w:t>ive benefits, thereby allowing them to compete against larger organizations in attracting and retaining quality employees.</w:t>
      </w:r>
    </w:p>
    <w:p w:rsidR="00E04A25" w:rsidRDefault="00C40F9D">
      <w:pPr>
        <w:spacing w:before="240" w:after="240" w:line="240" w:lineRule="auto"/>
        <w:ind w:left="0"/>
        <w:rPr>
          <w:rFonts w:ascii="Nunito" w:eastAsia="Nunito" w:hAnsi="Nunito" w:cs="Nunito"/>
          <w:sz w:val="20"/>
          <w:szCs w:val="20"/>
        </w:rPr>
      </w:pPr>
      <w:r>
        <w:rPr>
          <w:rFonts w:ascii="Nunito" w:eastAsia="Nunito" w:hAnsi="Nunito" w:cs="Nunito"/>
          <w:sz w:val="20"/>
          <w:szCs w:val="20"/>
        </w:rPr>
        <w:t xml:space="preserve">ABCPEO, a Tampa based PEO, currently has no formal process to determine acceptable levels of risk in accepting prospective clients.  </w:t>
      </w:r>
      <w:r>
        <w:rPr>
          <w:rFonts w:ascii="Nunito" w:eastAsia="Nunito" w:hAnsi="Nunito" w:cs="Nunito"/>
          <w:sz w:val="20"/>
          <w:szCs w:val="20"/>
        </w:rPr>
        <w:t>Existing client data was analyzed to determine an optimal client profile with respect to client longevity and profitability.</w:t>
      </w:r>
    </w:p>
    <w:p w:rsidR="00E04A25" w:rsidRDefault="00C40F9D">
      <w:pPr>
        <w:spacing w:before="240" w:after="240" w:line="240" w:lineRule="auto"/>
        <w:ind w:left="0"/>
        <w:rPr>
          <w:rFonts w:ascii="Nunito" w:eastAsia="Nunito" w:hAnsi="Nunito" w:cs="Nunito"/>
          <w:sz w:val="20"/>
          <w:szCs w:val="20"/>
        </w:rPr>
      </w:pPr>
      <w:r>
        <w:rPr>
          <w:rFonts w:ascii="Nunito" w:eastAsia="Nunito" w:hAnsi="Nunito" w:cs="Nunito"/>
          <w:sz w:val="20"/>
          <w:szCs w:val="20"/>
        </w:rPr>
        <w:t xml:space="preserve">Client analysis was performed on 243 clients focusing on client longevity as this is closely tied to profit and revenue. </w:t>
      </w:r>
    </w:p>
    <w:p w:rsidR="00E04A25" w:rsidRDefault="00C40F9D">
      <w:pPr>
        <w:spacing w:before="240" w:after="240" w:line="240" w:lineRule="auto"/>
        <w:ind w:left="0"/>
        <w:rPr>
          <w:rFonts w:ascii="Nunito" w:eastAsia="Nunito" w:hAnsi="Nunito" w:cs="Nunito"/>
          <w:sz w:val="20"/>
          <w:szCs w:val="20"/>
        </w:rPr>
      </w:pPr>
      <w:r>
        <w:rPr>
          <w:rFonts w:ascii="Nunito" w:eastAsia="Nunito" w:hAnsi="Nunito" w:cs="Nunito"/>
          <w:sz w:val="20"/>
          <w:szCs w:val="20"/>
        </w:rPr>
        <w:t>There was a clear correlation between longevity, client type, client location, and payment type. The data was analyzed using multiple models outlined below.  Using the best fit model, further analysis was conducted using the available numeric variables for</w:t>
      </w:r>
      <w:r>
        <w:rPr>
          <w:rFonts w:ascii="Nunito" w:eastAsia="Nunito" w:hAnsi="Nunito" w:cs="Nunito"/>
          <w:sz w:val="20"/>
          <w:szCs w:val="20"/>
        </w:rPr>
        <w:t xml:space="preserve"> profit, revenue, employees, and employee hours.</w:t>
      </w:r>
    </w:p>
    <w:p w:rsidR="00E04A25" w:rsidRDefault="00C40F9D">
      <w:pPr>
        <w:spacing w:before="240" w:after="240" w:line="240" w:lineRule="auto"/>
        <w:ind w:left="0"/>
        <w:rPr>
          <w:rFonts w:ascii="Nunito" w:eastAsia="Nunito" w:hAnsi="Nunito" w:cs="Nunito"/>
          <w:sz w:val="20"/>
          <w:szCs w:val="20"/>
        </w:rPr>
      </w:pPr>
      <w:r>
        <w:rPr>
          <w:rFonts w:ascii="Nunito" w:eastAsia="Nunito" w:hAnsi="Nunito" w:cs="Nunito"/>
          <w:sz w:val="20"/>
          <w:szCs w:val="20"/>
        </w:rPr>
        <w:t xml:space="preserve">Client risk analysis and acceptance decisions should be based on industry type and business location.  Criteria should be developed to exclude certain industry types, and identified high-risk locations.  If </w:t>
      </w:r>
      <w:r>
        <w:rPr>
          <w:rFonts w:ascii="Nunito" w:eastAsia="Nunito" w:hAnsi="Nunito" w:cs="Nunito"/>
          <w:sz w:val="20"/>
          <w:szCs w:val="20"/>
        </w:rPr>
        <w:t>excluding select markets or industries is not an option, ABCPEO could increase fees in these areas or to these industries  to offset the added risk.  Fee structures may also be established to provide discounts for preferred payment types.  Workers compensa</w:t>
      </w:r>
      <w:r>
        <w:rPr>
          <w:rFonts w:ascii="Nunito" w:eastAsia="Nunito" w:hAnsi="Nunito" w:cs="Nunito"/>
          <w:sz w:val="20"/>
          <w:szCs w:val="20"/>
        </w:rPr>
        <w:t>tion carrier was also a factor.  However,risk elimination is already built into the process as one of the two carriers declines to offer coverage  to certain businesses due to industry-based risk.</w:t>
      </w:r>
    </w:p>
    <w:p w:rsidR="00E04A25" w:rsidRDefault="00C40F9D">
      <w:pPr>
        <w:pStyle w:val="Heading1"/>
        <w:numPr>
          <w:ilvl w:val="0"/>
          <w:numId w:val="3"/>
        </w:numPr>
        <w:spacing w:line="240" w:lineRule="auto"/>
        <w:rPr>
          <w:rFonts w:ascii="Nunito" w:eastAsia="Nunito" w:hAnsi="Nunito" w:cs="Nunito"/>
          <w:sz w:val="20"/>
          <w:szCs w:val="20"/>
        </w:rPr>
      </w:pPr>
      <w:bookmarkStart w:id="9" w:name="_o473e6yyfygz" w:colFirst="0" w:colLast="0"/>
      <w:bookmarkEnd w:id="9"/>
      <w:r>
        <w:rPr>
          <w:rFonts w:ascii="Nunito" w:eastAsia="Nunito" w:hAnsi="Nunito" w:cs="Nunito"/>
          <w:sz w:val="20"/>
          <w:szCs w:val="20"/>
        </w:rPr>
        <w:t>Problem Definition &amp; Significance</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The target client and thi</w:t>
      </w:r>
      <w:r>
        <w:rPr>
          <w:rFonts w:ascii="Nunito" w:eastAsia="Nunito" w:hAnsi="Nunito" w:cs="Nunito"/>
          <w:sz w:val="20"/>
          <w:szCs w:val="20"/>
        </w:rPr>
        <w:t xml:space="preserve">s analysis is being conducted for ABC-PEO a Tampa, Florida based Professional Employment Organization (PEO) that has been in business for just over ten years with approximately 200 active clients and 2,500 worksite employees (WSE). </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In the current environm</w:t>
      </w:r>
      <w:r>
        <w:rPr>
          <w:rFonts w:ascii="Nunito" w:eastAsia="Nunito" w:hAnsi="Nunito" w:cs="Nunito"/>
          <w:sz w:val="20"/>
          <w:szCs w:val="20"/>
        </w:rPr>
        <w:t>ent, ABCPEO does not have a business analytics methodology to provide the Client Sales department with actionable insights into which client types or factors contribute into sustained client longevity and maximized profitability.  Current client acceptance</w:t>
      </w:r>
      <w:r>
        <w:rPr>
          <w:rFonts w:ascii="Nunito" w:eastAsia="Nunito" w:hAnsi="Nunito" w:cs="Nunito"/>
          <w:sz w:val="20"/>
          <w:szCs w:val="20"/>
        </w:rPr>
        <w:t xml:space="preserve"> criteria is suboptimal and clients are generally accepted by only meeting a very basic minimum set of requirements.  This practice has led to the onboarding of clients that have terminated quickly and/or have contributed to a loss given the high fixed cos</w:t>
      </w:r>
      <w:r>
        <w:rPr>
          <w:rFonts w:ascii="Nunito" w:eastAsia="Nunito" w:hAnsi="Nunito" w:cs="Nunito"/>
          <w:sz w:val="20"/>
          <w:szCs w:val="20"/>
        </w:rPr>
        <w:t xml:space="preserve">t per client simply to onboard. </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The goal of this project is to analyze the existing internal data to determine of all the available variables, which contribute to optimal client longevity and profitability and provide a model to the client, ABCPEO, that t</w:t>
      </w:r>
      <w:r>
        <w:rPr>
          <w:rFonts w:ascii="Nunito" w:eastAsia="Nunito" w:hAnsi="Nunito" w:cs="Nunito"/>
          <w:sz w:val="20"/>
          <w:szCs w:val="20"/>
        </w:rPr>
        <w:t>hey can implement in the Sales department to determine the risk of onboarding any given client based on the variables that are determined during the analysis and then perhaps utilize these variables to develop marketing strategies to attract those potentia</w:t>
      </w:r>
      <w:r>
        <w:rPr>
          <w:rFonts w:ascii="Nunito" w:eastAsia="Nunito" w:hAnsi="Nunito" w:cs="Nunito"/>
          <w:sz w:val="20"/>
          <w:szCs w:val="20"/>
        </w:rPr>
        <w:t xml:space="preserve">l clients that meet the model’s criteria. </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The magnitude of this problem is quite significant given the PEO industry market share continues to grow and the potential revenues are so high.  The chart below provides some PEO industry financial highlights (3)</w:t>
      </w:r>
      <w:r>
        <w:rPr>
          <w:rFonts w:ascii="Nunito" w:eastAsia="Nunito" w:hAnsi="Nunito" w:cs="Nunito"/>
          <w:sz w:val="20"/>
          <w:szCs w:val="20"/>
        </w:rPr>
        <w:t xml:space="preserve">.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04A25">
        <w:tc>
          <w:tcPr>
            <w:tcW w:w="10800" w:type="dxa"/>
            <w:shd w:val="clear" w:color="auto" w:fill="auto"/>
            <w:tcMar>
              <w:top w:w="100" w:type="dxa"/>
              <w:left w:w="100" w:type="dxa"/>
              <w:bottom w:w="100" w:type="dxa"/>
              <w:right w:w="100" w:type="dxa"/>
            </w:tcMar>
          </w:tcPr>
          <w:p w:rsidR="00E04A25" w:rsidRDefault="00C40F9D">
            <w:pPr>
              <w:widowControl w:val="0"/>
              <w:numPr>
                <w:ilvl w:val="0"/>
                <w:numId w:val="4"/>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Gross revenue for 2019 was estimated to be $217.2bn</w:t>
            </w:r>
          </w:p>
          <w:p w:rsidR="00E04A25" w:rsidRDefault="00C40F9D">
            <w:pPr>
              <w:widowControl w:val="0"/>
              <w:numPr>
                <w:ilvl w:val="0"/>
                <w:numId w:val="4"/>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 xml:space="preserve">Profit for the PEO industry in 2019 was $1.3bn. </w:t>
            </w:r>
          </w:p>
          <w:p w:rsidR="00E04A25" w:rsidRDefault="00C40F9D">
            <w:pPr>
              <w:widowControl w:val="0"/>
              <w:numPr>
                <w:ilvl w:val="0"/>
                <w:numId w:val="4"/>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Annual growth rate from 2014 through 2019 in the PEO industry was estimated at 8.0%.</w:t>
            </w:r>
          </w:p>
          <w:p w:rsidR="00E04A25" w:rsidRDefault="00C40F9D">
            <w:pPr>
              <w:widowControl w:val="0"/>
              <w:numPr>
                <w:ilvl w:val="0"/>
                <w:numId w:val="4"/>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For the first time ever, the PEO industry eclipsed $200bn in total gross revenues in 2018.</w:t>
            </w:r>
          </w:p>
        </w:tc>
      </w:tr>
    </w:tbl>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 xml:space="preserve">In fact, the annual growth rate of 8% for the PEO industry that was mentioned above was approximately 14 times higher than the general economy’’s annual compounded </w:t>
      </w:r>
      <w:r>
        <w:rPr>
          <w:rFonts w:ascii="Nunito" w:eastAsia="Nunito" w:hAnsi="Nunito" w:cs="Nunito"/>
          <w:sz w:val="20"/>
          <w:szCs w:val="20"/>
        </w:rPr>
        <w:t xml:space="preserve">growth rate during the same time (1).   Below are some </w:t>
      </w:r>
      <w:r>
        <w:rPr>
          <w:rFonts w:ascii="Nunito" w:eastAsia="Nunito" w:hAnsi="Nunito" w:cs="Nunito"/>
          <w:sz w:val="20"/>
          <w:szCs w:val="20"/>
        </w:rPr>
        <w:lastRenderedPageBreak/>
        <w:t>additional PEO industry facts taken from the published white papers from the National Association of Professional Employer Organizations (NAPEO) website (2):</w:t>
      </w:r>
      <w:r>
        <w:rPr>
          <w:rFonts w:ascii="Nunito" w:eastAsia="Nunito" w:hAnsi="Nunito" w:cs="Nunito"/>
          <w:sz w:val="20"/>
          <w:szCs w:val="20"/>
        </w:rPr>
        <w:br/>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04A25">
        <w:tc>
          <w:tcPr>
            <w:tcW w:w="10800" w:type="dxa"/>
            <w:shd w:val="clear" w:color="auto" w:fill="auto"/>
            <w:tcMar>
              <w:top w:w="100" w:type="dxa"/>
              <w:left w:w="100" w:type="dxa"/>
              <w:bottom w:w="100" w:type="dxa"/>
              <w:right w:w="100" w:type="dxa"/>
            </w:tcMar>
          </w:tcPr>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Businesses in a PEO arrangement grow 7-9% faster, have 10-14% lower turnover, and are 50% less likely to go out of business.</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 xml:space="preserve">PEOs are able to offer a broad array of HR services at a lower cost, and offer access to retirement plans to small businesses that </w:t>
            </w:r>
            <w:r>
              <w:rPr>
                <w:rFonts w:ascii="Nunito" w:eastAsia="Nunito" w:hAnsi="Nunito" w:cs="Nunito"/>
                <w:sz w:val="20"/>
                <w:szCs w:val="20"/>
              </w:rPr>
              <w:t>may not otherwise sponsor them.</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PEOs provide services to 175,000 small and mid-sized businesses, employing 3.7 million people.</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There are 907 PEOs in the United States.</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The total employment represented by the PEO industry is roughly the same as the combined</w:t>
            </w:r>
            <w:r>
              <w:rPr>
                <w:rFonts w:ascii="Nunito" w:eastAsia="Nunito" w:hAnsi="Nunito" w:cs="Nunito"/>
                <w:sz w:val="20"/>
                <w:szCs w:val="20"/>
              </w:rPr>
              <w:t xml:space="preserve"> number of employees for Walmart (United States only), Amazon, IBM, FedEx, Starbucks, AT&amp;T, Wells Fargo, Apple, and Google.</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The PEO industry’s 175,000 clients represent 15% of all employers with 10 to 99 employees.</w:t>
            </w:r>
          </w:p>
          <w:p w:rsidR="00E04A25" w:rsidRDefault="00C40F9D">
            <w:pPr>
              <w:widowControl w:val="0"/>
              <w:numPr>
                <w:ilvl w:val="0"/>
                <w:numId w:val="5"/>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Administrative costs are around $450 lowe</w:t>
            </w:r>
            <w:r>
              <w:rPr>
                <w:rFonts w:ascii="Nunito" w:eastAsia="Nunito" w:hAnsi="Nunito" w:cs="Nunito"/>
                <w:sz w:val="20"/>
                <w:szCs w:val="20"/>
              </w:rPr>
              <w:t>r per employee for businesses that use a PEO.</w:t>
            </w:r>
          </w:p>
        </w:tc>
      </w:tr>
    </w:tbl>
    <w:p w:rsidR="00E04A25" w:rsidRDefault="00C40F9D">
      <w:pPr>
        <w:pBdr>
          <w:top w:val="nil"/>
          <w:left w:val="nil"/>
          <w:bottom w:val="nil"/>
          <w:right w:val="nil"/>
          <w:between w:val="nil"/>
        </w:pBdr>
        <w:spacing w:line="240" w:lineRule="auto"/>
        <w:ind w:left="0"/>
        <w:rPr>
          <w:rFonts w:ascii="Nunito" w:eastAsia="Nunito" w:hAnsi="Nunito" w:cs="Nunito"/>
          <w:sz w:val="20"/>
          <w:szCs w:val="20"/>
          <w:shd w:val="clear" w:color="auto" w:fill="D9D2E9"/>
        </w:rPr>
      </w:pPr>
      <w:r>
        <w:rPr>
          <w:rFonts w:ascii="Nunito" w:eastAsia="Nunito" w:hAnsi="Nunito" w:cs="Nunito"/>
          <w:sz w:val="20"/>
          <w:szCs w:val="20"/>
        </w:rPr>
        <w:t xml:space="preserve">With these growing numbers and opportunity for ABCPEO to increase its own revenue and profits, it is imperative that attention is given to appropriate client selection. </w:t>
      </w:r>
    </w:p>
    <w:p w:rsidR="00E04A25" w:rsidRDefault="00C40F9D">
      <w:pPr>
        <w:pStyle w:val="Heading1"/>
        <w:numPr>
          <w:ilvl w:val="0"/>
          <w:numId w:val="3"/>
        </w:numPr>
        <w:spacing w:after="200" w:line="240" w:lineRule="auto"/>
        <w:rPr>
          <w:rFonts w:ascii="Nunito" w:eastAsia="Nunito" w:hAnsi="Nunito" w:cs="Nunito"/>
          <w:sz w:val="20"/>
          <w:szCs w:val="20"/>
        </w:rPr>
      </w:pPr>
      <w:bookmarkStart w:id="10" w:name="_c3o5fzm9rjj7" w:colFirst="0" w:colLast="0"/>
      <w:bookmarkEnd w:id="10"/>
      <w:r>
        <w:rPr>
          <w:rFonts w:ascii="Nunito" w:eastAsia="Nunito" w:hAnsi="Nunito" w:cs="Nunito"/>
          <w:sz w:val="20"/>
          <w:szCs w:val="20"/>
        </w:rPr>
        <w:t>Prior Literature</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015"/>
        <w:gridCol w:w="5070"/>
        <w:gridCol w:w="945"/>
      </w:tblGrid>
      <w:tr w:rsidR="00E04A25">
        <w:trPr>
          <w:trHeight w:val="390"/>
        </w:trPr>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b/>
                <w:sz w:val="20"/>
                <w:szCs w:val="20"/>
              </w:rPr>
            </w:pPr>
            <w:r>
              <w:rPr>
                <w:rFonts w:ascii="Nunito" w:eastAsia="Nunito" w:hAnsi="Nunito" w:cs="Nunito"/>
                <w:b/>
                <w:sz w:val="20"/>
                <w:szCs w:val="20"/>
              </w:rPr>
              <w:t>Study Title</w:t>
            </w:r>
          </w:p>
        </w:tc>
        <w:tc>
          <w:tcPr>
            <w:tcW w:w="301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b/>
                <w:sz w:val="20"/>
                <w:szCs w:val="20"/>
              </w:rPr>
            </w:pPr>
            <w:r>
              <w:rPr>
                <w:rFonts w:ascii="Nunito" w:eastAsia="Nunito" w:hAnsi="Nunito" w:cs="Nunito"/>
                <w:b/>
                <w:sz w:val="20"/>
                <w:szCs w:val="20"/>
              </w:rPr>
              <w:t>Predictors</w:t>
            </w: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b/>
                <w:sz w:val="20"/>
                <w:szCs w:val="20"/>
              </w:rPr>
            </w:pPr>
            <w:r>
              <w:rPr>
                <w:rFonts w:ascii="Nunito" w:eastAsia="Nunito" w:hAnsi="Nunito" w:cs="Nunito"/>
                <w:b/>
                <w:sz w:val="20"/>
                <w:szCs w:val="20"/>
              </w:rPr>
              <w:t>Findings</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b/>
                <w:sz w:val="20"/>
                <w:szCs w:val="20"/>
              </w:rPr>
            </w:pPr>
            <w:r>
              <w:rPr>
                <w:rFonts w:ascii="Nunito" w:eastAsia="Nunito" w:hAnsi="Nunito" w:cs="Nunito"/>
                <w:b/>
                <w:sz w:val="20"/>
                <w:szCs w:val="20"/>
              </w:rPr>
              <w:t>Citation</w:t>
            </w:r>
          </w:p>
        </w:tc>
      </w:tr>
      <w:tr w:rsidR="00E04A25">
        <w:tc>
          <w:tcPr>
            <w:tcW w:w="1755" w:type="dxa"/>
            <w:shd w:val="clear" w:color="auto" w:fill="auto"/>
            <w:tcMar>
              <w:top w:w="100" w:type="dxa"/>
              <w:left w:w="100" w:type="dxa"/>
              <w:bottom w:w="100" w:type="dxa"/>
              <w:right w:w="100" w:type="dxa"/>
            </w:tcMar>
          </w:tcPr>
          <w:p w:rsidR="00E04A25" w:rsidRDefault="00C40F9D">
            <w:pPr>
              <w:widowControl w:val="0"/>
              <w:spacing w:before="0" w:line="240" w:lineRule="auto"/>
              <w:ind w:left="0"/>
              <w:rPr>
                <w:rFonts w:ascii="Nunito" w:eastAsia="Nunito" w:hAnsi="Nunito" w:cs="Nunito"/>
                <w:sz w:val="16"/>
                <w:szCs w:val="16"/>
              </w:rPr>
            </w:pPr>
            <w:r>
              <w:rPr>
                <w:rFonts w:ascii="Nunito" w:eastAsia="Nunito" w:hAnsi="Nunito" w:cs="Nunito"/>
                <w:sz w:val="16"/>
                <w:szCs w:val="16"/>
              </w:rPr>
              <w:t>Risk Management in Client Acceptance Decisions</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Accepted/Not Accepted (DV)</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Fraud Risk</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Error Risk</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Going Concern Risk</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Publicly Traded Yes/No</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Specialist Personnel Yes/No</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Billing Rate</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Billing Rate Residual</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ln(Revenue)</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Return on Assets</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Leverage (debt as % of assets)</w:t>
            </w:r>
          </w:p>
          <w:p w:rsidR="00E04A25" w:rsidRDefault="00C40F9D">
            <w:pPr>
              <w:widowControl w:val="0"/>
              <w:numPr>
                <w:ilvl w:val="0"/>
                <w:numId w:val="1"/>
              </w:numPr>
              <w:spacing w:before="0" w:line="240" w:lineRule="auto"/>
              <w:ind w:left="180" w:hanging="180"/>
              <w:rPr>
                <w:rFonts w:ascii="Nunito" w:eastAsia="Nunito" w:hAnsi="Nunito" w:cs="Nunito"/>
                <w:sz w:val="16"/>
                <w:szCs w:val="16"/>
              </w:rPr>
            </w:pPr>
            <w:r>
              <w:rPr>
                <w:rFonts w:ascii="Nunito" w:eastAsia="Nunito" w:hAnsi="Nunito" w:cs="Nunito"/>
                <w:sz w:val="16"/>
                <w:szCs w:val="16"/>
              </w:rPr>
              <w:t>Industry Variables (binary)</w:t>
            </w:r>
          </w:p>
        </w:tc>
        <w:tc>
          <w:tcPr>
            <w:tcW w:w="5070" w:type="dxa"/>
            <w:shd w:val="clear" w:color="auto" w:fill="auto"/>
            <w:tcMar>
              <w:top w:w="100" w:type="dxa"/>
              <w:left w:w="100" w:type="dxa"/>
              <w:bottom w:w="100" w:type="dxa"/>
              <w:right w:w="100" w:type="dxa"/>
            </w:tcMar>
          </w:tcPr>
          <w:p w:rsidR="00E04A25" w:rsidRDefault="00C40F9D">
            <w:pPr>
              <w:widowControl w:val="0"/>
              <w:spacing w:before="0" w:line="240" w:lineRule="auto"/>
              <w:ind w:left="0"/>
              <w:rPr>
                <w:rFonts w:ascii="Nunito" w:eastAsia="Nunito" w:hAnsi="Nunito" w:cs="Nunito"/>
                <w:sz w:val="16"/>
                <w:szCs w:val="16"/>
              </w:rPr>
            </w:pPr>
            <w:r>
              <w:rPr>
                <w:rFonts w:ascii="Nunito" w:eastAsia="Nunito" w:hAnsi="Nunito" w:cs="Nunito"/>
                <w:sz w:val="16"/>
                <w:szCs w:val="16"/>
              </w:rPr>
              <w:t>Publicly Traded Yes/No had the strongest effect on Acceptance at -2.45. Going Concern risk was the next highest at -2.14. Error Risk multiplied by Specialist Personnel had the strongest positive ef</w:t>
            </w:r>
            <w:r>
              <w:rPr>
                <w:rFonts w:ascii="Nunito" w:eastAsia="Nunito" w:hAnsi="Nunito" w:cs="Nunito"/>
                <w:sz w:val="16"/>
                <w:szCs w:val="16"/>
              </w:rPr>
              <w:t>fect on Acceptance at 1.98. A firm evaluates audit risk, client business risk, and auditor business risk, and reduces client acceptance likelihood in the presence of those risks. It also selectively uses personnel assignment and pricing</w:t>
            </w:r>
          </w:p>
          <w:p w:rsidR="00E04A25" w:rsidRDefault="00C40F9D">
            <w:pPr>
              <w:widowControl w:val="0"/>
              <w:spacing w:before="0" w:line="240" w:lineRule="auto"/>
              <w:ind w:left="0"/>
              <w:rPr>
                <w:rFonts w:ascii="Nunito" w:eastAsia="Nunito" w:hAnsi="Nunito" w:cs="Nunito"/>
                <w:sz w:val="16"/>
                <w:szCs w:val="16"/>
              </w:rPr>
            </w:pPr>
            <w:r>
              <w:rPr>
                <w:rFonts w:ascii="Nunito" w:eastAsia="Nunito" w:hAnsi="Nunito" w:cs="Nunito"/>
                <w:sz w:val="16"/>
                <w:szCs w:val="16"/>
              </w:rPr>
              <w:t>strategies to moder</w:t>
            </w:r>
            <w:r>
              <w:rPr>
                <w:rFonts w:ascii="Nunito" w:eastAsia="Nunito" w:hAnsi="Nunito" w:cs="Nunito"/>
                <w:sz w:val="16"/>
                <w:szCs w:val="16"/>
              </w:rPr>
              <w:t>ate the effects of those risks on client acceptance likelihood.</w:t>
            </w:r>
          </w:p>
        </w:tc>
        <w:tc>
          <w:tcPr>
            <w:tcW w:w="945" w:type="dxa"/>
            <w:shd w:val="clear" w:color="auto" w:fill="auto"/>
            <w:tcMar>
              <w:top w:w="100" w:type="dxa"/>
              <w:left w:w="100" w:type="dxa"/>
              <w:bottom w:w="100" w:type="dxa"/>
              <w:right w:w="100" w:type="dxa"/>
            </w:tcMar>
          </w:tcPr>
          <w:p w:rsidR="00E04A25" w:rsidRDefault="00C40F9D">
            <w:pPr>
              <w:widowControl w:val="0"/>
              <w:spacing w:before="0" w:line="240" w:lineRule="auto"/>
              <w:ind w:left="0"/>
              <w:rPr>
                <w:rFonts w:ascii="Nunito" w:eastAsia="Nunito" w:hAnsi="Nunito" w:cs="Nunito"/>
                <w:sz w:val="16"/>
                <w:szCs w:val="16"/>
              </w:rPr>
            </w:pPr>
            <w:r>
              <w:rPr>
                <w:rFonts w:ascii="Nunito" w:eastAsia="Nunito" w:hAnsi="Nunito" w:cs="Nunito"/>
                <w:sz w:val="16"/>
                <w:szCs w:val="16"/>
              </w:rPr>
              <w:t>Johnstone, K. M., &amp; Bedard, J. C. (2003).</w:t>
            </w:r>
          </w:p>
        </w:tc>
      </w:tr>
      <w:tr w:rsidR="00E04A25">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Impact of Formal Controls on Client Satisfaction and Profitability in Strategic Outsourcing Contracts</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Client Satisfaction</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Financial Performance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Lean Methods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Business Controls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Capability Controls (developed and emerging markets)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SLOs / SLAs Implemented</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Service Quality</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Tenure (length of relationship)</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Total Contract Value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Total Competencies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Total Service Lines</w:t>
            </w: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Activity and capability controls enhance</w:t>
            </w:r>
            <w:r>
              <w:rPr>
                <w:rFonts w:ascii="Nunito" w:eastAsia="Nunito" w:hAnsi="Nunito" w:cs="Nunito"/>
                <w:sz w:val="16"/>
                <w:szCs w:val="16"/>
              </w:rPr>
              <w:t xml:space="preserve"> both client satisfaction and financial performance objectives, while output controls may detract. Implementation of controls resolves information asymmetries and builds relational trust between vendors and clients.</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 xml:space="preserve">Langer, N., &amp; Mani, D. (2018). </w:t>
            </w:r>
          </w:p>
        </w:tc>
      </w:tr>
      <w:tr w:rsidR="00E04A25">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Dynamic Customer Acquisition and Retention Management</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Number of clients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Pct of clients at risk of attrition</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Total Expected Spending cash constraint</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Acquisition costs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Retention costs</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16"/>
                <w:szCs w:val="16"/>
              </w:rPr>
            </w:pP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lastRenderedPageBreak/>
              <w:t>Efficient spending on client acquisition vs on client retention can be determined largely from the number of clients a firm has and the total amount of available cash to devote to these efforts.</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 xml:space="preserve">King, G. J., Chao, X., &amp; Duenyas, I. (2016). </w:t>
            </w:r>
          </w:p>
        </w:tc>
      </w:tr>
      <w:tr w:rsidR="00E04A25">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 xml:space="preserve">Client Acceptance and Continuation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Decisions</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Expertise/Staffing</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Independence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Reputation/Image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Integrity</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Profitability</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Financial Status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Accounting Practices</w:t>
            </w: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Businesses make client acceptance and continuation decisions based upon a variety of qualities, chief among them business risk. Auditors use many types and sources of information for this assessment, and the two most important factors are management integr</w:t>
            </w:r>
            <w:r>
              <w:rPr>
                <w:rFonts w:ascii="Nunito" w:eastAsia="Nunito" w:hAnsi="Nunito" w:cs="Nunito"/>
                <w:sz w:val="16"/>
                <w:szCs w:val="16"/>
              </w:rPr>
              <w:t>ity and client’s financial status.</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Asare, S., Hackenbrack, K., &amp; Knechel, R. W. (1994).</w:t>
            </w:r>
          </w:p>
        </w:tc>
      </w:tr>
      <w:tr w:rsidR="00E04A25">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Generating a dynamic customer risk-rating</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NAICS Code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Zip Code/Census Tract</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Nationality</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Customer open date (length of customer relationship)</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Products purchased</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Employee/Non-employee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CIP score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“Hot listed?”</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Part of a “Select Employee” group</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History of risky transactions</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Cash structuring</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Suspicious Activity Reports</w:t>
            </w: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Dynamic risk rating can be used to segment the customer database to select and analyze high-risk cust</w:t>
            </w:r>
            <w:r>
              <w:rPr>
                <w:rFonts w:ascii="Nunito" w:eastAsia="Nunito" w:hAnsi="Nunito" w:cs="Nunito"/>
                <w:sz w:val="16"/>
                <w:szCs w:val="16"/>
              </w:rPr>
              <w:t>omer activity. As client characteristics, behavior, and profitability change, their risk score can be updated daily for up-to-date decision making. Risk attributes are divided into static attributes and behavior attributes.</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Jefferson, R., &amp; Goldfinger, R. (2007).</w:t>
            </w:r>
          </w:p>
        </w:tc>
      </w:tr>
      <w:tr w:rsidR="00E04A25">
        <w:tc>
          <w:tcPr>
            <w:tcW w:w="175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The Replacement of Client Decision Making with a Deductive Logic Structure</w:t>
            </w:r>
          </w:p>
        </w:tc>
        <w:tc>
          <w:tcPr>
            <w:tcW w:w="3015" w:type="dxa"/>
            <w:shd w:val="clear" w:color="auto" w:fill="auto"/>
            <w:tcMar>
              <w:top w:w="100" w:type="dxa"/>
              <w:left w:w="100" w:type="dxa"/>
              <w:bottom w:w="100" w:type="dxa"/>
              <w:right w:w="100" w:type="dxa"/>
            </w:tcMar>
          </w:tcPr>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Financial Rating</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Financial Return</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Capital Investment Plan</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Technical Expertise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Past Performance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Milestone Schedule</w:t>
            </w:r>
          </w:p>
          <w:p w:rsidR="00E04A25" w:rsidRDefault="00C40F9D">
            <w:pPr>
              <w:widowControl w:val="0"/>
              <w:numPr>
                <w:ilvl w:val="0"/>
                <w:numId w:val="1"/>
              </w:numPr>
              <w:pBdr>
                <w:top w:val="nil"/>
                <w:left w:val="nil"/>
                <w:bottom w:val="nil"/>
                <w:right w:val="nil"/>
                <w:between w:val="nil"/>
              </w:pBdr>
              <w:spacing w:before="0" w:line="240" w:lineRule="auto"/>
              <w:ind w:left="180" w:hanging="180"/>
              <w:rPr>
                <w:rFonts w:ascii="Nunito" w:eastAsia="Nunito" w:hAnsi="Nunito" w:cs="Nunito"/>
                <w:sz w:val="16"/>
                <w:szCs w:val="16"/>
              </w:rPr>
            </w:pPr>
            <w:r>
              <w:rPr>
                <w:rFonts w:ascii="Nunito" w:eastAsia="Nunito" w:hAnsi="Nunito" w:cs="Nunito"/>
                <w:sz w:val="16"/>
                <w:szCs w:val="16"/>
              </w:rPr>
              <w:t>Equipment Replacement Reserve</w:t>
            </w:r>
          </w:p>
        </w:tc>
        <w:tc>
          <w:tcPr>
            <w:tcW w:w="5070"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Replacing an existing client decision making process with a “decision-less” system based upon deductive logic using weighted criteria of client attributes results in substantial performance increases. The study shows that deci</w:t>
            </w:r>
            <w:r>
              <w:rPr>
                <w:rFonts w:ascii="Nunito" w:eastAsia="Nunito" w:hAnsi="Nunito" w:cs="Nunito"/>
                <w:sz w:val="16"/>
                <w:szCs w:val="16"/>
              </w:rPr>
              <w:t>sion-making itself is a source of risk, and avoiding this allows a business to focus its energies on quality assurance instead.</w:t>
            </w:r>
          </w:p>
        </w:tc>
        <w:tc>
          <w:tcPr>
            <w:tcW w:w="945" w:type="dxa"/>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16"/>
                <w:szCs w:val="16"/>
              </w:rPr>
            </w:pPr>
            <w:r>
              <w:rPr>
                <w:rFonts w:ascii="Nunito" w:eastAsia="Nunito" w:hAnsi="Nunito" w:cs="Nunito"/>
                <w:sz w:val="16"/>
                <w:szCs w:val="16"/>
              </w:rPr>
              <w:t>Kashiwagi, D., Kashiwagi, J., &amp; Sullivan, K. (2010, June).</w:t>
            </w:r>
          </w:p>
        </w:tc>
      </w:tr>
    </w:tbl>
    <w:p w:rsidR="00E04A25" w:rsidRDefault="00E04A25">
      <w:pPr>
        <w:pBdr>
          <w:top w:val="nil"/>
          <w:left w:val="nil"/>
          <w:bottom w:val="nil"/>
          <w:right w:val="nil"/>
          <w:between w:val="nil"/>
        </w:pBdr>
        <w:spacing w:before="0" w:line="240" w:lineRule="auto"/>
        <w:ind w:left="0"/>
        <w:rPr>
          <w:rFonts w:ascii="Nunito" w:eastAsia="Nunito" w:hAnsi="Nunito" w:cs="Nunito"/>
          <w:sz w:val="20"/>
          <w:szCs w:val="20"/>
          <w:shd w:val="clear" w:color="auto" w:fill="CCCCCC"/>
        </w:rPr>
      </w:pPr>
    </w:p>
    <w:p w:rsidR="00E04A25" w:rsidRDefault="00C40F9D">
      <w:pPr>
        <w:pStyle w:val="Heading1"/>
        <w:numPr>
          <w:ilvl w:val="0"/>
          <w:numId w:val="3"/>
        </w:numPr>
        <w:spacing w:line="240" w:lineRule="auto"/>
        <w:rPr>
          <w:rFonts w:ascii="Nunito" w:eastAsia="Nunito" w:hAnsi="Nunito" w:cs="Nunito"/>
          <w:sz w:val="20"/>
          <w:szCs w:val="20"/>
        </w:rPr>
      </w:pPr>
      <w:bookmarkStart w:id="11" w:name="_e2whst52iglg" w:colFirst="0" w:colLast="0"/>
      <w:bookmarkEnd w:id="11"/>
      <w:r>
        <w:rPr>
          <w:rFonts w:ascii="Nunito" w:eastAsia="Nunito" w:hAnsi="Nunito" w:cs="Nunito"/>
          <w:sz w:val="20"/>
          <w:szCs w:val="20"/>
        </w:rPr>
        <w:t>Data Source/Preparation</w:t>
      </w:r>
      <w:r>
        <w:rPr>
          <w:rFonts w:ascii="Nunito" w:eastAsia="Nunito" w:hAnsi="Nunito" w:cs="Nunito"/>
          <w:sz w:val="20"/>
          <w:szCs w:val="20"/>
        </w:rPr>
        <w:br/>
      </w:r>
    </w:p>
    <w:p w:rsidR="00E04A25" w:rsidRDefault="00C40F9D">
      <w:pPr>
        <w:pStyle w:val="Heading3"/>
        <w:numPr>
          <w:ilvl w:val="1"/>
          <w:numId w:val="3"/>
        </w:numPr>
        <w:spacing w:before="0" w:line="240" w:lineRule="auto"/>
        <w:rPr>
          <w:rFonts w:ascii="Nunito" w:eastAsia="Nunito" w:hAnsi="Nunito" w:cs="Nunito"/>
          <w:sz w:val="20"/>
          <w:szCs w:val="20"/>
        </w:rPr>
      </w:pPr>
      <w:bookmarkStart w:id="12" w:name="_rq9uljt4qmvf" w:colFirst="0" w:colLast="0"/>
      <w:bookmarkEnd w:id="12"/>
      <w:r>
        <w:rPr>
          <w:rFonts w:ascii="Nunito" w:eastAsia="Nunito" w:hAnsi="Nunito" w:cs="Nunito"/>
          <w:sz w:val="20"/>
          <w:szCs w:val="20"/>
        </w:rPr>
        <w:t>Source</w:t>
      </w:r>
    </w:p>
    <w:p w:rsidR="00E04A25" w:rsidRDefault="00C40F9D">
      <w:pPr>
        <w:spacing w:line="240" w:lineRule="auto"/>
        <w:ind w:left="0"/>
        <w:rPr>
          <w:rFonts w:ascii="Nunito" w:eastAsia="Nunito" w:hAnsi="Nunito" w:cs="Nunito"/>
          <w:sz w:val="20"/>
          <w:szCs w:val="20"/>
        </w:rPr>
      </w:pPr>
      <w:r>
        <w:rPr>
          <w:rFonts w:ascii="Nunito" w:eastAsia="Nunito" w:hAnsi="Nunito" w:cs="Nunito"/>
          <w:sz w:val="20"/>
          <w:szCs w:val="20"/>
        </w:rPr>
        <w:t>All of the data used in this analysis was actual internal data owned by ABCPEO.  The data was provided to us by their Owner/Vice President in the form of excel reports pulled from their internal payroll system.  Additional claims information that was not c</w:t>
      </w:r>
      <w:r>
        <w:rPr>
          <w:rFonts w:ascii="Nunito" w:eastAsia="Nunito" w:hAnsi="Nunito" w:cs="Nunito"/>
          <w:sz w:val="20"/>
          <w:szCs w:val="20"/>
        </w:rPr>
        <w:t xml:space="preserve">ontained within the payroll system was provided by way of internal spreadsheets that are used for tracking and reporting within the ongoing business operations. </w:t>
      </w:r>
    </w:p>
    <w:p w:rsidR="00E04A25" w:rsidRDefault="00C40F9D">
      <w:pPr>
        <w:pStyle w:val="Heading3"/>
        <w:numPr>
          <w:ilvl w:val="1"/>
          <w:numId w:val="3"/>
        </w:numPr>
        <w:spacing w:line="240" w:lineRule="auto"/>
        <w:rPr>
          <w:rFonts w:ascii="Nunito" w:eastAsia="Nunito" w:hAnsi="Nunito" w:cs="Nunito"/>
          <w:sz w:val="20"/>
          <w:szCs w:val="20"/>
        </w:rPr>
      </w:pPr>
      <w:bookmarkStart w:id="13" w:name="_545iqg38jfvt" w:colFirst="0" w:colLast="0"/>
      <w:bookmarkEnd w:id="13"/>
      <w:r>
        <w:rPr>
          <w:rFonts w:ascii="Nunito" w:eastAsia="Nunito" w:hAnsi="Nunito" w:cs="Nunito"/>
          <w:sz w:val="20"/>
          <w:szCs w:val="20"/>
        </w:rPr>
        <w:t>Available variables - Data Dictionary</w:t>
      </w:r>
    </w:p>
    <w:p w:rsidR="00E04A25" w:rsidRDefault="00C40F9D">
      <w:pPr>
        <w:spacing w:line="240" w:lineRule="auto"/>
        <w:ind w:left="0"/>
        <w:rPr>
          <w:rFonts w:ascii="Nunito" w:eastAsia="Nunito" w:hAnsi="Nunito" w:cs="Nunito"/>
          <w:sz w:val="20"/>
          <w:szCs w:val="20"/>
        </w:rPr>
      </w:pPr>
      <w:r>
        <w:rPr>
          <w:rFonts w:ascii="Nunito" w:eastAsia="Nunito" w:hAnsi="Nunito" w:cs="Nunito"/>
          <w:sz w:val="20"/>
          <w:szCs w:val="20"/>
        </w:rPr>
        <w:t>The raw input data file has 8,088 observations with 32 v</w:t>
      </w:r>
      <w:r>
        <w:rPr>
          <w:rFonts w:ascii="Nunito" w:eastAsia="Nunito" w:hAnsi="Nunito" w:cs="Nunito"/>
          <w:sz w:val="20"/>
          <w:szCs w:val="20"/>
        </w:rPr>
        <w:t xml:space="preserve">ariables. </w:t>
      </w:r>
      <w:r>
        <w:rPr>
          <w:rFonts w:ascii="Nunito" w:eastAsia="Nunito" w:hAnsi="Nunito" w:cs="Nunito"/>
          <w:sz w:val="20"/>
          <w:szCs w:val="20"/>
        </w:rPr>
        <w:br/>
      </w:r>
    </w:p>
    <w:tbl>
      <w:tblPr>
        <w:tblStyle w:val="a2"/>
        <w:tblW w:w="10335" w:type="dxa"/>
        <w:tblBorders>
          <w:top w:val="nil"/>
          <w:left w:val="nil"/>
          <w:bottom w:val="nil"/>
          <w:right w:val="nil"/>
          <w:insideH w:val="nil"/>
          <w:insideV w:val="nil"/>
        </w:tblBorders>
        <w:tblLayout w:type="fixed"/>
        <w:tblLook w:val="0600" w:firstRow="0" w:lastRow="0" w:firstColumn="0" w:lastColumn="0" w:noHBand="1" w:noVBand="1"/>
      </w:tblPr>
      <w:tblGrid>
        <w:gridCol w:w="2400"/>
        <w:gridCol w:w="5580"/>
        <w:gridCol w:w="2355"/>
      </w:tblGrid>
      <w:tr w:rsidR="00E04A25">
        <w:trPr>
          <w:trHeight w:val="315"/>
        </w:trPr>
        <w:tc>
          <w:tcPr>
            <w:tcW w:w="2400" w:type="dxa"/>
            <w:tcBorders>
              <w:top w:val="single" w:sz="6" w:space="0" w:color="000000"/>
              <w:left w:val="single" w:sz="6" w:space="0" w:color="000000"/>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Variable</w:t>
            </w:r>
          </w:p>
        </w:tc>
        <w:tc>
          <w:tcPr>
            <w:tcW w:w="5580"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Definition</w:t>
            </w:r>
          </w:p>
        </w:tc>
        <w:tc>
          <w:tcPr>
            <w:tcW w:w="2355"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Type</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ID</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Unique client identifier</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Status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Current status (Active / Terminated)</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City</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city</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Zip Code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zip code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Industry</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Industry of client</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lastRenderedPageBreak/>
              <w:t>WC Carrier</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The workers' compensation insurance provider for the client</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Start Date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 client joined PEO</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Tenure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Weeks of tenure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Payment Type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method of payment</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Rule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Type of payroll (Weekly, Biweekly, Monthly etc)</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ID</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Unique identifier for the payroll record</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Type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Revenue or Reversal</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Date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 on the paychecks</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Start Date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start date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Date</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End Date</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end date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Chr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Hours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hours worked on the payroll</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Employees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Employees on the payroll</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Stmts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Number of check in the payroll</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Amount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amount charged to client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Adjustments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Any adjustments made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Gross Wages</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gross wages on the payroll</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Net Admin</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Admin fee charged to client</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Rev</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Amount collected for workers' comp insurance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Workers' comp profit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SUTA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 earned from State Unemployment Tax</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FUTA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 earned from Federal Unemployment Tax</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Social Security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 earned from Social Security Tax</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Medicare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 earned from Medicare Tax</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Rev</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revenue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Cost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cost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Gross Profit</w:t>
            </w:r>
          </w:p>
        </w:tc>
        <w:tc>
          <w:tcPr>
            <w:tcW w:w="5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Gross profit on the invoice</w:t>
            </w:r>
          </w:p>
        </w:tc>
        <w:tc>
          <w:tcPr>
            <w:tcW w:w="23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r w:rsidR="00E04A25">
        <w:trPr>
          <w:trHeight w:val="315"/>
        </w:trPr>
        <w:tc>
          <w:tcPr>
            <w:tcW w:w="240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Profit %</w:t>
            </w:r>
          </w:p>
        </w:tc>
        <w:tc>
          <w:tcPr>
            <w:tcW w:w="558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 % on the invoice</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Nbr</w:t>
            </w:r>
          </w:p>
        </w:tc>
      </w:tr>
    </w:tbl>
    <w:p w:rsidR="00E04A25" w:rsidRDefault="00C40F9D">
      <w:pPr>
        <w:pStyle w:val="Heading3"/>
        <w:numPr>
          <w:ilvl w:val="1"/>
          <w:numId w:val="3"/>
        </w:numPr>
        <w:spacing w:line="240" w:lineRule="auto"/>
        <w:rPr>
          <w:rFonts w:ascii="Nunito" w:eastAsia="Nunito" w:hAnsi="Nunito" w:cs="Nunito"/>
          <w:sz w:val="20"/>
          <w:szCs w:val="20"/>
        </w:rPr>
      </w:pPr>
      <w:bookmarkStart w:id="14" w:name="_96j35w61npov" w:colFirst="0" w:colLast="0"/>
      <w:bookmarkEnd w:id="14"/>
      <w:r>
        <w:rPr>
          <w:rFonts w:ascii="Nunito" w:eastAsia="Nunito" w:hAnsi="Nunito" w:cs="Nunito"/>
          <w:sz w:val="20"/>
          <w:szCs w:val="20"/>
        </w:rPr>
        <w:t>Data Joins and Cleansing</w:t>
      </w:r>
    </w:p>
    <w:p w:rsidR="00E04A25" w:rsidRDefault="00C40F9D">
      <w:pPr>
        <w:pBdr>
          <w:top w:val="nil"/>
          <w:left w:val="nil"/>
          <w:bottom w:val="nil"/>
          <w:right w:val="nil"/>
          <w:between w:val="nil"/>
        </w:pBdr>
        <w:spacing w:after="200" w:line="240" w:lineRule="auto"/>
        <w:ind w:left="0"/>
        <w:rPr>
          <w:rFonts w:ascii="Nunito" w:eastAsia="Nunito" w:hAnsi="Nunito" w:cs="Nunito"/>
          <w:sz w:val="20"/>
          <w:szCs w:val="20"/>
        </w:rPr>
      </w:pPr>
      <w:r>
        <w:rPr>
          <w:rFonts w:ascii="Nunito" w:eastAsia="Nunito" w:hAnsi="Nunito" w:cs="Nunito"/>
          <w:sz w:val="20"/>
          <w:szCs w:val="20"/>
          <w:u w:val="single"/>
        </w:rPr>
        <w:t>Joins</w:t>
      </w:r>
      <w:r>
        <w:rPr>
          <w:rFonts w:ascii="Nunito" w:eastAsia="Nunito" w:hAnsi="Nunito" w:cs="Nunito"/>
          <w:sz w:val="20"/>
          <w:szCs w:val="20"/>
        </w:rPr>
        <w:t xml:space="preserve"> - We were provided with five reports, each of which contained important data we thought useful for the analysis.  Below is a summary of each report, join, and variables derived from it. The majority of the profit data derived from the Client Profit Report</w:t>
      </w:r>
      <w:r>
        <w:rPr>
          <w:rFonts w:ascii="Nunito" w:eastAsia="Nunito" w:hAnsi="Nunito" w:cs="Nunito"/>
          <w:sz w:val="20"/>
          <w:szCs w:val="20"/>
        </w:rPr>
        <w:t>.  The Join field in the table below indicates how it was joined to the main report (Client Profit).</w:t>
      </w:r>
    </w:p>
    <w:tbl>
      <w:tblPr>
        <w:tblStyle w:val="a3"/>
        <w:tblW w:w="10380" w:type="dxa"/>
        <w:tblBorders>
          <w:top w:val="nil"/>
          <w:left w:val="nil"/>
          <w:bottom w:val="nil"/>
          <w:right w:val="nil"/>
          <w:insideH w:val="nil"/>
          <w:insideV w:val="nil"/>
        </w:tblBorders>
        <w:tblLayout w:type="fixed"/>
        <w:tblLook w:val="0600" w:firstRow="0" w:lastRow="0" w:firstColumn="0" w:lastColumn="0" w:noHBand="1" w:noVBand="1"/>
      </w:tblPr>
      <w:tblGrid>
        <w:gridCol w:w="1500"/>
        <w:gridCol w:w="5025"/>
        <w:gridCol w:w="1890"/>
        <w:gridCol w:w="1965"/>
      </w:tblGrid>
      <w:tr w:rsidR="00E04A25">
        <w:trPr>
          <w:trHeight w:val="315"/>
        </w:trPr>
        <w:tc>
          <w:tcPr>
            <w:tcW w:w="1500" w:type="dxa"/>
            <w:tcBorders>
              <w:top w:val="single" w:sz="6" w:space="0" w:color="000000"/>
              <w:left w:val="single" w:sz="6" w:space="0" w:color="000000"/>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20"/>
                <w:szCs w:val="20"/>
              </w:rPr>
            </w:pPr>
            <w:r>
              <w:rPr>
                <w:rFonts w:ascii="Nunito" w:eastAsia="Nunito" w:hAnsi="Nunito" w:cs="Nunito"/>
                <w:color w:val="FFFFFF"/>
                <w:sz w:val="20"/>
                <w:szCs w:val="20"/>
              </w:rPr>
              <w:t>Report</w:t>
            </w:r>
          </w:p>
        </w:tc>
        <w:tc>
          <w:tcPr>
            <w:tcW w:w="5025"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20"/>
                <w:szCs w:val="20"/>
              </w:rPr>
            </w:pPr>
            <w:r>
              <w:rPr>
                <w:rFonts w:ascii="Nunito" w:eastAsia="Nunito" w:hAnsi="Nunito" w:cs="Nunito"/>
                <w:color w:val="FFFFFF"/>
                <w:sz w:val="20"/>
                <w:szCs w:val="20"/>
              </w:rPr>
              <w:t>Description</w:t>
            </w:r>
          </w:p>
        </w:tc>
        <w:tc>
          <w:tcPr>
            <w:tcW w:w="1890"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20"/>
                <w:szCs w:val="20"/>
              </w:rPr>
            </w:pPr>
            <w:r>
              <w:rPr>
                <w:rFonts w:ascii="Nunito" w:eastAsia="Nunito" w:hAnsi="Nunito" w:cs="Nunito"/>
                <w:color w:val="FFFFFF"/>
                <w:sz w:val="20"/>
                <w:szCs w:val="20"/>
              </w:rPr>
              <w:t>Variables</w:t>
            </w:r>
          </w:p>
        </w:tc>
        <w:tc>
          <w:tcPr>
            <w:tcW w:w="1965"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20"/>
                <w:szCs w:val="20"/>
              </w:rPr>
            </w:pPr>
            <w:r>
              <w:rPr>
                <w:rFonts w:ascii="Nunito" w:eastAsia="Nunito" w:hAnsi="Nunito" w:cs="Nunito"/>
                <w:color w:val="FFFFFF"/>
                <w:sz w:val="20"/>
                <w:szCs w:val="20"/>
              </w:rPr>
              <w:t>Join Variables</w:t>
            </w:r>
          </w:p>
        </w:tc>
      </w:tr>
      <w:tr w:rsidR="00E04A25">
        <w:trPr>
          <w:trHeight w:val="315"/>
        </w:trPr>
        <w:tc>
          <w:tcPr>
            <w:tcW w:w="15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lastRenderedPageBreak/>
              <w:t>Client Profit</w:t>
            </w:r>
          </w:p>
        </w:tc>
        <w:tc>
          <w:tcPr>
            <w:tcW w:w="5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level revenue and profit data for every payroll</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All profit/revenue data</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Type</w:t>
            </w:r>
          </w:p>
        </w:tc>
        <w:tc>
          <w:tcPr>
            <w:tcW w:w="19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PayrollID</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ClientID</w:t>
            </w:r>
          </w:p>
        </w:tc>
      </w:tr>
      <w:tr w:rsidR="00E04A25">
        <w:trPr>
          <w:trHeight w:val="315"/>
        </w:trPr>
        <w:tc>
          <w:tcPr>
            <w:tcW w:w="15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History</w:t>
            </w:r>
          </w:p>
        </w:tc>
        <w:tc>
          <w:tcPr>
            <w:tcW w:w="5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level data for all workers’ compensation billed</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Industry</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Carrier</w:t>
            </w:r>
          </w:p>
        </w:tc>
        <w:tc>
          <w:tcPr>
            <w:tcW w:w="19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PayrollID</w:t>
            </w:r>
          </w:p>
        </w:tc>
      </w:tr>
      <w:tr w:rsidR="00E04A25">
        <w:trPr>
          <w:trHeight w:val="315"/>
        </w:trPr>
        <w:tc>
          <w:tcPr>
            <w:tcW w:w="15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Detail</w:t>
            </w:r>
          </w:p>
        </w:tc>
        <w:tc>
          <w:tcPr>
            <w:tcW w:w="5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level billing details with balance forward</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Payment Type</w:t>
            </w:r>
          </w:p>
        </w:tc>
        <w:tc>
          <w:tcPr>
            <w:tcW w:w="19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PayrollID</w:t>
            </w:r>
          </w:p>
        </w:tc>
      </w:tr>
      <w:tr w:rsidR="00E04A25">
        <w:trPr>
          <w:trHeight w:val="315"/>
        </w:trPr>
        <w:tc>
          <w:tcPr>
            <w:tcW w:w="15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w:t>
            </w:r>
          </w:p>
        </w:tc>
        <w:tc>
          <w:tcPr>
            <w:tcW w:w="5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demographics</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Start Date</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Tenure (calculated)</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City</w:t>
            </w:r>
          </w:p>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State</w:t>
            </w:r>
          </w:p>
        </w:tc>
        <w:tc>
          <w:tcPr>
            <w:tcW w:w="19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ClientID</w:t>
            </w:r>
          </w:p>
        </w:tc>
      </w:tr>
      <w:tr w:rsidR="00E04A25">
        <w:trPr>
          <w:trHeight w:val="315"/>
        </w:trPr>
        <w:tc>
          <w:tcPr>
            <w:tcW w:w="150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Hist</w:t>
            </w:r>
          </w:p>
        </w:tc>
        <w:tc>
          <w:tcPr>
            <w:tcW w:w="50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history with dates for each payroll</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Rule</w:t>
            </w:r>
          </w:p>
        </w:tc>
        <w:tc>
          <w:tcPr>
            <w:tcW w:w="196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PayrollID</w:t>
            </w:r>
          </w:p>
        </w:tc>
      </w:tr>
    </w:tbl>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u w:val="single"/>
        </w:rPr>
        <w:t>Cleansing</w:t>
      </w:r>
      <w:r>
        <w:rPr>
          <w:rFonts w:ascii="Nunito" w:eastAsia="Nunito" w:hAnsi="Nunito" w:cs="Nunito"/>
          <w:sz w:val="20"/>
          <w:szCs w:val="20"/>
        </w:rPr>
        <w:t xml:space="preserve"> - </w:t>
      </w:r>
    </w:p>
    <w:p w:rsidR="00E04A25" w:rsidRDefault="00C40F9D">
      <w:pPr>
        <w:numPr>
          <w:ilvl w:val="0"/>
          <w:numId w:val="6"/>
        </w:numPr>
        <w:pBdr>
          <w:top w:val="nil"/>
          <w:left w:val="nil"/>
          <w:bottom w:val="nil"/>
          <w:right w:val="nil"/>
          <w:between w:val="nil"/>
        </w:pBdr>
        <w:spacing w:line="240" w:lineRule="auto"/>
        <w:rPr>
          <w:rFonts w:ascii="Nunito" w:eastAsia="Nunito" w:hAnsi="Nunito" w:cs="Nunito"/>
          <w:sz w:val="20"/>
          <w:szCs w:val="20"/>
        </w:rPr>
      </w:pPr>
      <w:r>
        <w:rPr>
          <w:rFonts w:ascii="Nunito" w:eastAsia="Nunito" w:hAnsi="Nunito" w:cs="Nunito"/>
          <w:sz w:val="20"/>
          <w:szCs w:val="20"/>
        </w:rPr>
        <w:t xml:space="preserve">The data we received was transactional in nature.  It contained individual line items for every individual invoice.  To facilitate analysis, the raw transactional data was aggregated to the client level. </w:t>
      </w:r>
    </w:p>
    <w:p w:rsidR="00E04A25" w:rsidRDefault="00C40F9D">
      <w:pPr>
        <w:numPr>
          <w:ilvl w:val="0"/>
          <w:numId w:val="6"/>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 xml:space="preserve">Variables: status, city, industry, wc.carrier, payment.type and payroll.rule were converted to factor variables. </w:t>
      </w:r>
    </w:p>
    <w:p w:rsidR="00E04A25" w:rsidRDefault="00C40F9D">
      <w:pPr>
        <w:numPr>
          <w:ilvl w:val="0"/>
          <w:numId w:val="6"/>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Aggregated data file contained only nine incomplete variable cases, which were omitted from the analysis.</w:t>
      </w:r>
    </w:p>
    <w:p w:rsidR="00E04A25" w:rsidRDefault="00C40F9D">
      <w:pPr>
        <w:numPr>
          <w:ilvl w:val="0"/>
          <w:numId w:val="6"/>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Total Tenure was rounded to remove u</w:t>
      </w:r>
      <w:r>
        <w:rPr>
          <w:rFonts w:ascii="Nunito" w:eastAsia="Nunito" w:hAnsi="Nunito" w:cs="Nunito"/>
          <w:sz w:val="20"/>
          <w:szCs w:val="20"/>
        </w:rPr>
        <w:t>nnecessary decimal places.</w:t>
      </w:r>
      <w:r>
        <w:rPr>
          <w:rFonts w:ascii="Nunito" w:eastAsia="Nunito" w:hAnsi="Nunito" w:cs="Nunito"/>
          <w:sz w:val="20"/>
          <w:szCs w:val="20"/>
        </w:rPr>
        <w:br/>
      </w:r>
    </w:p>
    <w:p w:rsidR="00E04A25" w:rsidRDefault="00C40F9D">
      <w:pPr>
        <w:pStyle w:val="Heading3"/>
        <w:numPr>
          <w:ilvl w:val="1"/>
          <w:numId w:val="3"/>
        </w:numPr>
        <w:spacing w:before="0" w:line="240" w:lineRule="auto"/>
        <w:rPr>
          <w:rFonts w:ascii="Nunito" w:eastAsia="Nunito" w:hAnsi="Nunito" w:cs="Nunito"/>
          <w:sz w:val="20"/>
          <w:szCs w:val="20"/>
        </w:rPr>
      </w:pPr>
      <w:bookmarkStart w:id="15" w:name="_ud70wtpiw81o" w:colFirst="0" w:colLast="0"/>
      <w:bookmarkEnd w:id="15"/>
      <w:r>
        <w:rPr>
          <w:rFonts w:ascii="Nunito" w:eastAsia="Nunito" w:hAnsi="Nunito" w:cs="Nunito"/>
          <w:sz w:val="20"/>
          <w:szCs w:val="20"/>
        </w:rPr>
        <w:t>Variable Selection</w:t>
      </w:r>
    </w:p>
    <w:p w:rsidR="00E04A25" w:rsidRDefault="00C40F9D">
      <w:pPr>
        <w:spacing w:line="240" w:lineRule="auto"/>
        <w:ind w:left="0"/>
        <w:rPr>
          <w:rFonts w:ascii="Nunito" w:eastAsia="Nunito" w:hAnsi="Nunito" w:cs="Nunito"/>
          <w:sz w:val="20"/>
          <w:szCs w:val="20"/>
        </w:rPr>
      </w:pPr>
      <w:r>
        <w:rPr>
          <w:rFonts w:ascii="Nunito" w:eastAsia="Nunito" w:hAnsi="Nunito" w:cs="Nunito"/>
          <w:sz w:val="20"/>
          <w:szCs w:val="20"/>
          <w:u w:val="single"/>
        </w:rPr>
        <w:t>Dependent Variable</w:t>
      </w:r>
      <w:r>
        <w:rPr>
          <w:rFonts w:ascii="Nunito" w:eastAsia="Nunito" w:hAnsi="Nunito" w:cs="Nunito"/>
          <w:sz w:val="20"/>
          <w:szCs w:val="20"/>
        </w:rPr>
        <w:t xml:space="preserve"> - Total Tenure</w:t>
      </w:r>
    </w:p>
    <w:p w:rsidR="00E04A25" w:rsidRDefault="00C40F9D">
      <w:pPr>
        <w:spacing w:line="240" w:lineRule="auto"/>
        <w:ind w:left="0"/>
        <w:rPr>
          <w:rFonts w:ascii="Nunito" w:eastAsia="Nunito" w:hAnsi="Nunito" w:cs="Nunito"/>
          <w:sz w:val="20"/>
          <w:szCs w:val="20"/>
        </w:rPr>
      </w:pPr>
      <w:r>
        <w:rPr>
          <w:rFonts w:ascii="Nunito" w:eastAsia="Nunito" w:hAnsi="Nunito" w:cs="Nunito"/>
          <w:sz w:val="20"/>
          <w:szCs w:val="20"/>
        </w:rPr>
        <w:t xml:space="preserve">We selected </w:t>
      </w:r>
      <w:r>
        <w:rPr>
          <w:rFonts w:ascii="Nunito" w:eastAsia="Nunito" w:hAnsi="Nunito" w:cs="Nunito"/>
          <w:i/>
          <w:sz w:val="20"/>
          <w:szCs w:val="20"/>
        </w:rPr>
        <w:t xml:space="preserve">Total Tenure </w:t>
      </w:r>
      <w:r>
        <w:rPr>
          <w:rFonts w:ascii="Nunito" w:eastAsia="Nunito" w:hAnsi="Nunito" w:cs="Nunito"/>
          <w:sz w:val="20"/>
          <w:szCs w:val="20"/>
        </w:rPr>
        <w:t>as our dependent variable because the length of the business relationship that a client maintains with ABCPEO is tightly correlated with the revenue a</w:t>
      </w:r>
      <w:r>
        <w:rPr>
          <w:rFonts w:ascii="Nunito" w:eastAsia="Nunito" w:hAnsi="Nunito" w:cs="Nunito"/>
          <w:sz w:val="20"/>
          <w:szCs w:val="20"/>
        </w:rPr>
        <w:t>nd profit potential of that client. As there is a fixed overhead cost associated with onboarding new clients, ABCPEO wants to avoid clients that may use their services for a short period of time and then drop their contract.</w:t>
      </w:r>
    </w:p>
    <w:p w:rsidR="00E04A25" w:rsidRDefault="00C40F9D">
      <w:pPr>
        <w:pStyle w:val="Heading1"/>
        <w:numPr>
          <w:ilvl w:val="0"/>
          <w:numId w:val="3"/>
        </w:numPr>
        <w:spacing w:line="240" w:lineRule="auto"/>
        <w:rPr>
          <w:rFonts w:ascii="Nunito" w:eastAsia="Nunito" w:hAnsi="Nunito" w:cs="Nunito"/>
          <w:sz w:val="20"/>
          <w:szCs w:val="20"/>
        </w:rPr>
      </w:pPr>
      <w:bookmarkStart w:id="16" w:name="_xw6y84eqzrwc" w:colFirst="0" w:colLast="0"/>
      <w:bookmarkEnd w:id="16"/>
      <w:r>
        <w:rPr>
          <w:rFonts w:ascii="Nunito" w:eastAsia="Nunito" w:hAnsi="Nunito" w:cs="Nunito"/>
          <w:sz w:val="20"/>
          <w:szCs w:val="20"/>
        </w:rPr>
        <w:t>Variable Choice</w:t>
      </w:r>
      <w:r>
        <w:rPr>
          <w:rFonts w:ascii="Nunito" w:eastAsia="Nunito" w:hAnsi="Nunito" w:cs="Nunito"/>
          <w:sz w:val="20"/>
          <w:szCs w:val="20"/>
        </w:rPr>
        <w:br/>
      </w:r>
    </w:p>
    <w:tbl>
      <w:tblPr>
        <w:tblStyle w:val="a4"/>
        <w:tblW w:w="10830" w:type="dxa"/>
        <w:tblBorders>
          <w:top w:val="nil"/>
          <w:left w:val="nil"/>
          <w:bottom w:val="nil"/>
          <w:right w:val="nil"/>
          <w:insideH w:val="nil"/>
          <w:insideV w:val="nil"/>
        </w:tblBorders>
        <w:tblLayout w:type="fixed"/>
        <w:tblLook w:val="0600" w:firstRow="0" w:lastRow="0" w:firstColumn="0" w:lastColumn="0" w:noHBand="1" w:noVBand="1"/>
      </w:tblPr>
      <w:tblGrid>
        <w:gridCol w:w="1695"/>
        <w:gridCol w:w="855"/>
        <w:gridCol w:w="960"/>
        <w:gridCol w:w="7320"/>
      </w:tblGrid>
      <w:tr w:rsidR="00E04A25">
        <w:trPr>
          <w:trHeight w:val="315"/>
        </w:trPr>
        <w:tc>
          <w:tcPr>
            <w:tcW w:w="1695" w:type="dxa"/>
            <w:tcBorders>
              <w:top w:val="single" w:sz="6" w:space="0" w:color="000000"/>
              <w:left w:val="single" w:sz="6" w:space="0" w:color="000000"/>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Predictor</w:t>
            </w:r>
          </w:p>
        </w:tc>
        <w:tc>
          <w:tcPr>
            <w:tcW w:w="855"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Incl</w:t>
            </w:r>
            <w:r>
              <w:rPr>
                <w:rFonts w:ascii="Nunito" w:eastAsia="Nunito" w:hAnsi="Nunito" w:cs="Nunito"/>
                <w:color w:val="FFFFFF"/>
                <w:sz w:val="16"/>
                <w:szCs w:val="16"/>
              </w:rPr>
              <w:t>ude</w:t>
            </w:r>
          </w:p>
        </w:tc>
        <w:tc>
          <w:tcPr>
            <w:tcW w:w="960"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color w:val="FFFFFF"/>
                <w:sz w:val="16"/>
                <w:szCs w:val="16"/>
              </w:rPr>
            </w:pPr>
            <w:r>
              <w:rPr>
                <w:rFonts w:ascii="Nunito" w:eastAsia="Nunito" w:hAnsi="Nunito" w:cs="Nunito"/>
                <w:color w:val="FFFFFF"/>
                <w:sz w:val="16"/>
                <w:szCs w:val="16"/>
              </w:rPr>
              <w:t>Effect</w:t>
            </w:r>
          </w:p>
        </w:tc>
        <w:tc>
          <w:tcPr>
            <w:tcW w:w="7320" w:type="dxa"/>
            <w:tcBorders>
              <w:top w:val="single" w:sz="6" w:space="0" w:color="000000"/>
              <w:left w:val="single" w:sz="6" w:space="0" w:color="CCCCCC"/>
              <w:bottom w:val="single" w:sz="6" w:space="0" w:color="000000"/>
              <w:right w:val="single" w:sz="6" w:space="0" w:color="000000"/>
            </w:tcBorders>
            <w:shd w:val="clear" w:color="auto" w:fill="203764"/>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color w:val="FFFFFF"/>
                <w:sz w:val="16"/>
                <w:szCs w:val="16"/>
              </w:rPr>
              <w:t>Rationale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ID</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Customer ID should have no impact on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Status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status Active should have a positive effect on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City</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City and surrounding demographics should affect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Zip Code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Correlated with City</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Industry</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Certain industries may conduct work that is inconsistent in nature, and are therefore more likely to cut a PEO relationship short. Conversely, other industries may be more stable and prone to long relationships.</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Carrier</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Primary carrier should have a positive impact on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Client Start Date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Tenure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DV</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Dependent Variable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Payment Type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Some payment formats are more convenient and could affect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Rule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cadence could affect client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lastRenderedPageBreak/>
              <w:t>Payroll ID</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ID and should have no impact on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Payroll Type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Revenue vs. Reversal should have a positive impact on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Date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Actual pay date should not affect Tenure (correlated with Payroll Rule)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Start Date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start should not affect Tenure (correlated with Payroll Rule)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End Date</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period end should not affect Tenure (correlated with Payroll Rule)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Hours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Companies with higher numbers of employees and employee-hours are more likely to value the services of a PEO and continue business.</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Employees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vMerge/>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40" w:lineRule="auto"/>
              <w:ind w:left="0"/>
              <w:rPr>
                <w:rFonts w:ascii="Nunito" w:eastAsia="Nunito" w:hAnsi="Nunito" w:cs="Nunito"/>
                <w:sz w:val="20"/>
                <w:szCs w:val="20"/>
              </w:rPr>
            </w:pP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Pay Stmts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Same as Employees (correlation)</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Amount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Correlated with Total Rev</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Adjustments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These are misc charges like shipping and should not affect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Gross Wages</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Correlated with Total Rev</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Net Admin</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Admin fee (% or minimum applied)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Rev</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Correlated with WC Profit</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WC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based billing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SUTA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based billing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FUTA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based billing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Social Security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based billing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Medicare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based billing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Rev</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Revenue earned could be correlated with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Total Cost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No</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E04A25">
            <w:pPr>
              <w:widowControl w:val="0"/>
              <w:spacing w:before="0" w:line="276" w:lineRule="auto"/>
              <w:ind w:left="0"/>
              <w:jc w:val="center"/>
              <w:rPr>
                <w:rFonts w:ascii="Nunito" w:eastAsia="Nunito" w:hAnsi="Nunito" w:cs="Nunito"/>
                <w:sz w:val="16"/>
                <w:szCs w:val="16"/>
              </w:rPr>
            </w:pP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PEO cost should not affect client Tenure</w:t>
            </w:r>
          </w:p>
        </w:tc>
      </w:tr>
      <w:tr w:rsidR="00E04A25">
        <w:trPr>
          <w:trHeight w:val="315"/>
        </w:trPr>
        <w:tc>
          <w:tcPr>
            <w:tcW w:w="169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Gross Profit</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Profits earned could be correlated with Tenure</w:t>
            </w:r>
          </w:p>
        </w:tc>
      </w:tr>
      <w:tr w:rsidR="00E04A25">
        <w:trPr>
          <w:trHeight w:val="315"/>
        </w:trPr>
        <w:tc>
          <w:tcPr>
            <w:tcW w:w="169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Invoice Profit %</w:t>
            </w:r>
          </w:p>
        </w:tc>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Yes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jc w:val="center"/>
              <w:rPr>
                <w:rFonts w:ascii="Nunito" w:eastAsia="Nunito" w:hAnsi="Nunito" w:cs="Nunito"/>
                <w:sz w:val="16"/>
                <w:szCs w:val="16"/>
              </w:rPr>
            </w:pPr>
            <w:r>
              <w:rPr>
                <w:rFonts w:ascii="Nunito" w:eastAsia="Nunito" w:hAnsi="Nunito" w:cs="Nunito"/>
                <w:sz w:val="16"/>
                <w:szCs w:val="16"/>
              </w:rPr>
              <w:t>+</w:t>
            </w:r>
          </w:p>
        </w:tc>
        <w:tc>
          <w:tcPr>
            <w:tcW w:w="7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04A25" w:rsidRDefault="00C40F9D">
            <w:pPr>
              <w:widowControl w:val="0"/>
              <w:spacing w:before="0" w:line="276" w:lineRule="auto"/>
              <w:ind w:left="0"/>
              <w:rPr>
                <w:rFonts w:ascii="Nunito" w:eastAsia="Nunito" w:hAnsi="Nunito" w:cs="Nunito"/>
                <w:sz w:val="16"/>
                <w:szCs w:val="16"/>
              </w:rPr>
            </w:pPr>
            <w:r>
              <w:rPr>
                <w:rFonts w:ascii="Nunito" w:eastAsia="Nunito" w:hAnsi="Nunito" w:cs="Nunito"/>
                <w:sz w:val="16"/>
                <w:szCs w:val="16"/>
              </w:rPr>
              <w:t>% profit could be correlated with Tenure</w:t>
            </w:r>
          </w:p>
        </w:tc>
      </w:tr>
    </w:tbl>
    <w:p w:rsidR="00E04A25" w:rsidRDefault="00C40F9D">
      <w:pPr>
        <w:pStyle w:val="Heading1"/>
        <w:numPr>
          <w:ilvl w:val="0"/>
          <w:numId w:val="3"/>
        </w:numPr>
        <w:spacing w:line="240" w:lineRule="auto"/>
        <w:rPr>
          <w:rFonts w:ascii="Nunito" w:eastAsia="Nunito" w:hAnsi="Nunito" w:cs="Nunito"/>
          <w:sz w:val="20"/>
          <w:szCs w:val="20"/>
        </w:rPr>
      </w:pPr>
      <w:bookmarkStart w:id="17" w:name="_qpf1b565xo1t" w:colFirst="0" w:colLast="0"/>
      <w:bookmarkEnd w:id="17"/>
      <w:r>
        <w:rPr>
          <w:rFonts w:ascii="Nunito" w:eastAsia="Nunito" w:hAnsi="Nunito" w:cs="Nunito"/>
          <w:sz w:val="20"/>
          <w:szCs w:val="20"/>
        </w:rPr>
        <w:t>Exploratory Data Analysis &amp; Visualizations</w:t>
      </w:r>
    </w:p>
    <w:p w:rsidR="00E04A25" w:rsidRDefault="00C40F9D">
      <w:pPr>
        <w:pBdr>
          <w:top w:val="nil"/>
          <w:left w:val="nil"/>
          <w:bottom w:val="nil"/>
          <w:right w:val="nil"/>
          <w:between w:val="nil"/>
        </w:pBdr>
        <w:spacing w:line="240" w:lineRule="auto"/>
        <w:ind w:left="0"/>
        <w:jc w:val="center"/>
        <w:rPr>
          <w:rFonts w:ascii="Nunito" w:eastAsia="Nunito" w:hAnsi="Nunito" w:cs="Nunito"/>
          <w:sz w:val="20"/>
          <w:szCs w:val="20"/>
        </w:rPr>
      </w:pPr>
      <w:r>
        <w:rPr>
          <w:rFonts w:ascii="Nunito" w:eastAsia="Nunito" w:hAnsi="Nunito" w:cs="Nunito"/>
          <w:noProof/>
          <w:sz w:val="20"/>
          <w:szCs w:val="20"/>
        </w:rPr>
        <w:lastRenderedPageBreak/>
        <w:drawing>
          <wp:inline distT="114300" distB="114300" distL="114300" distR="114300">
            <wp:extent cx="3200400" cy="3200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00400" cy="3200400"/>
                    </a:xfrm>
                    <a:prstGeom prst="rect">
                      <a:avLst/>
                    </a:prstGeom>
                    <a:ln/>
                  </pic:spPr>
                </pic:pic>
              </a:graphicData>
            </a:graphic>
          </wp:inline>
        </w:drawing>
      </w:r>
      <w:r>
        <w:rPr>
          <w:rFonts w:ascii="Nunito" w:eastAsia="Nunito" w:hAnsi="Nunito" w:cs="Nunito"/>
          <w:noProof/>
          <w:sz w:val="20"/>
          <w:szCs w:val="20"/>
        </w:rPr>
        <w:drawing>
          <wp:inline distT="114300" distB="114300" distL="114300" distR="114300">
            <wp:extent cx="3200400" cy="3200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00400" cy="3200400"/>
                    </a:xfrm>
                    <a:prstGeom prst="rect">
                      <a:avLst/>
                    </a:prstGeom>
                    <a:ln/>
                  </pic:spPr>
                </pic:pic>
              </a:graphicData>
            </a:graphic>
          </wp:inline>
        </w:drawing>
      </w:r>
    </w:p>
    <w:p w:rsidR="00E04A25" w:rsidRDefault="00C40F9D">
      <w:pPr>
        <w:pBdr>
          <w:top w:val="nil"/>
          <w:left w:val="nil"/>
          <w:bottom w:val="nil"/>
          <w:right w:val="nil"/>
          <w:between w:val="nil"/>
        </w:pBdr>
        <w:spacing w:line="240" w:lineRule="auto"/>
        <w:ind w:left="0"/>
        <w:jc w:val="center"/>
        <w:rPr>
          <w:rFonts w:ascii="Nunito" w:eastAsia="Nunito" w:hAnsi="Nunito" w:cs="Nunito"/>
          <w:sz w:val="20"/>
          <w:szCs w:val="20"/>
        </w:rPr>
      </w:pPr>
      <w:r>
        <w:rPr>
          <w:rFonts w:ascii="Nunito" w:eastAsia="Nunito" w:hAnsi="Nunito" w:cs="Nunito"/>
          <w:noProof/>
          <w:sz w:val="20"/>
          <w:szCs w:val="20"/>
        </w:rPr>
        <w:drawing>
          <wp:inline distT="114300" distB="114300" distL="114300" distR="114300">
            <wp:extent cx="3200400" cy="3200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00400" cy="3200400"/>
                    </a:xfrm>
                    <a:prstGeom prst="rect">
                      <a:avLst/>
                    </a:prstGeom>
                    <a:ln/>
                  </pic:spPr>
                </pic:pic>
              </a:graphicData>
            </a:graphic>
          </wp:inline>
        </w:drawing>
      </w:r>
      <w:r>
        <w:rPr>
          <w:rFonts w:ascii="Nunito" w:eastAsia="Nunito" w:hAnsi="Nunito" w:cs="Nunito"/>
          <w:noProof/>
          <w:sz w:val="20"/>
          <w:szCs w:val="20"/>
        </w:rPr>
        <w:drawing>
          <wp:inline distT="114300" distB="114300" distL="114300" distR="114300">
            <wp:extent cx="3200400" cy="3200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00400" cy="3200400"/>
                    </a:xfrm>
                    <a:prstGeom prst="rect">
                      <a:avLst/>
                    </a:prstGeom>
                    <a:ln/>
                  </pic:spPr>
                </pic:pic>
              </a:graphicData>
            </a:graphic>
          </wp:inline>
        </w:drawing>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The histogram and density plot of the dependent variable Total Tenure show that the data is not normally distributed, but is much closer to a Poisson distribution in nature. This is to be expected, because the Total Tenure variable is essentially a count o</w:t>
      </w:r>
      <w:r>
        <w:rPr>
          <w:rFonts w:ascii="Nunito" w:eastAsia="Nunito" w:hAnsi="Nunito" w:cs="Nunito"/>
          <w:sz w:val="20"/>
          <w:szCs w:val="20"/>
        </w:rPr>
        <w:t>f the weeks a client has had a business relationship with ABCPEO, with a plurality of clients only engaging for a short time.</w:t>
      </w:r>
    </w:p>
    <w:p w:rsidR="00E04A25" w:rsidRDefault="00C40F9D">
      <w:pPr>
        <w:pBdr>
          <w:top w:val="nil"/>
          <w:left w:val="nil"/>
          <w:bottom w:val="nil"/>
          <w:right w:val="nil"/>
          <w:between w:val="nil"/>
        </w:pBdr>
        <w:spacing w:before="100" w:line="240" w:lineRule="auto"/>
        <w:ind w:left="0"/>
        <w:rPr>
          <w:rFonts w:ascii="Nunito" w:eastAsia="Nunito" w:hAnsi="Nunito" w:cs="Nunito"/>
          <w:sz w:val="20"/>
          <w:szCs w:val="20"/>
        </w:rPr>
      </w:pPr>
      <w:r>
        <w:rPr>
          <w:rFonts w:ascii="Nunito" w:eastAsia="Nunito" w:hAnsi="Nunito" w:cs="Nunito"/>
          <w:sz w:val="20"/>
          <w:szCs w:val="20"/>
        </w:rPr>
        <w:t>The box and whisker plots show the relationship between Total Tenure, and Status and Payment Type respectively. The Status plot sh</w:t>
      </w:r>
      <w:r>
        <w:rPr>
          <w:rFonts w:ascii="Nunito" w:eastAsia="Nunito" w:hAnsi="Nunito" w:cs="Nunito"/>
          <w:sz w:val="20"/>
          <w:szCs w:val="20"/>
        </w:rPr>
        <w:t>ows that Active (A) clients have distinctly longer tenures, which is not surprising as active clients will still be increasing their tenure on a weekly basis. The Payment Type plot is more interesting in that it shows that there is a clear correlation betw</w:t>
      </w:r>
      <w:r>
        <w:rPr>
          <w:rFonts w:ascii="Nunito" w:eastAsia="Nunito" w:hAnsi="Nunito" w:cs="Nunito"/>
          <w:sz w:val="20"/>
          <w:szCs w:val="20"/>
        </w:rPr>
        <w:t>een how a client chooses to pay and how long they remain a client. Those who pay by check tend to hire ABCPEO for about twice as long as clients who use other methods, while those using Certified Funds represent the lowest.</w:t>
      </w:r>
    </w:p>
    <w:p w:rsidR="00E04A25" w:rsidRDefault="00C40F9D">
      <w:pPr>
        <w:pBdr>
          <w:top w:val="nil"/>
          <w:left w:val="nil"/>
          <w:bottom w:val="nil"/>
          <w:right w:val="nil"/>
          <w:between w:val="nil"/>
        </w:pBdr>
        <w:spacing w:line="240" w:lineRule="auto"/>
        <w:ind w:left="0"/>
        <w:jc w:val="center"/>
        <w:rPr>
          <w:rFonts w:ascii="Nunito" w:eastAsia="Nunito" w:hAnsi="Nunito" w:cs="Nunito"/>
          <w:b/>
          <w:sz w:val="20"/>
          <w:szCs w:val="20"/>
        </w:rPr>
      </w:pPr>
      <w:r>
        <w:rPr>
          <w:rFonts w:ascii="Nunito" w:eastAsia="Nunito" w:hAnsi="Nunito" w:cs="Nunito"/>
          <w:b/>
          <w:noProof/>
          <w:sz w:val="20"/>
          <w:szCs w:val="20"/>
        </w:rPr>
        <w:lastRenderedPageBreak/>
        <w:drawing>
          <wp:inline distT="114300" distB="114300" distL="114300" distR="114300">
            <wp:extent cx="6138863" cy="7351477"/>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38863" cy="7351477"/>
                    </a:xfrm>
                    <a:prstGeom prst="rect">
                      <a:avLst/>
                    </a:prstGeom>
                    <a:ln/>
                  </pic:spPr>
                </pic:pic>
              </a:graphicData>
            </a:graphic>
          </wp:inline>
        </w:drawing>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This box and whisker plot show</w:t>
      </w:r>
      <w:r>
        <w:rPr>
          <w:rFonts w:ascii="Nunito" w:eastAsia="Nunito" w:hAnsi="Nunito" w:cs="Nunito"/>
          <w:sz w:val="20"/>
          <w:szCs w:val="20"/>
        </w:rPr>
        <w:t>s the total tenure by client industry, ordered by median tenure from longest to shortest. The size of the boxes indicate that many of the industries represent only one or a few clients, however it is apparent that industry does have a correlation with tenu</w:t>
      </w:r>
      <w:r>
        <w:rPr>
          <w:rFonts w:ascii="Nunito" w:eastAsia="Nunito" w:hAnsi="Nunito" w:cs="Nunito"/>
          <w:sz w:val="20"/>
          <w:szCs w:val="20"/>
        </w:rPr>
        <w:t>re that is worth investigating. Industries such as Trucking and Building Operations tend to have high tenures of 400 weeks and more. In contrast Swimming Pool Installers and Masonry clients typically have under 200 weeks.</w:t>
      </w:r>
    </w:p>
    <w:p w:rsidR="00E04A25" w:rsidRDefault="00C40F9D">
      <w:pPr>
        <w:pBdr>
          <w:top w:val="nil"/>
          <w:left w:val="nil"/>
          <w:bottom w:val="nil"/>
          <w:right w:val="nil"/>
          <w:between w:val="nil"/>
        </w:pBdr>
        <w:spacing w:line="240" w:lineRule="auto"/>
        <w:ind w:left="0"/>
        <w:jc w:val="center"/>
        <w:rPr>
          <w:rFonts w:ascii="Nunito" w:eastAsia="Nunito" w:hAnsi="Nunito" w:cs="Nunito"/>
          <w:b/>
          <w:sz w:val="20"/>
          <w:szCs w:val="20"/>
        </w:rPr>
      </w:pPr>
      <w:r>
        <w:rPr>
          <w:rFonts w:ascii="Nunito" w:eastAsia="Nunito" w:hAnsi="Nunito" w:cs="Nunito"/>
          <w:b/>
          <w:sz w:val="20"/>
          <w:szCs w:val="20"/>
        </w:rPr>
        <w:lastRenderedPageBreak/>
        <w:t>Correlation Plot of Numeric Variab</w:t>
      </w:r>
      <w:r>
        <w:rPr>
          <w:rFonts w:ascii="Nunito" w:eastAsia="Nunito" w:hAnsi="Nunito" w:cs="Nunito"/>
          <w:b/>
          <w:sz w:val="20"/>
          <w:szCs w:val="20"/>
        </w:rPr>
        <w:t>les</w:t>
      </w:r>
    </w:p>
    <w:p w:rsidR="00E04A25" w:rsidRDefault="00C40F9D">
      <w:pPr>
        <w:pBdr>
          <w:top w:val="nil"/>
          <w:left w:val="nil"/>
          <w:bottom w:val="nil"/>
          <w:right w:val="nil"/>
          <w:between w:val="nil"/>
        </w:pBdr>
        <w:spacing w:line="240" w:lineRule="auto"/>
        <w:ind w:left="0"/>
        <w:jc w:val="center"/>
        <w:rPr>
          <w:rFonts w:ascii="Nunito" w:eastAsia="Nunito" w:hAnsi="Nunito" w:cs="Nunito"/>
          <w:sz w:val="20"/>
          <w:szCs w:val="20"/>
        </w:rPr>
      </w:pPr>
      <w:r>
        <w:rPr>
          <w:noProof/>
        </w:rPr>
        <w:drawing>
          <wp:anchor distT="114300" distB="114300" distL="114300" distR="114300" simplePos="0" relativeHeight="251658240" behindDoc="0" locked="0" layoutInCell="1" hidden="0" allowOverlap="1">
            <wp:simplePos x="0" y="0"/>
            <wp:positionH relativeFrom="column">
              <wp:posOffset>-76199</wp:posOffset>
            </wp:positionH>
            <wp:positionV relativeFrom="paragraph">
              <wp:posOffset>142875</wp:posOffset>
            </wp:positionV>
            <wp:extent cx="4052888" cy="3820186"/>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5865" b="11090"/>
                    <a:stretch>
                      <a:fillRect/>
                    </a:stretch>
                  </pic:blipFill>
                  <pic:spPr>
                    <a:xfrm>
                      <a:off x="0" y="0"/>
                      <a:ext cx="4052888" cy="3820186"/>
                    </a:xfrm>
                    <a:prstGeom prst="rect">
                      <a:avLst/>
                    </a:prstGeom>
                    <a:ln/>
                  </pic:spPr>
                </pic:pic>
              </a:graphicData>
            </a:graphic>
          </wp:anchor>
        </w:drawing>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Due to the large number of profit-related variables, and the inherent relationship between man-hours, profit, and revenue, it is important to check the correlation between these numeric variables to avoid potential multicollinearity that might skew t</w:t>
      </w:r>
      <w:r>
        <w:rPr>
          <w:rFonts w:ascii="Nunito" w:eastAsia="Nunito" w:hAnsi="Nunito" w:cs="Nunito"/>
          <w:sz w:val="20"/>
          <w:szCs w:val="20"/>
        </w:rPr>
        <w:t>he model outputs.</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Here we can see very high correlation between several pairs of variables. Over 15 pairings among the 10 variables have greater than a 75% correlation, with examples like Net Admin | Gross Profit and Hours | Total Revenue having nearly a 1</w:t>
      </w:r>
      <w:r>
        <w:rPr>
          <w:rFonts w:ascii="Nunito" w:eastAsia="Nunito" w:hAnsi="Nunito" w:cs="Nunito"/>
          <w:sz w:val="20"/>
          <w:szCs w:val="20"/>
        </w:rPr>
        <w:t>00% correlation.</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The upshot of this situation is that only one variable of any given pair with high correlation can be included in a model definition, otherwise multicollinearity becomes an issue.</w:t>
      </w:r>
    </w:p>
    <w:p w:rsidR="00E04A25" w:rsidRDefault="00E04A25">
      <w:pPr>
        <w:pBdr>
          <w:top w:val="nil"/>
          <w:left w:val="nil"/>
          <w:bottom w:val="nil"/>
          <w:right w:val="nil"/>
          <w:between w:val="nil"/>
        </w:pBdr>
        <w:spacing w:line="240" w:lineRule="auto"/>
        <w:ind w:left="0"/>
        <w:rPr>
          <w:rFonts w:ascii="Nunito" w:eastAsia="Nunito" w:hAnsi="Nunito" w:cs="Nunito"/>
          <w:sz w:val="20"/>
          <w:szCs w:val="20"/>
        </w:rPr>
      </w:pPr>
    </w:p>
    <w:p w:rsidR="00E04A25" w:rsidRDefault="00E04A25">
      <w:pPr>
        <w:pBdr>
          <w:top w:val="nil"/>
          <w:left w:val="nil"/>
          <w:bottom w:val="nil"/>
          <w:right w:val="nil"/>
          <w:between w:val="nil"/>
        </w:pBdr>
        <w:spacing w:line="240" w:lineRule="auto"/>
        <w:ind w:left="0"/>
        <w:rPr>
          <w:rFonts w:ascii="Nunito" w:eastAsia="Nunito" w:hAnsi="Nunito" w:cs="Nunito"/>
          <w:sz w:val="20"/>
          <w:szCs w:val="20"/>
        </w:rPr>
      </w:pPr>
    </w:p>
    <w:p w:rsidR="00E04A25" w:rsidRDefault="00E04A25">
      <w:pPr>
        <w:pBdr>
          <w:top w:val="nil"/>
          <w:left w:val="nil"/>
          <w:bottom w:val="nil"/>
          <w:right w:val="nil"/>
          <w:between w:val="nil"/>
        </w:pBdr>
        <w:spacing w:line="240" w:lineRule="auto"/>
        <w:ind w:left="0"/>
        <w:rPr>
          <w:rFonts w:ascii="Nunito" w:eastAsia="Nunito" w:hAnsi="Nunito" w:cs="Nunito"/>
          <w:sz w:val="20"/>
          <w:szCs w:val="20"/>
        </w:rPr>
      </w:pPr>
    </w:p>
    <w:p w:rsidR="00E04A25" w:rsidRDefault="00E04A25">
      <w:pPr>
        <w:pBdr>
          <w:top w:val="nil"/>
          <w:left w:val="nil"/>
          <w:bottom w:val="nil"/>
          <w:right w:val="nil"/>
          <w:between w:val="nil"/>
        </w:pBdr>
        <w:spacing w:line="240" w:lineRule="auto"/>
        <w:ind w:left="0"/>
        <w:rPr>
          <w:rFonts w:ascii="Nunito" w:eastAsia="Nunito" w:hAnsi="Nunito" w:cs="Nunito"/>
          <w:sz w:val="20"/>
          <w:szCs w:val="20"/>
        </w:rPr>
      </w:pPr>
    </w:p>
    <w:p w:rsidR="00E04A25" w:rsidRDefault="00C40F9D">
      <w:pPr>
        <w:pStyle w:val="Heading1"/>
        <w:numPr>
          <w:ilvl w:val="0"/>
          <w:numId w:val="3"/>
        </w:numPr>
        <w:spacing w:before="0" w:line="240" w:lineRule="auto"/>
        <w:rPr>
          <w:rFonts w:ascii="Nunito" w:eastAsia="Nunito" w:hAnsi="Nunito" w:cs="Nunito"/>
          <w:sz w:val="20"/>
          <w:szCs w:val="20"/>
        </w:rPr>
      </w:pPr>
      <w:bookmarkStart w:id="18" w:name="_yoc02vngqceu" w:colFirst="0" w:colLast="0"/>
      <w:bookmarkEnd w:id="18"/>
      <w:r>
        <w:rPr>
          <w:rFonts w:ascii="Nunito" w:eastAsia="Nunito" w:hAnsi="Nunito" w:cs="Nunito"/>
          <w:sz w:val="20"/>
          <w:szCs w:val="20"/>
        </w:rPr>
        <w:t>Models</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Three types of models were performed in the analysis: Poisson, Quasi-Poisson and Negative Binomial. Upon an initial comparison of one model from each of these categories, it was apparent that a negative binomial model performed the best with this data. Fro</w:t>
      </w:r>
      <w:r>
        <w:rPr>
          <w:rFonts w:ascii="Nunito" w:eastAsia="Nunito" w:hAnsi="Nunito" w:cs="Nunito"/>
          <w:sz w:val="20"/>
          <w:szCs w:val="20"/>
        </w:rPr>
        <w:t>m here, a trial and error comparison of features resulted in four negative binomial models with similar performance.</w:t>
      </w:r>
    </w:p>
    <w:p w:rsidR="00E04A25" w:rsidRDefault="00C40F9D">
      <w:pPr>
        <w:pBdr>
          <w:top w:val="nil"/>
          <w:left w:val="nil"/>
          <w:bottom w:val="nil"/>
          <w:right w:val="nil"/>
          <w:between w:val="nil"/>
        </w:pBdr>
        <w:spacing w:line="240" w:lineRule="auto"/>
        <w:ind w:left="0"/>
        <w:rPr>
          <w:rFonts w:ascii="Consolas" w:eastAsia="Consolas" w:hAnsi="Consolas" w:cs="Consolas"/>
          <w:sz w:val="20"/>
          <w:szCs w:val="20"/>
        </w:rPr>
      </w:pPr>
      <w:r>
        <w:rPr>
          <w:rFonts w:ascii="Consolas" w:eastAsia="Consolas" w:hAnsi="Consolas" w:cs="Consolas"/>
          <w:sz w:val="20"/>
          <w:szCs w:val="20"/>
        </w:rPr>
        <w:t>Negative Binomial 1: total.tenure ~ industry + city + status + wc.carrier + sum.of.gross.profit</w:t>
      </w:r>
    </w:p>
    <w:p w:rsidR="00E04A25" w:rsidRDefault="00C40F9D">
      <w:pPr>
        <w:pBdr>
          <w:top w:val="nil"/>
          <w:left w:val="nil"/>
          <w:bottom w:val="nil"/>
          <w:right w:val="nil"/>
          <w:between w:val="nil"/>
        </w:pBdr>
        <w:spacing w:line="240" w:lineRule="auto"/>
        <w:ind w:left="0"/>
        <w:rPr>
          <w:rFonts w:ascii="Consolas" w:eastAsia="Consolas" w:hAnsi="Consolas" w:cs="Consolas"/>
          <w:sz w:val="20"/>
          <w:szCs w:val="20"/>
        </w:rPr>
      </w:pPr>
      <w:r>
        <w:rPr>
          <w:rFonts w:ascii="Consolas" w:eastAsia="Consolas" w:hAnsi="Consolas" w:cs="Consolas"/>
          <w:sz w:val="20"/>
          <w:szCs w:val="20"/>
        </w:rPr>
        <w:t>Negative Binomial 2: total.tenure ~ industr</w:t>
      </w:r>
      <w:r>
        <w:rPr>
          <w:rFonts w:ascii="Consolas" w:eastAsia="Consolas" w:hAnsi="Consolas" w:cs="Consolas"/>
          <w:sz w:val="20"/>
          <w:szCs w:val="20"/>
        </w:rPr>
        <w:t>y + city + status + wc.carrier + sum.of.hours</w:t>
      </w:r>
    </w:p>
    <w:p w:rsidR="00E04A25" w:rsidRDefault="00C40F9D">
      <w:pPr>
        <w:pBdr>
          <w:top w:val="nil"/>
          <w:left w:val="nil"/>
          <w:bottom w:val="nil"/>
          <w:right w:val="nil"/>
          <w:between w:val="nil"/>
        </w:pBdr>
        <w:spacing w:line="240" w:lineRule="auto"/>
        <w:ind w:left="0"/>
        <w:rPr>
          <w:rFonts w:ascii="Consolas" w:eastAsia="Consolas" w:hAnsi="Consolas" w:cs="Consolas"/>
          <w:sz w:val="20"/>
          <w:szCs w:val="20"/>
        </w:rPr>
      </w:pPr>
      <w:r>
        <w:rPr>
          <w:rFonts w:ascii="Consolas" w:eastAsia="Consolas" w:hAnsi="Consolas" w:cs="Consolas"/>
          <w:sz w:val="20"/>
          <w:szCs w:val="20"/>
        </w:rPr>
        <w:t>Negative Binomial 3: total.tenure ~ industry + city + status + wc.carrier + average.of.employees</w:t>
      </w:r>
    </w:p>
    <w:p w:rsidR="00E04A25" w:rsidRDefault="00C40F9D">
      <w:pPr>
        <w:spacing w:line="240" w:lineRule="auto"/>
        <w:ind w:left="0"/>
        <w:rPr>
          <w:rFonts w:ascii="Consolas" w:eastAsia="Consolas" w:hAnsi="Consolas" w:cs="Consolas"/>
          <w:sz w:val="20"/>
          <w:szCs w:val="20"/>
        </w:rPr>
      </w:pPr>
      <w:r>
        <w:rPr>
          <w:rFonts w:ascii="Consolas" w:eastAsia="Consolas" w:hAnsi="Consolas" w:cs="Consolas"/>
          <w:sz w:val="20"/>
          <w:szCs w:val="20"/>
        </w:rPr>
        <w:t>Negative Binomial 4: total.tenure ~ industry + city + status + wc.carrier + sum.of.total.rev</w:t>
      </w:r>
    </w:p>
    <w:p w:rsidR="00E04A25" w:rsidRDefault="00C40F9D">
      <w:pPr>
        <w:pBdr>
          <w:top w:val="nil"/>
          <w:left w:val="nil"/>
          <w:bottom w:val="nil"/>
          <w:right w:val="nil"/>
          <w:between w:val="nil"/>
        </w:pBdr>
        <w:spacing w:line="240" w:lineRule="auto"/>
        <w:ind w:left="0"/>
        <w:rPr>
          <w:rFonts w:ascii="Nunito" w:eastAsia="Nunito" w:hAnsi="Nunito" w:cs="Nunito"/>
          <w:i/>
          <w:sz w:val="20"/>
          <w:szCs w:val="20"/>
        </w:rPr>
      </w:pPr>
      <w:r>
        <w:rPr>
          <w:rFonts w:ascii="Nunito" w:eastAsia="Nunito" w:hAnsi="Nunito" w:cs="Nunito"/>
          <w:sz w:val="20"/>
          <w:szCs w:val="20"/>
        </w:rPr>
        <w:t>The core features of each model are the factors: industry, city, status, and wc.carrier. As mentioned with the corrplot above, we can only reliably select one of the numeric variables related to profit/revenue/employees/hours. Therefore, each model include</w:t>
      </w:r>
      <w:r>
        <w:rPr>
          <w:rFonts w:ascii="Nunito" w:eastAsia="Nunito" w:hAnsi="Nunito" w:cs="Nunito"/>
          <w:sz w:val="20"/>
          <w:szCs w:val="20"/>
        </w:rPr>
        <w:t>s a different variable to determine which has the most predictive power.</w:t>
      </w:r>
      <w:r>
        <w:rPr>
          <w:rFonts w:ascii="Nunito" w:eastAsia="Nunito" w:hAnsi="Nunito" w:cs="Nunito"/>
          <w:sz w:val="20"/>
          <w:szCs w:val="20"/>
        </w:rPr>
        <w:br/>
      </w:r>
      <w:r>
        <w:rPr>
          <w:rFonts w:ascii="Nunito" w:eastAsia="Nunito" w:hAnsi="Nunito" w:cs="Nunito"/>
          <w:i/>
          <w:sz w:val="20"/>
          <w:szCs w:val="20"/>
        </w:rPr>
        <w:t>Predictors have been excluded from the output below for the sake of brevity, the full model output is available in the Appendix.</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w:t>
      </w:r>
      <w:r>
        <w:rPr>
          <w:rFonts w:ascii="Consolas" w:eastAsia="Consolas" w:hAnsi="Consolas" w:cs="Consolas"/>
          <w:sz w:val="16"/>
          <w:szCs w:val="16"/>
        </w:rPr>
        <w:t>====================================================================</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 xml:space="preserve">                               </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 xml:space="preserve">                                                   Model 1               Model 2            Model 3            Model 4         </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w:t>
      </w:r>
      <w:r>
        <w:rPr>
          <w:rFonts w:ascii="Consolas" w:eastAsia="Consolas" w:hAnsi="Consolas" w:cs="Consolas"/>
          <w:sz w:val="16"/>
          <w:szCs w:val="16"/>
        </w:rPr>
        <w:t>-----------------------------------------------------------------------------------------------</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 xml:space="preserve">Observations                                         231                  231                 231                231         </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 xml:space="preserve">Log Likelihood                    </w:t>
      </w:r>
      <w:r>
        <w:rPr>
          <w:rFonts w:ascii="Consolas" w:eastAsia="Consolas" w:hAnsi="Consolas" w:cs="Consolas"/>
          <w:sz w:val="16"/>
          <w:szCs w:val="16"/>
        </w:rPr>
        <w:t xml:space="preserve">               -1,280.228            -1,285.564         -1,286.341          -1,285.383     </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 xml:space="preserve">theta                                         2.252*** (0.209)      2.152*** (0.199)   2.137*** (0.197)    2.156***(0.199)  </w:t>
      </w:r>
    </w:p>
    <w:p w:rsidR="00E04A25" w:rsidRDefault="00C40F9D">
      <w:pPr>
        <w:pBdr>
          <w:top w:val="nil"/>
          <w:left w:val="nil"/>
          <w:bottom w:val="nil"/>
          <w:right w:val="nil"/>
          <w:between w:val="nil"/>
        </w:pBdr>
        <w:spacing w:before="0" w:line="240" w:lineRule="auto"/>
        <w:ind w:left="0"/>
        <w:rPr>
          <w:rFonts w:ascii="Consolas" w:eastAsia="Consolas" w:hAnsi="Consolas" w:cs="Consolas"/>
          <w:sz w:val="16"/>
          <w:szCs w:val="16"/>
        </w:rPr>
      </w:pPr>
      <w:r>
        <w:rPr>
          <w:rFonts w:ascii="Consolas" w:eastAsia="Consolas" w:hAnsi="Consolas" w:cs="Consolas"/>
          <w:sz w:val="16"/>
          <w:szCs w:val="16"/>
        </w:rPr>
        <w:t>Akaike Inf</w:t>
      </w:r>
      <w:r>
        <w:rPr>
          <w:rFonts w:ascii="Consolas" w:eastAsia="Consolas" w:hAnsi="Consolas" w:cs="Consolas"/>
          <w:sz w:val="16"/>
          <w:szCs w:val="16"/>
        </w:rPr>
        <w:t xml:space="preserve">. Crit.                                 2,842.455            2,853.129           2,854.682          2,852.765      </w:t>
      </w:r>
    </w:p>
    <w:p w:rsidR="00E04A25" w:rsidRDefault="00C40F9D">
      <w:pPr>
        <w:pBdr>
          <w:top w:val="nil"/>
          <w:left w:val="nil"/>
          <w:bottom w:val="nil"/>
          <w:right w:val="nil"/>
          <w:between w:val="nil"/>
        </w:pBdr>
        <w:spacing w:before="0" w:line="240" w:lineRule="auto"/>
        <w:ind w:left="0"/>
        <w:rPr>
          <w:rFonts w:ascii="Nunito" w:eastAsia="Nunito" w:hAnsi="Nunito" w:cs="Nunito"/>
          <w:sz w:val="20"/>
          <w:szCs w:val="20"/>
        </w:rPr>
      </w:pPr>
      <w:r>
        <w:rPr>
          <w:rFonts w:ascii="Consolas" w:eastAsia="Consolas" w:hAnsi="Consolas" w:cs="Consolas"/>
          <w:sz w:val="16"/>
          <w:szCs w:val="16"/>
        </w:rPr>
        <w:t>==========================================================================================================================</w:t>
      </w:r>
    </w:p>
    <w:p w:rsidR="00E04A25" w:rsidRDefault="00E04A25">
      <w:pPr>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pBdr>
          <w:top w:val="nil"/>
          <w:left w:val="nil"/>
          <w:bottom w:val="nil"/>
          <w:right w:val="nil"/>
          <w:between w:val="nil"/>
        </w:pBdr>
        <w:spacing w:before="0" w:after="200" w:line="240" w:lineRule="auto"/>
        <w:ind w:left="0"/>
        <w:rPr>
          <w:rFonts w:ascii="Nunito" w:eastAsia="Nunito" w:hAnsi="Nunito" w:cs="Nunito"/>
          <w:sz w:val="20"/>
          <w:szCs w:val="20"/>
        </w:rPr>
      </w:pPr>
      <w:r>
        <w:rPr>
          <w:rFonts w:ascii="Nunito" w:eastAsia="Nunito" w:hAnsi="Nunito" w:cs="Nunito"/>
          <w:sz w:val="20"/>
          <w:szCs w:val="20"/>
        </w:rPr>
        <w:t>Each of the fact</w:t>
      </w:r>
      <w:r>
        <w:rPr>
          <w:rFonts w:ascii="Nunito" w:eastAsia="Nunito" w:hAnsi="Nunito" w:cs="Nunito"/>
          <w:sz w:val="20"/>
          <w:szCs w:val="20"/>
        </w:rPr>
        <w:t>or predictors is significant in each model. Looking at the AIC metric, models 2 through 4 are all within a couple points of each other. In contrast, the AIC of model 1 is 10 points below the next closest model, indicating that the inclusion of “sum of gros</w:t>
      </w:r>
      <w:r>
        <w:rPr>
          <w:rFonts w:ascii="Nunito" w:eastAsia="Nunito" w:hAnsi="Nunito" w:cs="Nunito"/>
          <w:sz w:val="20"/>
          <w:szCs w:val="20"/>
        </w:rPr>
        <w:t>s profit” yields the model with the lowest prediction error.</w:t>
      </w:r>
      <w:r>
        <w:rPr>
          <w:noProof/>
        </w:rPr>
        <w:drawing>
          <wp:anchor distT="114300" distB="114300" distL="114300" distR="114300" simplePos="0" relativeHeight="251659264" behindDoc="0" locked="0" layoutInCell="1" hidden="0" allowOverlap="1">
            <wp:simplePos x="0" y="0"/>
            <wp:positionH relativeFrom="column">
              <wp:posOffset>4714875</wp:posOffset>
            </wp:positionH>
            <wp:positionV relativeFrom="paragraph">
              <wp:posOffset>666750</wp:posOffset>
            </wp:positionV>
            <wp:extent cx="2138363" cy="2801723"/>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138363" cy="2801723"/>
                    </a:xfrm>
                    <a:prstGeom prst="rect">
                      <a:avLst/>
                    </a:prstGeom>
                    <a:ln/>
                  </pic:spPr>
                </pic:pic>
              </a:graphicData>
            </a:graphic>
          </wp:anchor>
        </w:drawing>
      </w:r>
    </w:p>
    <w:p w:rsidR="00E04A25" w:rsidRDefault="00C40F9D">
      <w:pPr>
        <w:pStyle w:val="Heading1"/>
        <w:numPr>
          <w:ilvl w:val="0"/>
          <w:numId w:val="3"/>
        </w:numPr>
        <w:spacing w:line="240" w:lineRule="auto"/>
        <w:rPr>
          <w:rFonts w:ascii="Nunito" w:eastAsia="Nunito" w:hAnsi="Nunito" w:cs="Nunito"/>
          <w:sz w:val="20"/>
          <w:szCs w:val="20"/>
        </w:rPr>
      </w:pPr>
      <w:bookmarkStart w:id="19" w:name="_o67grslgp4ej" w:colFirst="0" w:colLast="0"/>
      <w:bookmarkEnd w:id="19"/>
      <w:r>
        <w:rPr>
          <w:rFonts w:ascii="Nunito" w:eastAsia="Nunito" w:hAnsi="Nunito" w:cs="Nunito"/>
          <w:sz w:val="20"/>
          <w:szCs w:val="20"/>
        </w:rPr>
        <w:t>Quality Checks</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Although the dependent variable, Total Tenure, largely resembles a Poisson distribution, an important characteristic to investigate when using a Poisson regression is overdispersi</w:t>
      </w:r>
      <w:r>
        <w:rPr>
          <w:rFonts w:ascii="Nunito" w:eastAsia="Nunito" w:hAnsi="Nunito" w:cs="Nunito"/>
          <w:sz w:val="20"/>
          <w:szCs w:val="20"/>
        </w:rPr>
        <w:t>on.</w:t>
      </w:r>
    </w:p>
    <w:p w:rsidR="00E04A25" w:rsidRDefault="00C40F9D">
      <w:pPr>
        <w:pBdr>
          <w:top w:val="nil"/>
          <w:left w:val="nil"/>
          <w:bottom w:val="nil"/>
          <w:right w:val="nil"/>
          <w:between w:val="nil"/>
        </w:pBdr>
        <w:spacing w:before="0" w:line="240" w:lineRule="auto"/>
        <w:ind w:left="0"/>
        <w:rPr>
          <w:rFonts w:ascii="Consolas" w:eastAsia="Consolas" w:hAnsi="Consolas" w:cs="Consolas"/>
          <w:sz w:val="20"/>
          <w:szCs w:val="20"/>
        </w:rPr>
      </w:pPr>
      <w:r>
        <w:rPr>
          <w:rFonts w:ascii="Consolas" w:eastAsia="Consolas" w:hAnsi="Consolas" w:cs="Consolas"/>
          <w:sz w:val="20"/>
          <w:szCs w:val="20"/>
        </w:rPr>
        <w:t>Overdispersion test</w:t>
      </w:r>
    </w:p>
    <w:p w:rsidR="00E04A25" w:rsidRDefault="00C40F9D">
      <w:pPr>
        <w:pBdr>
          <w:top w:val="nil"/>
          <w:left w:val="nil"/>
          <w:bottom w:val="nil"/>
          <w:right w:val="nil"/>
          <w:between w:val="nil"/>
        </w:pBdr>
        <w:spacing w:before="0" w:line="240" w:lineRule="auto"/>
        <w:ind w:left="0"/>
        <w:rPr>
          <w:rFonts w:ascii="Consolas" w:eastAsia="Consolas" w:hAnsi="Consolas" w:cs="Consolas"/>
          <w:sz w:val="20"/>
          <w:szCs w:val="20"/>
        </w:rPr>
      </w:pPr>
      <w:r>
        <w:rPr>
          <w:rFonts w:ascii="Consolas" w:eastAsia="Consolas" w:hAnsi="Consolas" w:cs="Consolas"/>
          <w:sz w:val="20"/>
          <w:szCs w:val="20"/>
        </w:rPr>
        <w:t xml:space="preserve">dispersion: 47.86752 </w:t>
      </w:r>
    </w:p>
    <w:p w:rsidR="00E04A25" w:rsidRDefault="00C40F9D">
      <w:pPr>
        <w:pBdr>
          <w:top w:val="nil"/>
          <w:left w:val="nil"/>
          <w:bottom w:val="nil"/>
          <w:right w:val="nil"/>
          <w:between w:val="nil"/>
        </w:pBdr>
        <w:spacing w:before="100" w:line="240" w:lineRule="auto"/>
        <w:ind w:left="0"/>
        <w:rPr>
          <w:rFonts w:ascii="Nunito" w:eastAsia="Nunito" w:hAnsi="Nunito" w:cs="Nunito"/>
          <w:sz w:val="20"/>
          <w:szCs w:val="20"/>
        </w:rPr>
      </w:pPr>
      <w:r>
        <w:rPr>
          <w:rFonts w:ascii="Nunito" w:eastAsia="Nunito" w:hAnsi="Nunito" w:cs="Nunito"/>
          <w:sz w:val="20"/>
          <w:szCs w:val="20"/>
        </w:rPr>
        <w:t>In this test, a dispersion greater than 1 is an indicator of overdispersion, so a dispersion of 47.87 means that our data is clearly overdispersed. This can be confirmed visually by the plot to the right; the plotted residuals should ideally adhere closely</w:t>
      </w:r>
      <w:r>
        <w:rPr>
          <w:rFonts w:ascii="Nunito" w:eastAsia="Nunito" w:hAnsi="Nunito" w:cs="Nunito"/>
          <w:sz w:val="20"/>
          <w:szCs w:val="20"/>
        </w:rPr>
        <w:t xml:space="preserve"> to the red diagonal line of the simulated distribution.</w:t>
      </w:r>
    </w:p>
    <w:p w:rsidR="00E04A25" w:rsidRDefault="00C40F9D">
      <w:pPr>
        <w:pBdr>
          <w:top w:val="nil"/>
          <w:left w:val="nil"/>
          <w:bottom w:val="nil"/>
          <w:right w:val="nil"/>
          <w:between w:val="nil"/>
        </w:pBdr>
        <w:spacing w:before="100" w:line="240" w:lineRule="auto"/>
        <w:ind w:left="0"/>
        <w:rPr>
          <w:rFonts w:ascii="Nunito" w:eastAsia="Nunito" w:hAnsi="Nunito" w:cs="Nunito"/>
          <w:sz w:val="20"/>
          <w:szCs w:val="20"/>
        </w:rPr>
      </w:pPr>
      <w:r>
        <w:rPr>
          <w:rFonts w:ascii="Nunito" w:eastAsia="Nunito" w:hAnsi="Nunito" w:cs="Nunito"/>
          <w:sz w:val="20"/>
          <w:szCs w:val="20"/>
        </w:rPr>
        <w:t>The level of overdispersion indicates that a negative binomial regression is probably the better choice for this situation.</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Another issue that count-based datasets often run into the excess-zero prob</w:t>
      </w:r>
      <w:r>
        <w:rPr>
          <w:rFonts w:ascii="Nunito" w:eastAsia="Nunito" w:hAnsi="Nunito" w:cs="Nunito"/>
          <w:sz w:val="20"/>
          <w:szCs w:val="20"/>
        </w:rPr>
        <w:t xml:space="preserve">lem. This could be an issue with ABCPEO if they have recently hired many clients who have not yet billed any work. However, a review of the dataset shows that of the 243 clients only two have zero weeks of Tenure, so hurdle or zero-inflated models are not </w:t>
      </w:r>
      <w:r>
        <w:rPr>
          <w:rFonts w:ascii="Nunito" w:eastAsia="Nunito" w:hAnsi="Nunito" w:cs="Nunito"/>
          <w:sz w:val="20"/>
          <w:szCs w:val="20"/>
        </w:rPr>
        <w:t>necessary.</w:t>
      </w:r>
    </w:p>
    <w:p w:rsidR="00E04A25" w:rsidRDefault="00C40F9D">
      <w:pPr>
        <w:pStyle w:val="Heading1"/>
        <w:numPr>
          <w:ilvl w:val="0"/>
          <w:numId w:val="3"/>
        </w:numPr>
        <w:spacing w:after="200" w:line="240" w:lineRule="auto"/>
        <w:rPr>
          <w:rFonts w:ascii="Nunito" w:eastAsia="Nunito" w:hAnsi="Nunito" w:cs="Nunito"/>
          <w:sz w:val="20"/>
          <w:szCs w:val="20"/>
        </w:rPr>
      </w:pPr>
      <w:bookmarkStart w:id="20" w:name="_skluctntnb28" w:colFirst="0" w:colLast="0"/>
      <w:bookmarkEnd w:id="20"/>
      <w:r>
        <w:rPr>
          <w:rFonts w:ascii="Nunito" w:eastAsia="Nunito" w:hAnsi="Nunito" w:cs="Nunito"/>
          <w:sz w:val="20"/>
          <w:szCs w:val="20"/>
        </w:rPr>
        <w:t>Insights &amp; Recommendations</w:t>
      </w:r>
    </w:p>
    <w:p w:rsidR="00E04A25" w:rsidRDefault="00C40F9D">
      <w:pPr>
        <w:spacing w:before="0" w:after="200" w:line="240" w:lineRule="auto"/>
        <w:ind w:left="0"/>
        <w:rPr>
          <w:rFonts w:ascii="Nunito" w:eastAsia="Nunito" w:hAnsi="Nunito" w:cs="Nunito"/>
          <w:sz w:val="20"/>
          <w:szCs w:val="20"/>
        </w:rPr>
      </w:pPr>
      <w:r>
        <w:rPr>
          <w:rFonts w:ascii="Nunito" w:eastAsia="Nunito" w:hAnsi="Nunito" w:cs="Nunito"/>
          <w:sz w:val="20"/>
          <w:szCs w:val="20"/>
        </w:rPr>
        <w:t xml:space="preserve">Looking at the beta coefficients of the models, clients in active status typically have almost half a week longer tenure, while clients with State National Insurance as their workers-comp carrier have more than half a </w:t>
      </w:r>
      <w:r>
        <w:rPr>
          <w:rFonts w:ascii="Nunito" w:eastAsia="Nunito" w:hAnsi="Nunito" w:cs="Nunito"/>
          <w:sz w:val="20"/>
          <w:szCs w:val="20"/>
        </w:rPr>
        <w:t xml:space="preserve">week longer. While these effects are relatively small, the effects of certain industries and cities are distinctly greater. </w:t>
      </w:r>
    </w:p>
    <w:p w:rsidR="00E04A25" w:rsidRDefault="00C40F9D">
      <w:pPr>
        <w:spacing w:before="0" w:line="240" w:lineRule="auto"/>
        <w:ind w:left="0"/>
        <w:rPr>
          <w:rFonts w:ascii="Nunito" w:eastAsia="Nunito" w:hAnsi="Nunito" w:cs="Nunito"/>
          <w:sz w:val="20"/>
          <w:szCs w:val="20"/>
        </w:rPr>
      </w:pPr>
      <w:r>
        <w:rPr>
          <w:rFonts w:ascii="Nunito" w:eastAsia="Nunito" w:hAnsi="Nunito" w:cs="Nunito"/>
          <w:sz w:val="20"/>
          <w:szCs w:val="20"/>
        </w:rPr>
        <w:t>Seventeen industries have a significant effect on tenure. Clients in the Stone Cutting/Polishing industry can be expected to have a</w:t>
      </w:r>
      <w:r>
        <w:rPr>
          <w:rFonts w:ascii="Nunito" w:eastAsia="Nunito" w:hAnsi="Nunito" w:cs="Nunito"/>
          <w:sz w:val="20"/>
          <w:szCs w:val="20"/>
        </w:rPr>
        <w:t>lmost 4.4 fewer weeks of tenure, and Sewage Disposal Plant clients have about 3.5 weeks fewer. In contrast, Automobile Sales clients can be expected to stay 1.7 weeks longer. Like industries, seventeen cities have a significant effect on tenure. On one end</w:t>
      </w:r>
      <w:r>
        <w:rPr>
          <w:rFonts w:ascii="Nunito" w:eastAsia="Nunito" w:hAnsi="Nunito" w:cs="Nunito"/>
          <w:sz w:val="20"/>
          <w:szCs w:val="20"/>
        </w:rPr>
        <w:t xml:space="preserve"> of the spectrum, clients in Margate can be expected to have almost five fewer weeks of tenure, whereas clients in Molino will have over two weeks more than typical.</w:t>
      </w:r>
    </w:p>
    <w:p w:rsidR="00E04A25" w:rsidRDefault="00C40F9D">
      <w:pPr>
        <w:pBdr>
          <w:top w:val="nil"/>
          <w:left w:val="nil"/>
          <w:bottom w:val="nil"/>
          <w:right w:val="nil"/>
          <w:between w:val="nil"/>
        </w:pBdr>
        <w:spacing w:line="240" w:lineRule="auto"/>
        <w:ind w:left="0"/>
        <w:rPr>
          <w:rFonts w:ascii="Nunito" w:eastAsia="Nunito" w:hAnsi="Nunito" w:cs="Nunito"/>
          <w:sz w:val="20"/>
          <w:szCs w:val="20"/>
        </w:rPr>
      </w:pPr>
      <w:r>
        <w:rPr>
          <w:rFonts w:ascii="Nunito" w:eastAsia="Nunito" w:hAnsi="Nunito" w:cs="Nunito"/>
          <w:sz w:val="20"/>
          <w:szCs w:val="20"/>
        </w:rPr>
        <w:t>Recommendations for ABCPEO:</w:t>
      </w:r>
    </w:p>
    <w:p w:rsidR="00E04A25" w:rsidRDefault="00C40F9D">
      <w:pPr>
        <w:numPr>
          <w:ilvl w:val="0"/>
          <w:numId w:val="2"/>
        </w:numPr>
        <w:pBdr>
          <w:top w:val="nil"/>
          <w:left w:val="nil"/>
          <w:bottom w:val="nil"/>
          <w:right w:val="nil"/>
          <w:between w:val="nil"/>
        </w:pBdr>
        <w:spacing w:line="240" w:lineRule="auto"/>
        <w:rPr>
          <w:rFonts w:ascii="Nunito" w:eastAsia="Nunito" w:hAnsi="Nunito" w:cs="Nunito"/>
          <w:sz w:val="20"/>
          <w:szCs w:val="20"/>
        </w:rPr>
      </w:pPr>
      <w:r>
        <w:rPr>
          <w:rFonts w:ascii="Nunito" w:eastAsia="Nunito" w:hAnsi="Nunito" w:cs="Nunito"/>
          <w:sz w:val="20"/>
          <w:szCs w:val="20"/>
        </w:rPr>
        <w:t>Avoid working with, or raise rates to compensate, for clients from the following cities: Margate, Oldsmar, Fountain, Ponce de Leon, Milton, Citrus Springs, Dade City, Jacksonville Beach, and Lehigh Acres.</w:t>
      </w:r>
    </w:p>
    <w:p w:rsidR="00E04A25" w:rsidRDefault="00C40F9D">
      <w:pPr>
        <w:numPr>
          <w:ilvl w:val="0"/>
          <w:numId w:val="2"/>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Actively market to potential clients in Molino.</w:t>
      </w:r>
    </w:p>
    <w:p w:rsidR="00E04A25" w:rsidRDefault="00C40F9D">
      <w:pPr>
        <w:numPr>
          <w:ilvl w:val="0"/>
          <w:numId w:val="2"/>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Avoid working with, or raise rates to compensate, for clients in the following Industries: Stone Cutting/Polishing, Sewage Disposal Plant, Ceiling Installation, Outside Sales, Plaster Statuary/Ornament Manufacturing, Child Day Care Centers.</w:t>
      </w:r>
    </w:p>
    <w:p w:rsidR="00E04A25" w:rsidRDefault="00C40F9D">
      <w:pPr>
        <w:numPr>
          <w:ilvl w:val="0"/>
          <w:numId w:val="2"/>
        </w:numPr>
        <w:pBdr>
          <w:top w:val="nil"/>
          <w:left w:val="nil"/>
          <w:bottom w:val="nil"/>
          <w:right w:val="nil"/>
          <w:between w:val="nil"/>
        </w:pBdr>
        <w:spacing w:before="0" w:line="240" w:lineRule="auto"/>
        <w:rPr>
          <w:rFonts w:ascii="Nunito" w:eastAsia="Nunito" w:hAnsi="Nunito" w:cs="Nunito"/>
          <w:sz w:val="20"/>
          <w:szCs w:val="20"/>
        </w:rPr>
      </w:pPr>
      <w:r>
        <w:rPr>
          <w:rFonts w:ascii="Nunito" w:eastAsia="Nunito" w:hAnsi="Nunito" w:cs="Nunito"/>
          <w:sz w:val="20"/>
          <w:szCs w:val="20"/>
        </w:rPr>
        <w:t>Actively market</w:t>
      </w:r>
      <w:r>
        <w:rPr>
          <w:rFonts w:ascii="Nunito" w:eastAsia="Nunito" w:hAnsi="Nunito" w:cs="Nunito"/>
          <w:sz w:val="20"/>
          <w:szCs w:val="20"/>
        </w:rPr>
        <w:t xml:space="preserve"> to potential clients in the following industries: Automobile Sales, Pump Installation.</w:t>
      </w:r>
    </w:p>
    <w:p w:rsidR="00E04A25" w:rsidRDefault="00C40F9D">
      <w:pPr>
        <w:pStyle w:val="Heading1"/>
        <w:numPr>
          <w:ilvl w:val="0"/>
          <w:numId w:val="3"/>
        </w:numPr>
        <w:spacing w:line="240" w:lineRule="auto"/>
        <w:rPr>
          <w:rFonts w:ascii="Nunito" w:eastAsia="Nunito" w:hAnsi="Nunito" w:cs="Nunito"/>
          <w:sz w:val="20"/>
          <w:szCs w:val="20"/>
        </w:rPr>
      </w:pPr>
      <w:bookmarkStart w:id="21" w:name="_b4cy5o1185t2" w:colFirst="0" w:colLast="0"/>
      <w:bookmarkEnd w:id="21"/>
      <w:r>
        <w:rPr>
          <w:rFonts w:ascii="Nunito" w:eastAsia="Nunito" w:hAnsi="Nunito" w:cs="Nunito"/>
          <w:sz w:val="20"/>
          <w:szCs w:val="20"/>
        </w:rPr>
        <w:t>References</w:t>
      </w:r>
    </w:p>
    <w:p w:rsidR="00E04A25" w:rsidRDefault="00C40F9D">
      <w:pPr>
        <w:numPr>
          <w:ilvl w:val="1"/>
          <w:numId w:val="3"/>
        </w:numPr>
        <w:spacing w:before="120" w:after="120" w:line="240" w:lineRule="auto"/>
        <w:rPr>
          <w:rFonts w:ascii="Nunito" w:eastAsia="Nunito" w:hAnsi="Nunito" w:cs="Nunito"/>
          <w:sz w:val="20"/>
          <w:szCs w:val="20"/>
        </w:rPr>
      </w:pPr>
      <w:hyperlink r:id="rId16">
        <w:r>
          <w:rPr>
            <w:rFonts w:ascii="Nunito" w:eastAsia="Nunito" w:hAnsi="Nunito" w:cs="Nunito"/>
            <w:color w:val="1155CC"/>
            <w:sz w:val="20"/>
            <w:szCs w:val="20"/>
            <w:u w:val="single"/>
          </w:rPr>
          <w:t>https://www.napeo.org/what-is-a-peo/about-the-peo-industry/</w:t>
        </w:r>
        <w:r>
          <w:rPr>
            <w:rFonts w:ascii="Nunito" w:eastAsia="Nunito" w:hAnsi="Nunito" w:cs="Nunito"/>
            <w:color w:val="1155CC"/>
            <w:sz w:val="20"/>
            <w:szCs w:val="20"/>
            <w:u w:val="single"/>
          </w:rPr>
          <w:t>industry-statistics</w:t>
        </w:r>
      </w:hyperlink>
    </w:p>
    <w:p w:rsidR="00E04A25" w:rsidRDefault="00C40F9D">
      <w:pPr>
        <w:numPr>
          <w:ilvl w:val="1"/>
          <w:numId w:val="3"/>
        </w:numPr>
        <w:spacing w:before="120" w:after="120" w:line="240" w:lineRule="auto"/>
        <w:rPr>
          <w:rFonts w:ascii="Nunito" w:eastAsia="Nunito" w:hAnsi="Nunito" w:cs="Nunito"/>
          <w:sz w:val="20"/>
          <w:szCs w:val="20"/>
        </w:rPr>
      </w:pPr>
      <w:r>
        <w:rPr>
          <w:rFonts w:ascii="Nunito" w:eastAsia="Nunito" w:hAnsi="Nunito" w:cs="Nunito"/>
          <w:sz w:val="20"/>
          <w:szCs w:val="20"/>
        </w:rPr>
        <w:t>https://www.napeo.org/what-is-a-peo/about-the-peo-industry/napeo-white-papers</w:t>
      </w:r>
    </w:p>
    <w:p w:rsidR="00E04A25" w:rsidRDefault="00C40F9D">
      <w:pPr>
        <w:numPr>
          <w:ilvl w:val="1"/>
          <w:numId w:val="3"/>
        </w:numPr>
        <w:spacing w:before="120" w:after="120" w:line="240" w:lineRule="auto"/>
        <w:rPr>
          <w:rFonts w:ascii="Nunito" w:eastAsia="Nunito" w:hAnsi="Nunito" w:cs="Nunito"/>
          <w:sz w:val="20"/>
          <w:szCs w:val="20"/>
        </w:rPr>
      </w:pPr>
      <w:hyperlink r:id="rId17">
        <w:r>
          <w:rPr>
            <w:rFonts w:ascii="Nunito" w:eastAsia="Nunito" w:hAnsi="Nunito" w:cs="Nunito"/>
            <w:color w:val="1155CC"/>
            <w:sz w:val="20"/>
            <w:szCs w:val="20"/>
            <w:u w:val="single"/>
          </w:rPr>
          <w:t>http://netprofitgrowth.com/peo-industry-statistics-2019/</w:t>
        </w:r>
      </w:hyperlink>
    </w:p>
    <w:p w:rsidR="00E04A25" w:rsidRDefault="00C40F9D">
      <w:pPr>
        <w:widowControl w:val="0"/>
        <w:numPr>
          <w:ilvl w:val="1"/>
          <w:numId w:val="3"/>
        </w:numPr>
        <w:spacing w:before="120" w:after="120" w:line="240" w:lineRule="auto"/>
        <w:rPr>
          <w:rFonts w:ascii="Nunito" w:eastAsia="Nunito" w:hAnsi="Nunito" w:cs="Nunito"/>
          <w:sz w:val="20"/>
          <w:szCs w:val="20"/>
        </w:rPr>
      </w:pPr>
      <w:r>
        <w:rPr>
          <w:rFonts w:ascii="Nunito" w:eastAsia="Nunito" w:hAnsi="Nunito" w:cs="Nunito"/>
          <w:sz w:val="20"/>
          <w:szCs w:val="20"/>
        </w:rPr>
        <w:t>Langer, N., &amp; Mani, D. (2</w:t>
      </w:r>
      <w:r>
        <w:rPr>
          <w:rFonts w:ascii="Nunito" w:eastAsia="Nunito" w:hAnsi="Nunito" w:cs="Nunito"/>
          <w:sz w:val="20"/>
          <w:szCs w:val="20"/>
        </w:rPr>
        <w:t xml:space="preserve">018). Impact of Formal Controls on Client Satisfaction and Profitability in Strategic Outsourcing Contracts. Journal of Management Information Systems, 35(4), 998–1030. </w:t>
      </w:r>
      <w:hyperlink r:id="rId18">
        <w:r>
          <w:rPr>
            <w:rFonts w:ascii="Nunito" w:eastAsia="Nunito" w:hAnsi="Nunito" w:cs="Nunito"/>
            <w:color w:val="1155CC"/>
            <w:sz w:val="20"/>
            <w:szCs w:val="20"/>
            <w:u w:val="single"/>
          </w:rPr>
          <w:t>ht</w:t>
        </w:r>
        <w:r>
          <w:rPr>
            <w:rFonts w:ascii="Nunito" w:eastAsia="Nunito" w:hAnsi="Nunito" w:cs="Nunito"/>
            <w:color w:val="1155CC"/>
            <w:sz w:val="20"/>
            <w:szCs w:val="20"/>
            <w:u w:val="single"/>
          </w:rPr>
          <w:t>tps://doi-org.ezproxy.lib.usf.edu/10.1080/07421222.2018.1522895</w:t>
        </w:r>
      </w:hyperlink>
    </w:p>
    <w:p w:rsidR="00E04A25" w:rsidRDefault="00C40F9D">
      <w:pPr>
        <w:widowControl w:val="0"/>
        <w:numPr>
          <w:ilvl w:val="1"/>
          <w:numId w:val="3"/>
        </w:numPr>
        <w:spacing w:before="0" w:line="240" w:lineRule="auto"/>
        <w:rPr>
          <w:rFonts w:ascii="Nunito" w:eastAsia="Nunito" w:hAnsi="Nunito" w:cs="Nunito"/>
          <w:sz w:val="20"/>
          <w:szCs w:val="20"/>
        </w:rPr>
      </w:pPr>
      <w:r>
        <w:rPr>
          <w:rFonts w:ascii="Nunito" w:eastAsia="Nunito" w:hAnsi="Nunito" w:cs="Nunito"/>
          <w:sz w:val="20"/>
          <w:szCs w:val="20"/>
        </w:rPr>
        <w:t xml:space="preserve">King, G. J., Chao, X., &amp; Duenyas, I. (2016). Dynamic Customer Acquisition and Retention Management. Production &amp; Operations Management, 25(8), 1332–1343. </w:t>
      </w:r>
      <w:hyperlink r:id="rId19">
        <w:r>
          <w:rPr>
            <w:rFonts w:ascii="Nunito" w:eastAsia="Nunito" w:hAnsi="Nunito" w:cs="Nunito"/>
            <w:color w:val="1155CC"/>
            <w:sz w:val="20"/>
            <w:szCs w:val="20"/>
            <w:u w:val="single"/>
          </w:rPr>
          <w:t>https://doi-org.ezproxy.lib.usf.edu/10.1111/poms.12559</w:t>
        </w:r>
      </w:hyperlink>
    </w:p>
    <w:p w:rsidR="00E04A25" w:rsidRDefault="00C40F9D">
      <w:pPr>
        <w:widowControl w:val="0"/>
        <w:numPr>
          <w:ilvl w:val="1"/>
          <w:numId w:val="3"/>
        </w:numPr>
        <w:spacing w:before="0" w:line="240" w:lineRule="auto"/>
        <w:rPr>
          <w:rFonts w:ascii="Nunito" w:eastAsia="Nunito" w:hAnsi="Nunito" w:cs="Nunito"/>
          <w:sz w:val="20"/>
          <w:szCs w:val="20"/>
        </w:rPr>
      </w:pPr>
      <w:r>
        <w:rPr>
          <w:rFonts w:ascii="Nunito" w:eastAsia="Nunito" w:hAnsi="Nunito" w:cs="Nunito"/>
          <w:sz w:val="20"/>
          <w:szCs w:val="20"/>
        </w:rPr>
        <w:t xml:space="preserve">Asare, S., Hackenbrack, K., &amp; Knechel, R. W. (1994). Client acceptance and continuation decisions. </w:t>
      </w:r>
      <w:hyperlink r:id="rId20">
        <w:r>
          <w:rPr>
            <w:rFonts w:ascii="Nunito" w:eastAsia="Nunito" w:hAnsi="Nunito" w:cs="Nunito"/>
            <w:color w:val="1155CC"/>
            <w:sz w:val="20"/>
            <w:szCs w:val="20"/>
            <w:u w:val="single"/>
          </w:rPr>
          <w:t>https://egrove.olemiss.edu/cgi/viewcontent.cgi?article=1049&amp;context=dl_proceedings</w:t>
        </w:r>
      </w:hyperlink>
    </w:p>
    <w:p w:rsidR="00E04A25" w:rsidRDefault="00C40F9D">
      <w:pPr>
        <w:widowControl w:val="0"/>
        <w:numPr>
          <w:ilvl w:val="1"/>
          <w:numId w:val="3"/>
        </w:numPr>
        <w:spacing w:before="0" w:line="240" w:lineRule="auto"/>
        <w:rPr>
          <w:rFonts w:ascii="Nunito" w:eastAsia="Nunito" w:hAnsi="Nunito" w:cs="Nunito"/>
          <w:sz w:val="20"/>
          <w:szCs w:val="20"/>
        </w:rPr>
      </w:pPr>
      <w:r>
        <w:rPr>
          <w:rFonts w:ascii="Nunito" w:eastAsia="Nunito" w:hAnsi="Nunito" w:cs="Nunito"/>
          <w:sz w:val="20"/>
          <w:szCs w:val="20"/>
        </w:rPr>
        <w:t xml:space="preserve">Jefferson, R., &amp; Goldfinger, R., (2007). Generating a dynamic customer risk-rating. </w:t>
      </w:r>
      <w:hyperlink r:id="rId21">
        <w:r>
          <w:rPr>
            <w:rFonts w:ascii="Nunito" w:eastAsia="Nunito" w:hAnsi="Nunito" w:cs="Nunito"/>
            <w:color w:val="1155CC"/>
            <w:sz w:val="20"/>
            <w:szCs w:val="20"/>
            <w:u w:val="single"/>
          </w:rPr>
          <w:t>http://www.focustechnologygroup.com/files/ACAMS%20TODAY%20march%20april%20pg%2024-25.pdf</w:t>
        </w:r>
      </w:hyperlink>
    </w:p>
    <w:p w:rsidR="00E04A25" w:rsidRDefault="00C40F9D">
      <w:pPr>
        <w:widowControl w:val="0"/>
        <w:numPr>
          <w:ilvl w:val="1"/>
          <w:numId w:val="3"/>
        </w:numPr>
        <w:spacing w:before="0" w:line="240" w:lineRule="auto"/>
        <w:rPr>
          <w:rFonts w:ascii="Nunito" w:eastAsia="Nunito" w:hAnsi="Nunito" w:cs="Nunito"/>
          <w:sz w:val="20"/>
          <w:szCs w:val="20"/>
        </w:rPr>
      </w:pPr>
      <w:r>
        <w:rPr>
          <w:rFonts w:ascii="Nunito" w:eastAsia="Nunito" w:hAnsi="Nunito" w:cs="Nunito"/>
          <w:sz w:val="20"/>
          <w:szCs w:val="20"/>
        </w:rPr>
        <w:t xml:space="preserve">Johnstone, K. M., &amp; Bedard, J. C. (2003). Risk Management in Client Acceptance Decisions. Accounting Review, 78(4), 1003–1025. </w:t>
      </w:r>
      <w:hyperlink r:id="rId22">
        <w:r>
          <w:rPr>
            <w:rFonts w:ascii="Nunito" w:eastAsia="Nunito" w:hAnsi="Nunito" w:cs="Nunito"/>
            <w:color w:val="1155CC"/>
            <w:sz w:val="20"/>
            <w:szCs w:val="20"/>
            <w:u w:val="single"/>
          </w:rPr>
          <w:t>https://doi.org/10.2308/accr.2003.78.4.1003</w:t>
        </w:r>
      </w:hyperlink>
    </w:p>
    <w:p w:rsidR="00E04A25" w:rsidRDefault="00C40F9D">
      <w:pPr>
        <w:widowControl w:val="0"/>
        <w:numPr>
          <w:ilvl w:val="1"/>
          <w:numId w:val="3"/>
        </w:numPr>
        <w:spacing w:before="0" w:line="240" w:lineRule="auto"/>
        <w:rPr>
          <w:rFonts w:ascii="Nunito" w:eastAsia="Nunito" w:hAnsi="Nunito" w:cs="Nunito"/>
          <w:sz w:val="20"/>
          <w:szCs w:val="20"/>
        </w:rPr>
      </w:pPr>
      <w:r>
        <w:rPr>
          <w:rFonts w:ascii="Nunito" w:eastAsia="Nunito" w:hAnsi="Nunito" w:cs="Nunito"/>
          <w:sz w:val="20"/>
          <w:szCs w:val="20"/>
        </w:rPr>
        <w:t>Kashiwagi, D., Kashiwa</w:t>
      </w:r>
      <w:r>
        <w:rPr>
          <w:rFonts w:ascii="Nunito" w:eastAsia="Nunito" w:hAnsi="Nunito" w:cs="Nunito"/>
          <w:sz w:val="20"/>
          <w:szCs w:val="20"/>
        </w:rPr>
        <w:t>gi, J., &amp; Sullivan, K. (2010, June). The Replacement of Client Decision Making with a Deductive Logic Structure. In 2010 Industrial Engineering Research Conference, Cancun, Mexico (Vol. 16, pp. 5-9).</w:t>
      </w:r>
    </w:p>
    <w:p w:rsidR="00E04A25" w:rsidRDefault="00C40F9D">
      <w:pPr>
        <w:pStyle w:val="Heading1"/>
        <w:numPr>
          <w:ilvl w:val="0"/>
          <w:numId w:val="3"/>
        </w:numPr>
        <w:spacing w:after="200" w:line="240" w:lineRule="auto"/>
        <w:ind w:left="630"/>
        <w:rPr>
          <w:rFonts w:ascii="Nunito" w:eastAsia="Nunito" w:hAnsi="Nunito" w:cs="Nunito"/>
          <w:sz w:val="20"/>
          <w:szCs w:val="20"/>
        </w:rPr>
      </w:pPr>
      <w:bookmarkStart w:id="22" w:name="_8if5g5wkm7u0" w:colFirst="0" w:colLast="0"/>
      <w:bookmarkEnd w:id="22"/>
      <w:r>
        <w:rPr>
          <w:rFonts w:ascii="Nunito" w:eastAsia="Nunito" w:hAnsi="Nunito" w:cs="Nunito"/>
          <w:sz w:val="20"/>
          <w:szCs w:val="20"/>
        </w:rPr>
        <w:t>Appendix</w:t>
      </w:r>
    </w:p>
    <w:p w:rsidR="00E04A25" w:rsidRDefault="00C40F9D">
      <w:pPr>
        <w:ind w:left="0"/>
        <w:rPr>
          <w:sz w:val="20"/>
          <w:szCs w:val="20"/>
        </w:rPr>
      </w:pPr>
      <w:r>
        <w:rPr>
          <w:sz w:val="20"/>
          <w:szCs w:val="20"/>
        </w:rPr>
        <w:t>11.1 Raw R code</w:t>
      </w:r>
    </w:p>
    <w:tbl>
      <w:tblPr>
        <w:tblStyle w:val="a5"/>
        <w:tblW w:w="108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15"/>
      </w:tblGrid>
      <w:tr w:rsidR="00E04A25">
        <w:tc>
          <w:tcPr>
            <w:tcW w:w="0" w:type="auto"/>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##Prep</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rm(list=ls())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library(AE</w:t>
            </w:r>
            <w:r>
              <w:rPr>
                <w:rFonts w:ascii="Nunito" w:eastAsia="Nunito" w:hAnsi="Nunito" w:cs="Nunito"/>
                <w:sz w:val="20"/>
                <w:szCs w:val="20"/>
              </w:rPr>
              <w:t>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library(car)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library(carData)</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library(caret)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library(caTools)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library(corrplot)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library(DescTools)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library(dplyr)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library(ggplot2)</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library(lattice)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library(lme4)</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library(lmtest)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library(MASS)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library(PerformanceAnalytics)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library(readxl)</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library(rio)</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library(ROCR)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library(sandwich)</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library(stargazer)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library(survival)</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library(tidyverse)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library(DHARMa)</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#Import data and dataset prep</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#setwd("C:/Users/Ajohnson/Downloads")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d &lt;- read_excel("peodata.xlsx", sheet="dataagg")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colnames(d)=tolower(make.name</w:t>
            </w:r>
            <w:r>
              <w:rPr>
                <w:rFonts w:ascii="Nunito" w:eastAsia="Nunito" w:hAnsi="Nunito" w:cs="Nunito"/>
                <w:sz w:val="20"/>
                <w:szCs w:val="20"/>
              </w:rPr>
              <w:t xml:space="preserve">s(colnames(d)))           </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select variables for analysis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selvars &lt;- c("status", "city", "industry","wc.carrier","total.tenure","payment.type","payroll.rule",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"sum.of.hours","average.of.employees","sum.of.net.admin","sum.of.wc.profit","sum.o</w:t>
            </w:r>
            <w:r>
              <w:rPr>
                <w:rFonts w:ascii="Nunito" w:eastAsia="Nunito" w:hAnsi="Nunito" w:cs="Nunito"/>
                <w:sz w:val="20"/>
                <w:szCs w:val="20"/>
              </w:rPr>
              <w:t>f.suta.profit","sum.of.futa.profit",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"sum.of.social.security.profit","sum.of.medicare.profit","sum.of.total.rev","sum.of.gross.profit")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 &lt;- d[selvars]</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str(d)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change appropriate vars to factors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factorcols &lt;- c("status","city","industry","wc.carrier","payment.type","payroll.rule")</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d[factorcols] &lt;- lapply(d[factorcols], factor)</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str(d)</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summary(d)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Check for missing data, 9 wc.carrier, 3 city missing</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colSums(is.na(d)) </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#Round total.tenure to who</w:t>
            </w:r>
            <w:r>
              <w:rPr>
                <w:rFonts w:ascii="Nunito" w:eastAsia="Nunito" w:hAnsi="Nunito" w:cs="Nunito"/>
                <w:sz w:val="20"/>
                <w:szCs w:val="20"/>
              </w:rPr>
              <w:t>le numbers (integers) so a Poisson model can be used</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d$total.tenure &lt;- round(d$total.tenure)</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Data Visualization</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#Histogram and De</w:t>
            </w:r>
            <w:r>
              <w:rPr>
                <w:rFonts w:ascii="Nunito" w:eastAsia="Nunito" w:hAnsi="Nunito" w:cs="Nunito"/>
                <w:sz w:val="20"/>
                <w:szCs w:val="20"/>
              </w:rPr>
              <w:t>nsity</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histogram(~total.tenure, breaks = 20, data=d, main = "Total Tenure Hist")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densityplot(~total.tenure, data=d, main = "Total Tenure Density")</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#Box and Whisker</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bwplot(status~total.tenure , data=d, main = "BW Plot - Status")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bwplot(payment.type~total.tenure , data=d, main = "BW Plot - Payment Type")</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#reorder industry tenure by median for bwplot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bymedian &lt;- with(d, reorder(industry, total.tenure, median))</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ggplot(d, aes(x = bymedian, y = total.tenure))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geom_boxplot()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coord_flip()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labs(x = "industry")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scale_x_discrete(limits = rev(levels(d$total.tenure)))</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#show correlation of numeric vars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corrdf &lt;- cor(d[8:17])</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corrplot(corrdf, method ="pie", type = "lower")</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Models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#Poisson</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p1 &lt;- glm(total.tenure ~ industry + city + status + wc.carrier + sum.of.gross.profit, family = "poisson" (link=log), data = 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#Quasi-Poisson</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qp1 &lt;- glm(total.tenure ~ industry + city + status + wc.carrier + sum.of.gross.profit, family = "quasipoisson" (link=log), data = 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#Negative Binomial</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nb1 &lt;- glm.nb(total.tenure ~ industry + city + status + wc.carrier + sum.of.gross.profit, data=d)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nb2 </w:t>
            </w:r>
            <w:r>
              <w:rPr>
                <w:rFonts w:ascii="Nunito" w:eastAsia="Nunito" w:hAnsi="Nunito" w:cs="Nunito"/>
                <w:sz w:val="20"/>
                <w:szCs w:val="20"/>
              </w:rPr>
              <w:t>&lt;- glm.nb(total.tenure ~ industry + city + status + wc.carrier + sum.of.hours, data=d)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nb3 &lt;- glm.nb(total.tenure ~ industry + city + status + wc.carrier + average.of.employees, data=d)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nb4 &lt;- glm.nb(total.tenure ~ industry + city + status + wc.carrier +</w:t>
            </w:r>
            <w:r>
              <w:rPr>
                <w:rFonts w:ascii="Nunito" w:eastAsia="Nunito" w:hAnsi="Nunito" w:cs="Nunito"/>
                <w:sz w:val="20"/>
                <w:szCs w:val="20"/>
              </w:rPr>
              <w:t xml:space="preserve"> sum.of.total.rev, data=d)</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stargazer(nb1, nb2, nb3, nb4, type="text", single.row=TRUE)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anova(nb1,nb2,nb3,nb4)</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BIC(nb1,nb2,nb3,nb4)</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summary(nb1)</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xml:space="preserve">  </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stargazer(p1, qp1, nb1, type="text", single.row=TRUE)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anova(p1, qp1, nb1)</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#AIC/BIC</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AIC(p1, qp1, nb1)</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BIC(p1, qp1, nb1)</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stepwise model for feature exploration, not using</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ks &lt;- glm.nb(total.tenure ~ ., data=d)</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step &lt;- stepAIC(ks, direction = "both", trace = FALSE)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summary(step)</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 Qualit</w:t>
            </w:r>
            <w:r>
              <w:rPr>
                <w:rFonts w:ascii="Nunito" w:eastAsia="Nunito" w:hAnsi="Nunito" w:cs="Nunito"/>
                <w:sz w:val="20"/>
                <w:szCs w:val="20"/>
              </w:rPr>
              <w:t>y Checks</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#Dispersion Test of Poisson model</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dispersiontest(p1) #dispersion is 50 which is high, indicates we need to use neg binomial</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#DHARMa package</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sp1 &lt;- simulateResiduals(p1, refit=T)</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testOv</w:t>
            </w:r>
            <w:r>
              <w:rPr>
                <w:rFonts w:ascii="Nunito" w:eastAsia="Nunito" w:hAnsi="Nunito" w:cs="Nunito"/>
                <w:sz w:val="20"/>
                <w:szCs w:val="20"/>
              </w:rPr>
              <w:t>erdispersion(sp1)</w:t>
            </w:r>
          </w:p>
          <w:p w:rsidR="00E04A25" w:rsidRDefault="00C40F9D">
            <w:pPr>
              <w:widowControl w:val="0"/>
              <w:pBdr>
                <w:top w:val="nil"/>
                <w:left w:val="nil"/>
                <w:bottom w:val="nil"/>
                <w:right w:val="nil"/>
                <w:between w:val="nil"/>
              </w:pBdr>
              <w:spacing w:before="0" w:line="240" w:lineRule="auto"/>
              <w:ind w:left="0"/>
              <w:rPr>
                <w:rFonts w:ascii="Nunito" w:eastAsia="Nunito" w:hAnsi="Nunito" w:cs="Nunito"/>
                <w:sz w:val="20"/>
                <w:szCs w:val="20"/>
              </w:rPr>
            </w:pPr>
            <w:r>
              <w:rPr>
                <w:rFonts w:ascii="Nunito" w:eastAsia="Nunito" w:hAnsi="Nunito" w:cs="Nunito"/>
                <w:sz w:val="20"/>
                <w:szCs w:val="20"/>
              </w:rPr>
              <w:t>plot(sp1, pch=20)</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tc>
      </w:tr>
    </w:tbl>
    <w:p w:rsidR="00E04A25" w:rsidRDefault="00E04A25">
      <w:pPr>
        <w:pBdr>
          <w:top w:val="nil"/>
          <w:left w:val="nil"/>
          <w:bottom w:val="nil"/>
          <w:right w:val="nil"/>
          <w:between w:val="nil"/>
        </w:pBdr>
        <w:spacing w:after="200" w:line="240" w:lineRule="auto"/>
        <w:rPr>
          <w:rFonts w:ascii="Nunito" w:eastAsia="Nunito" w:hAnsi="Nunito" w:cs="Nunito"/>
          <w:sz w:val="20"/>
          <w:szCs w:val="20"/>
        </w:rPr>
      </w:pPr>
    </w:p>
    <w:p w:rsidR="00E04A25" w:rsidRDefault="00C40F9D">
      <w:pPr>
        <w:pBdr>
          <w:top w:val="nil"/>
          <w:left w:val="nil"/>
          <w:bottom w:val="nil"/>
          <w:right w:val="nil"/>
          <w:between w:val="nil"/>
        </w:pBdr>
        <w:spacing w:after="200" w:line="240" w:lineRule="auto"/>
        <w:rPr>
          <w:rFonts w:ascii="Nunito" w:eastAsia="Nunito" w:hAnsi="Nunito" w:cs="Nunito"/>
          <w:sz w:val="20"/>
          <w:szCs w:val="20"/>
        </w:rPr>
      </w:pPr>
      <w:r>
        <w:rPr>
          <w:rFonts w:ascii="Nunito" w:eastAsia="Nunito" w:hAnsi="Nunito" w:cs="Nunito"/>
          <w:sz w:val="20"/>
          <w:szCs w:val="20"/>
        </w:rPr>
        <w:t>11.2 Full Stargazer Output of Negative Binomial Models</w:t>
      </w:r>
    </w:p>
    <w:tbl>
      <w:tblPr>
        <w:tblStyle w:val="a6"/>
        <w:tblW w:w="108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15"/>
      </w:tblGrid>
      <w:tr w:rsidR="00E04A25">
        <w:tc>
          <w:tcPr>
            <w:tcW w:w="0" w:type="auto"/>
            <w:shd w:val="clear" w:color="auto" w:fill="auto"/>
            <w:tcMar>
              <w:top w:w="100" w:type="dxa"/>
              <w:left w:w="100" w:type="dxa"/>
              <w:bottom w:w="100" w:type="dxa"/>
              <w:right w:w="100" w:type="dxa"/>
            </w:tcMar>
          </w:tcPr>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                                                                           Dependent variable: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    </w:t>
            </w:r>
            <w:r>
              <w:rPr>
                <w:rFonts w:ascii="Consolas" w:eastAsia="Consolas" w:hAnsi="Consolas" w:cs="Consolas"/>
                <w:sz w:val="15"/>
                <w:szCs w:val="15"/>
              </w:rPr>
              <w:t xml:space="preserve">                                                                          total.tenure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                                                     (1)                  (2)                 (3)                (4)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industryAutomatic Sprinkler Installation       -0.710 (1.240)        -1.212 (1.264)     -1.149 (1.270)      -0.994 (1.266)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w:t>
            </w:r>
            <w:r>
              <w:rPr>
                <w:rFonts w:ascii="Consolas" w:eastAsia="Consolas" w:hAnsi="Consolas" w:cs="Consolas"/>
                <w:sz w:val="15"/>
                <w:szCs w:val="15"/>
              </w:rPr>
              <w:t xml:space="preserve">stryAutombobile Salesperson                1.684** (0.784)       1.308 (0.797)       1.211 (0.799)      1.448* (0.803)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industryAutomobile Storage Garage              -1.434* (0.800)      -1.881** (0.812)   -1.996** (0.812)    -1.688** (0.819)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w:t>
            </w:r>
            <w:r>
              <w:rPr>
                <w:rFonts w:ascii="Consolas" w:eastAsia="Consolas" w:hAnsi="Consolas" w:cs="Consolas"/>
                <w:sz w:val="15"/>
                <w:szCs w:val="15"/>
              </w:rPr>
              <w:t xml:space="preserve">Bar/Disco/Lounge/Night Club/Tavern     -0.702 (0.859)        -1.243 (0.869)     -1.362 (0.867)      -1.014 (0.882)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industryBuilding/Cleaner                       -0.391 (0.481)       -0.909* (0.477)    -1.003** (0.476)     -0.718 (0.491)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industryBuil</w:t>
            </w:r>
            <w:r>
              <w:rPr>
                <w:rFonts w:ascii="Consolas" w:eastAsia="Consolas" w:hAnsi="Consolas" w:cs="Consolas"/>
                <w:sz w:val="15"/>
                <w:szCs w:val="15"/>
              </w:rPr>
              <w:t xml:space="preserve">dings-Operations                   -0.417 (0.631)        -0.890 (0.634)     -0.981 (0.633)      -0.691 (0.643)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industryCarpentry-Dwellings                    -0.568 (0.637)        -0.860 (0.647)     -0.935 (0.648)      -0.790 (0.649)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industryCarpentr</w:t>
            </w:r>
            <w:r>
              <w:rPr>
                <w:rFonts w:ascii="Consolas" w:eastAsia="Consolas" w:hAnsi="Consolas" w:cs="Consolas"/>
                <w:sz w:val="15"/>
                <w:szCs w:val="15"/>
              </w:rPr>
              <w:t xml:space="preserve">y/Interior Trim               -1.216*** (0.439)    -1.607*** (0.437)   -1.690*** (0.435)  -1.450*** (0.448)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industryCarpet                              Linoleum Installation  -4.615*** (1.020)   -5.342*** (1.018)  -5.536*** (1.016)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industryCeiling Inst</w:t>
            </w:r>
            <w:r>
              <w:rPr>
                <w:rFonts w:ascii="Consolas" w:eastAsia="Consolas" w:hAnsi="Consolas" w:cs="Consolas"/>
                <w:sz w:val="15"/>
                <w:szCs w:val="15"/>
              </w:rPr>
              <w:t xml:space="preserve">allation                  -2.945** (1.260)     -3.518*** (1.281)   -3.482*** (1.287)   -3.286** (1.285)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industryChild Day Care Center-Professional    -2.610** (1.253)      -3.159** (1.276)   -3.181** (1.280)    -2.863** (1.280)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industryCleaner-Debris R</w:t>
            </w:r>
            <w:r>
              <w:rPr>
                <w:rFonts w:ascii="Consolas" w:eastAsia="Consolas" w:hAnsi="Consolas" w:cs="Consolas"/>
                <w:sz w:val="15"/>
                <w:szCs w:val="15"/>
              </w:rPr>
              <w:t xml:space="preserve">emover                 -0.077 (0.799)        -0.254 (0.816)     -0.331 (0.818)      -0.123 (0.817)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industryClerical                              -1.129** (0.506)     -1.566*** (0.506)   -1.622*** (0.505)  -1.379*** (0.517)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industryClubs:Business/Socia</w:t>
            </w:r>
            <w:r>
              <w:rPr>
                <w:rFonts w:ascii="Consolas" w:eastAsia="Consolas" w:hAnsi="Consolas" w:cs="Consolas"/>
                <w:sz w:val="15"/>
                <w:szCs w:val="15"/>
              </w:rPr>
              <w:t xml:space="preserve">l/Professional     -0.721 (1.136)        -1.224 (1.155)     -1.337 (1.157)      -0.998 (1.159)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industryConcrete Flooring                      -0.047 (0.470)        -0.305 (0.477)     -0.435 (0.475)      -0.183 (0.484)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industryContractor - Superintend</w:t>
            </w:r>
            <w:r>
              <w:rPr>
                <w:rFonts w:ascii="Consolas" w:eastAsia="Consolas" w:hAnsi="Consolas" w:cs="Consolas"/>
                <w:sz w:val="15"/>
                <w:szCs w:val="15"/>
              </w:rPr>
              <w:t xml:space="preserve">ent            -0.698 (0.542)       -0.998* (0.555)    -1.116** (0.553)     -0.836 (0.568)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industryDoor/Frame/Sash Erection-Metal         -0.314 (0.782)        -0.592 (0.800)     -0.585 (0.802)      -0.465 (0.799)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industryDrivers                     </w:t>
            </w:r>
            <w:r>
              <w:rPr>
                <w:rFonts w:ascii="Consolas" w:eastAsia="Consolas" w:hAnsi="Consolas" w:cs="Consolas"/>
                <w:sz w:val="15"/>
                <w:szCs w:val="15"/>
              </w:rPr>
              <w:t xml:space="preserve">           -0.901 (1.245)        -1.135 (1.274)     -1.260 (1.282)      -0.905 (1.271)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industryElectrician                             0.674 (0.475)        0.383 (0.485)       0.317 (0.486)      0.490 (0.488)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industryExcavation                      </w:t>
            </w:r>
            <w:r>
              <w:rPr>
                <w:rFonts w:ascii="Consolas" w:eastAsia="Consolas" w:hAnsi="Consolas" w:cs="Consolas"/>
                <w:sz w:val="15"/>
                <w:szCs w:val="15"/>
              </w:rPr>
              <w:t xml:space="preserve">        0.309 (0.575)        0.028 (0.584)      -0.046 (0.586)      0.128 (0.590)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industryFarm: Nursery Employees                    Drivers           -1.942 (1.254)    -2.541** (1.274)    -2.472* (1.281)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industryFast Food Restaurant                   -0.366 (0.473)       -0.870* (0.473)    -1.001** (0.472)     -0.663 (0.484)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industryFence Erection-Metal                   -0.840* (0.468)      -1.103** (0.472)   -1.158** (0.473)    -0.973** (0.479)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w:t>
            </w:r>
            <w:r>
              <w:rPr>
                <w:rFonts w:ascii="Consolas" w:eastAsia="Consolas" w:hAnsi="Consolas" w:cs="Consolas"/>
                <w:sz w:val="15"/>
                <w:szCs w:val="15"/>
              </w:rPr>
              <w:t xml:space="preserve">stryFireproof Equipment Mfg                 0.792 (0.840)        0.441 (0.855)       0.365 (0.856)      0.605 (0.861)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industryFurniture Mfg-Wood-Noc                  0.075 (0.834)        -0.101 (0.854)     -0.121 (0.858)      0.006 (0.852)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w:t>
            </w:r>
            <w:r>
              <w:rPr>
                <w:rFonts w:ascii="Consolas" w:eastAsia="Consolas" w:hAnsi="Consolas" w:cs="Consolas"/>
                <w:sz w:val="15"/>
                <w:szCs w:val="15"/>
              </w:rPr>
              <w:t xml:space="preserve">Furniture Or Fixtures Installation      0.057 (0.832)        -0.007 (0.851)     -0.040 (0.854)      0.126 (0.853)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industryHotel:Employees                        -1.149 (0.791)       -1.475* (0.809)     -1.375* (0.811)     -1.156 (0.809)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industryHote</w:t>
            </w:r>
            <w:r>
              <w:rPr>
                <w:rFonts w:ascii="Consolas" w:eastAsia="Consolas" w:hAnsi="Consolas" w:cs="Consolas"/>
                <w:sz w:val="15"/>
                <w:szCs w:val="15"/>
              </w:rPr>
              <w:t xml:space="preserve">l:Restaurant Employees             -1.218 (1.125)       -2.154* (1.141)    -2.413** (1.155)     -1.737 (1.141)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industryInsulation Work Noc                        Drivers          -2.306* (1.248)    -2.709** (1.272)    -2.768** (1.276)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industryIron/Ste</w:t>
            </w:r>
            <w:r>
              <w:rPr>
                <w:rFonts w:ascii="Consolas" w:eastAsia="Consolas" w:hAnsi="Consolas" w:cs="Consolas"/>
                <w:sz w:val="15"/>
                <w:szCs w:val="15"/>
              </w:rPr>
              <w:t xml:space="preserve">el Fabricate Ornamental         0.422 (0.781)        0.189 (0.797)       0.110 (0.800)      0.268 (0.800)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industryLandscape Gardening                        Drivers           -0.110 (0.524)     -0.468 (0.531)      -0.535 (0.532)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industryLaundry Noc                           Route Supervisors      1.149 (0.981)       0.462 (0.988)      0.388 (0.990)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industryLaundry/Dry Cleaning Store-Retail      -0.664 (0.631)       -1.107* (0.637)     -1.199* (0.638)     -0.933 (0.645)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w:t>
            </w:r>
            <w:r>
              <w:rPr>
                <w:rFonts w:ascii="Consolas" w:eastAsia="Consolas" w:hAnsi="Consolas" w:cs="Consolas"/>
                <w:sz w:val="15"/>
                <w:szCs w:val="15"/>
              </w:rPr>
              <w:t xml:space="preserve">stryLaw Offices                            -1.272 (0.864)       -1.938** (0.869)   -2.040** (0.869)    -1.744** (0.877)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industryLawn or Shrub Spraying                 -2.409* (1.244)      -2.753** (1.270)   -2.751** (1.275)    -2.607** (1.270)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w:t>
            </w:r>
            <w:r>
              <w:rPr>
                <w:rFonts w:ascii="Consolas" w:eastAsia="Consolas" w:hAnsi="Consolas" w:cs="Consolas"/>
                <w:sz w:val="15"/>
                <w:szCs w:val="15"/>
              </w:rPr>
              <w:t xml:space="preserve">Marina                                     Drivers           -0.484 (1.106)     -1.040 (1.123)      -1.144 (1.125)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industryMasonry                               -1.056** (0.530)     -1.550*** (0.528)   -1.680*** (0.525)  -1.410*** (0.539)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industryMech</w:t>
            </w:r>
            <w:r>
              <w:rPr>
                <w:rFonts w:ascii="Consolas" w:eastAsia="Consolas" w:hAnsi="Consolas" w:cs="Consolas"/>
                <w:sz w:val="15"/>
                <w:szCs w:val="15"/>
              </w:rPr>
              <w:t xml:space="preserve">anic                               -0.436 (0.641)        -0.868 (0.651)     -0.978 (0.649)      -0.702 (0.656)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industryOutside Sales                         -2.910*** (0.966)    -2.653*** (0.991)   -2.963*** (0.991)  -2.859*** (0.987)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industryOxygen O</w:t>
            </w:r>
            <w:r>
              <w:rPr>
                <w:rFonts w:ascii="Consolas" w:eastAsia="Consolas" w:hAnsi="Consolas" w:cs="Consolas"/>
                <w:sz w:val="15"/>
                <w:szCs w:val="15"/>
              </w:rPr>
              <w:t xml:space="preserve">r Hydrogen Mfg                  0.132 (1.237)        -0.340 (1.261)     -0.296 (1.267)      -0.103 (1.263)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industryPainting, Noc                          -0.340 (0.486)        -0.716 (0.486)     -0.841* (0.483)     -0.537 (0.497)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industryPark Noc-All</w:t>
            </w:r>
            <w:r>
              <w:rPr>
                <w:rFonts w:ascii="Consolas" w:eastAsia="Consolas" w:hAnsi="Consolas" w:cs="Consolas"/>
                <w:sz w:val="15"/>
                <w:szCs w:val="15"/>
              </w:rPr>
              <w:t xml:space="preserve"> Empl                           Drvrs            -0.766 (0.564)    -1.249** (0.566)    -1.339** (0.565)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industryPhysicians                             -2.278* (1.247)      -2.799** (1.270)   -2.888** (1.275)    -2.530** (1.273)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industryPlaster Statuary/Ornament Mfg         -2.866** (1.249)      -3.254** (1.275)   -3.325*** (1.280)   -2.991** (1.277)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industryPump Installation                      1.145** (0.560)       0.746 (0.565)       0.656 (0.566)      0.907 (0.573)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w:t>
            </w:r>
            <w:r>
              <w:rPr>
                <w:rFonts w:ascii="Consolas" w:eastAsia="Consolas" w:hAnsi="Consolas" w:cs="Consolas"/>
                <w:sz w:val="15"/>
                <w:szCs w:val="15"/>
              </w:rPr>
              <w:t xml:space="preserve">stryReal Estate Mgmt Firm                   0.179 (0.802)        -0.373 (0.811)     -0.463 (0.812)      -0.176 (0.818)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industryRepair And Drivers                      0.706 (0.666)        0.522 (0.674)       0.516 (0.676)      0.594 (0.680)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w:t>
            </w:r>
            <w:r>
              <w:rPr>
                <w:rFonts w:ascii="Consolas" w:eastAsia="Consolas" w:hAnsi="Consolas" w:cs="Consolas"/>
                <w:sz w:val="15"/>
                <w:szCs w:val="15"/>
              </w:rPr>
              <w:t xml:space="preserve">Restaurant -Noc                        -0.805* (0.420)     -1.170*** (0.429)   -1.272*** (0.437)   -0.890** (0.429)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industrySchools - Professional                 -0.799 (1.412)        -1.414 (1.446)     -1.427 (1.453)      -1.048 (1.442)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industrySecu</w:t>
            </w:r>
            <w:r>
              <w:rPr>
                <w:rFonts w:ascii="Consolas" w:eastAsia="Consolas" w:hAnsi="Consolas" w:cs="Consolas"/>
                <w:sz w:val="15"/>
                <w:szCs w:val="15"/>
              </w:rPr>
              <w:t xml:space="preserve">rity Guards                        -0.687 (0.865)        -0.891 (0.883)     -0.956 (0.884)      -0.690 (0.889)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industrySewage Disposal Plant                 -3.496*** (1.265)    -3.997*** (1.288)   -3.996*** (1.293)  -3.843*** (1.290)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industryStone Cu</w:t>
            </w:r>
            <w:r>
              <w:rPr>
                <w:rFonts w:ascii="Consolas" w:eastAsia="Consolas" w:hAnsi="Consolas" w:cs="Consolas"/>
                <w:sz w:val="15"/>
                <w:szCs w:val="15"/>
              </w:rPr>
              <w:t xml:space="preserve">tting/Polishing Noc           -4.368*** (1.310)    -5.081*** (1.327)   -5.081*** (1.332)  -4.813*** (1.333)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industryStore-Retail-Noc                        0.612 (0.500)        0.175 (0.503)       0.090 (0.501)      0.360 (0.512)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industryStore:Furnit</w:t>
            </w:r>
            <w:r>
              <w:rPr>
                <w:rFonts w:ascii="Consolas" w:eastAsia="Consolas" w:hAnsi="Consolas" w:cs="Consolas"/>
                <w:sz w:val="15"/>
                <w:szCs w:val="15"/>
              </w:rPr>
              <w:t xml:space="preserve">ure                        -0.629 (1.048)        -1.180 (1.076)     -1.214 (1.082)      -0.852 (1.070)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industryStore:Hardware                          0.588 (0.785)        0.147 (0.796)       0.079 (0.798)      0.355 (0.802)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industryStreet Cleaning </w:t>
            </w:r>
            <w:r>
              <w:rPr>
                <w:rFonts w:ascii="Consolas" w:eastAsia="Consolas" w:hAnsi="Consolas" w:cs="Consolas"/>
                <w:sz w:val="15"/>
                <w:szCs w:val="15"/>
              </w:rPr>
              <w:t xml:space="preserve">                       -1.212 (1.239)        -1.615 (1.264)     -1.539 (1.270)      -1.402 (1.266)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industrySurveyors                              -0.574 (0.800)        -1.017 (0.811)     -1.140 (0.811)      -0.864 (0.817)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industrySwimming Pool Instal</w:t>
            </w:r>
            <w:r>
              <w:rPr>
                <w:rFonts w:ascii="Consolas" w:eastAsia="Consolas" w:hAnsi="Consolas" w:cs="Consolas"/>
                <w:sz w:val="15"/>
                <w:szCs w:val="15"/>
              </w:rPr>
              <w:t xml:space="preserve">l                  -0.396 (0.626)        -0.344 (0.639)     -0.431 (0.641)      -0.368 (0.639)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industryTelephone/Telegraph All Employees      -0.761 (0.884)        -1.102 (0.900)     -1.204 (0.902)      -0.875 (0.907)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industryTile,Stone,Work-Inside  </w:t>
            </w:r>
            <w:r>
              <w:rPr>
                <w:rFonts w:ascii="Consolas" w:eastAsia="Consolas" w:hAnsi="Consolas" w:cs="Consolas"/>
                <w:sz w:val="15"/>
                <w:szCs w:val="15"/>
              </w:rPr>
              <w:t xml:space="preserve">               -0.826 (0.506)       -1.063** (0.514)   -1.138** (0.514)    -0.921* (0.518)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industryTrucking - Noc                         -0.287 (1.233)        -0.501 (1.263)     -0.375 (1.266)      -0.290 (1.260)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industryWallboard Installation In Bu</w:t>
            </w:r>
            <w:r>
              <w:rPr>
                <w:rFonts w:ascii="Consolas" w:eastAsia="Consolas" w:hAnsi="Consolas" w:cs="Consolas"/>
                <w:sz w:val="15"/>
                <w:szCs w:val="15"/>
              </w:rPr>
              <w:t xml:space="preserve">ildings   -1.578*** (0.544)    -1.987*** (0.549)   -2.088*** (0.549)  -1.794*** (0.556)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cityAltha                                       0.267 (1.198)        0.212 (1.225)       0.349 (1.229)      0.302 (1.224)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cityArcadia                             </w:t>
            </w: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cityAtlantic Beach                             -0.164 (1.201)        -0.395 (1.228)     -0.271 (1.238)      -0.382 (1.227)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cityAuburndale                                  0.839 (1.225)        0.915 (1.252)       1.086 (1.255)      0.976 (1.251)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cityBonita Springs                              0.667 (1.128)        0.565 (1.153)       0.693 (1.158)      0.615 (1.152)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w:t>
            </w:r>
            <w:r>
              <w:rPr>
                <w:rFonts w:ascii="Consolas" w:eastAsia="Consolas" w:hAnsi="Consolas" w:cs="Consolas"/>
                <w:sz w:val="15"/>
                <w:szCs w:val="15"/>
              </w:rPr>
              <w:t xml:space="preserve">Brandon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cityBrooksville                                -1.915* (1.106)      -1.931* (1.131)    -2.270** (1.146)    -1.894* (1.130)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cityCass</w:t>
            </w:r>
            <w:r>
              <w:rPr>
                <w:rFonts w:ascii="Consolas" w:eastAsia="Consolas" w:hAnsi="Consolas" w:cs="Consolas"/>
                <w:sz w:val="15"/>
                <w:szCs w:val="15"/>
              </w:rPr>
              <w:t xml:space="preserve">elberry                                 0.638 (1.274)        0.600 (1.303)       0.754 (1.307)      0.652 (1.301)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cityChipley                                     0.366 (1.199)        0.502 (1.225)       0.645 (1.228)      0.512 (1.224)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cityCitrus S</w:t>
            </w:r>
            <w:r>
              <w:rPr>
                <w:rFonts w:ascii="Consolas" w:eastAsia="Consolas" w:hAnsi="Consolas" w:cs="Consolas"/>
                <w:sz w:val="15"/>
                <w:szCs w:val="15"/>
              </w:rPr>
              <w:t xml:space="preserve">prings                            -3.086** (1.201)      -3.079** (1.219)   -3.254*** (1.224)   -3.069** (1.218)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cityClearwater                                  0.504 (1.066)        0.638 (1.088)       0.856 (1.088)      0.660 (1.087)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cityClermont    </w:t>
            </w: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cityColumbus                                   -0.750 (1.191)        -0.981 (1.217)     -0.950 (1.222)      -0.930 (1.216)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cityDade City                                 -3.085** (1.272)      -3.286** (1.299)   -3.160** (1.303)    -3.164** (1.298)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cityDania Beach                                 0.097 (1.188)        0.193 (1.217)       0.369 (1.228)      0.148 (1.215)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w:t>
            </w:r>
            <w:r>
              <w:rPr>
                <w:rFonts w:ascii="Consolas" w:eastAsia="Consolas" w:hAnsi="Consolas" w:cs="Consolas"/>
                <w:sz w:val="15"/>
                <w:szCs w:val="15"/>
              </w:rPr>
              <w:t xml:space="preserve">Davie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cityDestin                                      0.360 (1.499)        -0.286 (1.532)      0.064 (1.537)      0.181 (1.531)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cityEnte</w:t>
            </w:r>
            <w:r>
              <w:rPr>
                <w:rFonts w:ascii="Consolas" w:eastAsia="Consolas" w:hAnsi="Consolas" w:cs="Consolas"/>
                <w:sz w:val="15"/>
                <w:szCs w:val="15"/>
              </w:rPr>
              <w:t xml:space="preserve">rprise                                 -2.373* (1.263)      -2.367* (1.289)     -2.285* (1.293)    -2.280* (1.287)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cityFern Park                                 -2.480** (1.255)      -2.628** (1.283)   -2.548** (1.288)    -2.581** (1.282)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cityFort Wal</w:t>
            </w:r>
            <w:r>
              <w:rPr>
                <w:rFonts w:ascii="Consolas" w:eastAsia="Consolas" w:hAnsi="Consolas" w:cs="Consolas"/>
                <w:sz w:val="15"/>
                <w:szCs w:val="15"/>
              </w:rPr>
              <w:t xml:space="preserve">ton Beach                           0.655 (1.231)        0.865 (1.262)       0.866 (1.272)      1.053 (1.255)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cityFountain                                  -4.187*** (1.284)    -4.518*** (1.309)   -4.371*** (1.314)  -4.428*** (1.308)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cityFreeport    </w:t>
            </w:r>
            <w:r>
              <w:rPr>
                <w:rFonts w:ascii="Consolas" w:eastAsia="Consolas" w:hAnsi="Consolas" w:cs="Consolas"/>
                <w:sz w:val="15"/>
                <w:szCs w:val="15"/>
              </w:rPr>
              <w:t xml:space="preserve">                               -0.204 (1.202)        -0.141 (1.229)     -0.019 (1.232)      -0.096 (1.227)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cityHernando Beach                             -0.418 (1.199)        -0.742 (1.225)     -0.708 (1.229)      -0.631 (1.224)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cityHighland Beach  </w:t>
            </w:r>
            <w:r>
              <w:rPr>
                <w:rFonts w:ascii="Consolas" w:eastAsia="Consolas" w:hAnsi="Consolas" w:cs="Consolas"/>
                <w:sz w:val="15"/>
                <w:szCs w:val="15"/>
              </w:rPr>
              <w:t xml:space="preserve">                           -0.107 (1.258)        -0.281 (1.289)     -0.100 (1.291)      -0.230 (1.287)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cityHoliday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cityHomestead                                   1.513 (0.982)        1.736* (1.004)     1.853* (1.004)      1.814* (0.999)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cityHudson                                      0.143 (1.248)        0.095 (1.276)       0.252 (1.281)      0.125 (1.275)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w:t>
            </w:r>
            <w:r>
              <w:rPr>
                <w:rFonts w:ascii="Consolas" w:eastAsia="Consolas" w:hAnsi="Consolas" w:cs="Consolas"/>
                <w:sz w:val="15"/>
                <w:szCs w:val="15"/>
              </w:rPr>
              <w:t xml:space="preserve">Indiantown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cityInverness                                 -2.343** (1.005)      -2.510** (1.024)   -2.588** (1.027)    -2.473** (1.024)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cityJack</w:t>
            </w:r>
            <w:r>
              <w:rPr>
                <w:rFonts w:ascii="Consolas" w:eastAsia="Consolas" w:hAnsi="Consolas" w:cs="Consolas"/>
                <w:sz w:val="15"/>
                <w:szCs w:val="15"/>
              </w:rPr>
              <w:t xml:space="preserve">sonville                               -1.084 (1.049)        -1.228 (1.071)     -1.061 (1.076)      -1.172 (1.070)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cityJacksonville Beach                         -2.510 (1.576)        -1.851 (1.699)     -1.293 (1.669)      -1.791 (1.678)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cityLake Cit</w:t>
            </w:r>
            <w:r>
              <w:rPr>
                <w:rFonts w:ascii="Consolas" w:eastAsia="Consolas" w:hAnsi="Consolas" w:cs="Consolas"/>
                <w:sz w:val="15"/>
                <w:szCs w:val="15"/>
              </w:rPr>
              <w:t xml:space="preserve">y                                   0.481 (1.525)        0.559 (1.564)       0.646 (1.574)      0.490 (1.560)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cityLakeland                                  -2.405** (1.213)      -2.573** (1.240)    -2.426* (1.244)    -2.493** (1.239)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cityLargo       </w:t>
            </w:r>
            <w:r>
              <w:rPr>
                <w:rFonts w:ascii="Consolas" w:eastAsia="Consolas" w:hAnsi="Consolas" w:cs="Consolas"/>
                <w:sz w:val="15"/>
                <w:szCs w:val="15"/>
              </w:rPr>
              <w:t xml:space="preserve">                               -0.725 (1.041)        -0.766 (1.065)     -0.599 (1.069)      -0.765 (1.064)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cityLehigh Acres                              -2.509** (1.151)      -2.401** (1.172)    -2.207* (1.168)    -2.350** (1.173)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cityLongwood        </w:t>
            </w:r>
            <w:r>
              <w:rPr>
                <w:rFonts w:ascii="Consolas" w:eastAsia="Consolas" w:hAnsi="Consolas" w:cs="Consolas"/>
                <w:sz w:val="15"/>
                <w:szCs w:val="15"/>
              </w:rPr>
              <w:t xml:space="preserve">                            0.509 (1.249)        0.805 (1.275)       0.770 (1.279)      0.618 (1.275)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cityLutz                                        0.125 (1.124)        0.330 (1.148)       0.487 (1.150)      0.349 (1.147)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cityLynn Haven          </w:t>
            </w:r>
            <w:r>
              <w:rPr>
                <w:rFonts w:ascii="Consolas" w:eastAsia="Consolas" w:hAnsi="Consolas" w:cs="Consolas"/>
                <w:sz w:val="15"/>
                <w:szCs w:val="15"/>
              </w:rPr>
              <w:t xml:space="preserve">                       -0.939 (1.014)        -1.284 (1.036)     -1.232 (1.040)      -1.103 (1.036)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cityMargate                                   -4.775*** (1.356)    -5.059*** (1.380)   -4.829*** (1.385)  -4.914*** (1.379)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cityMarianna                </w:t>
            </w: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cityMelbourne                                  -0.071 (1.200)        -0.157 (1.227)     -0.033 (1.231)      -0.088 (1.225)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cityMiami                       </w:t>
            </w:r>
            <w:r>
              <w:rPr>
                <w:rFonts w:ascii="Consolas" w:eastAsia="Consolas" w:hAnsi="Consolas" w:cs="Consolas"/>
                <w:sz w:val="15"/>
                <w:szCs w:val="15"/>
              </w:rPr>
              <w:t xml:space="preserve">               -1.893 (1.209)        -1.751 (1.235)     -1.518 (1.237)      -1.753 (1.234)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cityMilton                                    -3.321*** (1.239)    -3.620*** (1.264)   -3.495*** (1.269)  -3.504*** (1.263)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cityMolino                          </w:t>
            </w:r>
            <w:r>
              <w:rPr>
                <w:rFonts w:ascii="Consolas" w:eastAsia="Consolas" w:hAnsi="Consolas" w:cs="Consolas"/>
                <w:sz w:val="15"/>
                <w:szCs w:val="15"/>
              </w:rPr>
              <w:t xml:space="preserve">           2.243** (0.969)      2.368** (0.992)     2.486** (0.993)    2.505** (0.987)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cityNaples                                     -0.069 (0.981)        -0.075 (1.003)      0.075 (1.006)      -0.035 (1.002)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cityNeptune Beach                       </w:t>
            </w:r>
            <w:r>
              <w:rPr>
                <w:rFonts w:ascii="Consolas" w:eastAsia="Consolas" w:hAnsi="Consolas" w:cs="Consolas"/>
                <w:sz w:val="15"/>
                <w:szCs w:val="15"/>
              </w:rPr>
              <w:t xml:space="preserve">        0.831 (0.947)        0.708 (0.968)       0.574 (0.973)      0.691 (0.968)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cityNew Port Richey                            -0.655 (1.251)        -0.552 (1.278)     -0.381 (1.282)      -0.527 (1.277)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cityOakland                                     0.315 (1.246)        0.439 (1.274)       0.615 (1.278)      0.442 (1.272)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cityOcala                                       0.681 (1.215)        0.624 (1.243)       0.749 (1.247)      0.713 (1.241)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w:t>
            </w:r>
            <w:r>
              <w:rPr>
                <w:rFonts w:ascii="Consolas" w:eastAsia="Consolas" w:hAnsi="Consolas" w:cs="Consolas"/>
                <w:sz w:val="15"/>
                <w:szCs w:val="15"/>
              </w:rPr>
              <w:t xml:space="preserve">Odessa                                     -2.079 (1.273)       -2.210* (1.303)     -2.103 (1.306)     -2.202* (1.302)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cityOldsmar                                   -4.631*** (1.431)    -5.056*** (1.453)   -5.101*** (1.457)  -4.805*** (1.455)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cityOrla</w:t>
            </w:r>
            <w:r>
              <w:rPr>
                <w:rFonts w:ascii="Consolas" w:eastAsia="Consolas" w:hAnsi="Consolas" w:cs="Consolas"/>
                <w:sz w:val="15"/>
                <w:szCs w:val="15"/>
              </w:rPr>
              <w:t xml:space="preserve">ndo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cityOviedo                                      0.156 (1.211)        0.654 (1.229)       0.855 (1.229)      0.587 (1.230)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cityPace    </w:t>
            </w:r>
            <w:r>
              <w:rPr>
                <w:rFonts w:ascii="Consolas" w:eastAsia="Consolas" w:hAnsi="Consolas" w:cs="Consolas"/>
                <w:sz w:val="15"/>
                <w:szCs w:val="15"/>
              </w:rPr>
              <w:t xml:space="preserve">                                   -1.344 (1.219)        -1.331 (1.250)     -1.270 (1.254)      -1.132 (1.244)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cityPalm Coast                                 -2.082 (1.291)        -2.173 (1.322)     -2.024 (1.324)      -2.061 (1.319)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cityPanama City </w:t>
            </w:r>
            <w:r>
              <w:rPr>
                <w:rFonts w:ascii="Consolas" w:eastAsia="Consolas" w:hAnsi="Consolas" w:cs="Consolas"/>
                <w:sz w:val="15"/>
                <w:szCs w:val="15"/>
              </w:rPr>
              <w:t xml:space="preserve">                               -1.645* (0.977)      -1.689* (0.999)     -1.533 (1.001)      -1.592 (0.997)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cityPanama City Beach                          -1.012 (0.953)        -0.987 (0.975)     -0.865 (0.977)      -0.921 (0.973)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cityPensacola                                  -0.494 (1.071)        -0.387 (1.099)     -0.204 (1.100)      -0.152 (1.093)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cityPensacola Beach                            -1.681 (1.197)        -1.690 (1.224)     -1.696 (1.229)      -1.669 (1.223)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w:t>
            </w:r>
            <w:r>
              <w:rPr>
                <w:rFonts w:ascii="Consolas" w:eastAsia="Consolas" w:hAnsi="Consolas" w:cs="Consolas"/>
                <w:sz w:val="15"/>
                <w:szCs w:val="15"/>
              </w:rPr>
              <w:t xml:space="preserve">Pinellas Park                              -1.909 (1.208)        -1.881 (1.235)     -1.682 (1.238)      -1.837 (1.233)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cityPlant City                                  0.708 (1.109)        0.921 (1.133)       1.046 (1.137)      0.865 (1.132)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cityPlan</w:t>
            </w:r>
            <w:r>
              <w:rPr>
                <w:rFonts w:ascii="Consolas" w:eastAsia="Consolas" w:hAnsi="Consolas" w:cs="Consolas"/>
                <w:sz w:val="15"/>
                <w:szCs w:val="15"/>
              </w:rPr>
              <w:t xml:space="preserve">tation                                 -1.384 (1.365)        -0.859 (1.390)     -0.494 (1.383)      -0.805 (1.385)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cityPonce de Leon                             -3.792*** (1.236)    -4.062*** (1.260)   -3.980*** (1.265)  -3.919*** (1.260)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cityPort St.</w:t>
            </w:r>
            <w:r>
              <w:rPr>
                <w:rFonts w:ascii="Consolas" w:eastAsia="Consolas" w:hAnsi="Consolas" w:cs="Consolas"/>
                <w:sz w:val="15"/>
                <w:szCs w:val="15"/>
              </w:rPr>
              <w:t xml:space="preserve"> Lucie                             -0.929 (1.093)        -0.950 (1.119)     -0.781 (1.121)      -0.855 (1.117)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cityPunta Gorda                                -1.492 (1.102)        -1.314 (1.125)     -1.220 (1.129)      -1.259 (1.124)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cityRiverview   </w:t>
            </w:r>
            <w:r>
              <w:rPr>
                <w:rFonts w:ascii="Consolas" w:eastAsia="Consolas" w:hAnsi="Consolas" w:cs="Consolas"/>
                <w:sz w:val="15"/>
                <w:szCs w:val="15"/>
              </w:rPr>
              <w:t xml:space="preserve">                               -1.167 (1.412)        -1.176 (1.445)     -0.974 (1.449)      -1.102 (1.443)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 Pasadena                                 1.781 (1.198)        1.849 (1.225)       1.948 (1.228)      1.911 (1.223)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citySaint Petersburg</w:t>
            </w:r>
            <w:r>
              <w:rPr>
                <w:rFonts w:ascii="Consolas" w:eastAsia="Consolas" w:hAnsi="Consolas" w:cs="Consolas"/>
                <w:sz w:val="15"/>
                <w:szCs w:val="15"/>
              </w:rPr>
              <w:t xml:space="preserve">                           -0.765 (1.297)        -0.922 (1.325)     -0.765 (1.332)      -0.833 (1.325)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citySan Antonio                                -1.269 (1.238)        -0.995 (1.262)     -0.861 (1.266)      -1.011 (1.261)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citySarasota</w:t>
            </w:r>
            <w:r>
              <w:rPr>
                <w:rFonts w:ascii="Consolas" w:eastAsia="Consolas" w:hAnsi="Consolas" w:cs="Consolas"/>
                <w:sz w:val="15"/>
                <w:szCs w:val="15"/>
              </w:rPr>
              <w:t xml:space="preserve">                                    0.465 (1.196)        0.472 (1.223)       0.624 (1.231)      0.439 (1.221)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citySeffner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citySeminole    </w:t>
            </w:r>
            <w:r>
              <w:rPr>
                <w:rFonts w:ascii="Consolas" w:eastAsia="Consolas" w:hAnsi="Consolas" w:cs="Consolas"/>
                <w:sz w:val="15"/>
                <w:szCs w:val="15"/>
              </w:rPr>
              <w:t xml:space="preserve">                               -1.149 (1.243)        -1.258 (1.271)     -1.118 (1.276)      -1.175 (1.270)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citySouth Pasadena                             -1.184 (1.210)        -0.884 (1.233)     -0.698 (1.234)      -0.916 (1.233)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citySouthport       </w:t>
            </w:r>
            <w:r>
              <w:rPr>
                <w:rFonts w:ascii="Consolas" w:eastAsia="Consolas" w:hAnsi="Consolas" w:cs="Consolas"/>
                <w:sz w:val="15"/>
                <w:szCs w:val="15"/>
              </w:rPr>
              <w:t xml:space="preserve">                            0.836 (1.108)        0.862 (1.133)       1.011 (1.137)      0.891 (1.132)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citySpring Hill                                -1.508 (1.061)       -1.820* (1.085)     -1.720 (1.088)      -1.650 (1.084)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citySpringhill          </w:t>
            </w:r>
            <w:r>
              <w:rPr>
                <w:rFonts w:ascii="Consolas" w:eastAsia="Consolas" w:hAnsi="Consolas" w:cs="Consolas"/>
                <w:sz w:val="15"/>
                <w:szCs w:val="15"/>
              </w:rPr>
              <w:t xml:space="preserve">                       -1.485 (1.131)        -1.586 (1.184)     -1.339 (1.173)      -1.581 (1.186)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citySt. Augustine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citySt. James City          </w:t>
            </w:r>
            <w:r>
              <w:rPr>
                <w:rFonts w:ascii="Consolas" w:eastAsia="Consolas" w:hAnsi="Consolas" w:cs="Consolas"/>
                <w:sz w:val="15"/>
                <w:szCs w:val="15"/>
              </w:rPr>
              <w:t xml:space="preserve">                    0.204 (1.251)        0.466 (1.277)       0.676 (1.279)      0.464 (1.275)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citySt. Petersburg                              0.253 (1.012)        0.189 (1.036)       0.344 (1.039)      0.270 (1.034)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cityStuart                      </w:t>
            </w:r>
            <w:r>
              <w:rPr>
                <w:rFonts w:ascii="Consolas" w:eastAsia="Consolas" w:hAnsi="Consolas" w:cs="Consolas"/>
                <w:sz w:val="15"/>
                <w:szCs w:val="15"/>
              </w:rPr>
              <w:t xml:space="preserve">               -1.720 (1.208)        -1.940 (1.235)     -1.770 (1.240)      -1.834 (1.234)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cityTampa                                      -0.814 (1.012)        -0.910 (1.036)     -0.742 (1.037)      -0.869 (1.035)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cityTarpon Springs                  </w:t>
            </w:r>
            <w:r>
              <w:rPr>
                <w:rFonts w:ascii="Consolas" w:eastAsia="Consolas" w:hAnsi="Consolas" w:cs="Consolas"/>
                <w:sz w:val="15"/>
                <w:szCs w:val="15"/>
              </w:rPr>
              <w:t xml:space="preserve">           -2.312* (1.299)      -2.541* (1.327)     -2.499* (1.332)    -2.375* (1.326)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cityVernon                                      1.006 (1.262)        1.678 (1.277)       1.907 (1.277)      1.596 (1.280)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cityWesley Chapel                       </w:t>
            </w: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cityWest Palm Beach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cityWildwood                                </w:t>
            </w:r>
            <w:r>
              <w:rPr>
                <w:rFonts w:ascii="Consolas" w:eastAsia="Consolas" w:hAnsi="Consolas" w:cs="Consolas"/>
                <w:sz w:val="15"/>
                <w:szCs w:val="15"/>
              </w:rPr>
              <w:t xml:space="preserve">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cityYoungstown                                  0.642 (1.150)        0.726 (1.176)       0.894 (1.179)      0.788 (1.175)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cityZephyrhills                                 </w:t>
            </w:r>
            <w:r>
              <w:rPr>
                <w:rFonts w:ascii="Consolas" w:eastAsia="Consolas" w:hAnsi="Consolas" w:cs="Consolas"/>
                <w:sz w:val="15"/>
                <w:szCs w:val="15"/>
              </w:rPr>
              <w:t xml:space="preserve">0.746 (1.216)        0.721 (1.244)       0.856 (1.247)      0.798 (1.242)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statusT                                       -0.382** (0.188)     -0.559*** (0.188)   -0.634*** (0.187)  -0.557*** (0.188)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wc.carrierState National Insurance            0.598*</w:t>
            </w:r>
            <w:r>
              <w:rPr>
                <w:rFonts w:ascii="Consolas" w:eastAsia="Consolas" w:hAnsi="Consolas" w:cs="Consolas"/>
                <w:sz w:val="15"/>
                <w:szCs w:val="15"/>
              </w:rPr>
              <w:t xml:space="preserve">** (0.214)      0.717*** (0.217)   0.718*** (0.217)    0.699*** (0.217)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sum.of.gross.profit                         0.00004*** (0.00001)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sum.of.hours                                                      0.00002*** (0.00000)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average.of.employees                                                                   0.025*** (0.009)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sum.</w:t>
            </w:r>
            <w:r>
              <w:rPr>
                <w:rFonts w:ascii="Consolas" w:eastAsia="Consolas" w:hAnsi="Consolas" w:cs="Consolas"/>
                <w:sz w:val="15"/>
                <w:szCs w:val="15"/>
              </w:rPr>
              <w:t>of.total.rev                                                                                         0.00001*** (0.00000)</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Constant                                      5.697*** (1.047)      6.304*** (1.062)   6.252*** (1.068)    6.051*** (1.068)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w:t>
            </w:r>
            <w:r>
              <w:rPr>
                <w:rFonts w:ascii="Consolas" w:eastAsia="Consolas" w:hAnsi="Consolas" w:cs="Consolas"/>
                <w:sz w:val="15"/>
                <w:szCs w:val="15"/>
              </w:rPr>
              <w:t>---------------------------------------------------------------------------------------------------------------------</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Observations                                         231                  231                 231                231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Log Likeliho</w:t>
            </w:r>
            <w:r>
              <w:rPr>
                <w:rFonts w:ascii="Consolas" w:eastAsia="Consolas" w:hAnsi="Consolas" w:cs="Consolas"/>
                <w:sz w:val="15"/>
                <w:szCs w:val="15"/>
              </w:rPr>
              <w:t xml:space="preserve">od                                   -1,280.228            -1,285.564         -1,286.341          -1,285.383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theta                                         2.252*** (0.209)      2.152*** (0.199)   2.137*** (0.197)    2.156*** (0.199)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Akaike Inf. Crit</w:t>
            </w:r>
            <w:r>
              <w:rPr>
                <w:rFonts w:ascii="Consolas" w:eastAsia="Consolas" w:hAnsi="Consolas" w:cs="Consolas"/>
                <w:sz w:val="15"/>
                <w:szCs w:val="15"/>
              </w:rPr>
              <w:t xml:space="preserve">.                                 2,842.455            2,853.129           2,854.682          2,852.765      </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w:t>
            </w:r>
          </w:p>
          <w:p w:rsidR="00E04A25" w:rsidRDefault="00C40F9D">
            <w:pPr>
              <w:widowControl w:val="0"/>
              <w:pBdr>
                <w:top w:val="nil"/>
                <w:left w:val="nil"/>
                <w:bottom w:val="nil"/>
                <w:right w:val="nil"/>
                <w:between w:val="nil"/>
              </w:pBdr>
              <w:spacing w:before="0" w:line="240" w:lineRule="auto"/>
              <w:ind w:left="0"/>
              <w:rPr>
                <w:rFonts w:ascii="Consolas" w:eastAsia="Consolas" w:hAnsi="Consolas" w:cs="Consolas"/>
                <w:sz w:val="15"/>
                <w:szCs w:val="15"/>
              </w:rPr>
            </w:pPr>
            <w:r>
              <w:rPr>
                <w:rFonts w:ascii="Consolas" w:eastAsia="Consolas" w:hAnsi="Consolas" w:cs="Consolas"/>
                <w:sz w:val="15"/>
                <w:szCs w:val="15"/>
              </w:rPr>
              <w:t xml:space="preserve">Note:               </w:t>
            </w:r>
            <w:r>
              <w:rPr>
                <w:rFonts w:ascii="Consolas" w:eastAsia="Consolas" w:hAnsi="Consolas" w:cs="Consolas"/>
                <w:sz w:val="15"/>
                <w:szCs w:val="15"/>
              </w:rPr>
              <w:t xml:space="preserve">                                                                              *p&lt;0.1; **p&lt;0.05; ***p&lt;0.01</w:t>
            </w:r>
          </w:p>
          <w:p w:rsidR="00E04A25" w:rsidRDefault="00E04A25">
            <w:pPr>
              <w:widowControl w:val="0"/>
              <w:pBdr>
                <w:top w:val="nil"/>
                <w:left w:val="nil"/>
                <w:bottom w:val="nil"/>
                <w:right w:val="nil"/>
                <w:between w:val="nil"/>
              </w:pBdr>
              <w:spacing w:before="0" w:line="240" w:lineRule="auto"/>
              <w:ind w:left="0"/>
              <w:rPr>
                <w:rFonts w:ascii="Nunito" w:eastAsia="Nunito" w:hAnsi="Nunito" w:cs="Nunito"/>
                <w:sz w:val="20"/>
                <w:szCs w:val="20"/>
              </w:rPr>
            </w:pPr>
          </w:p>
        </w:tc>
      </w:tr>
    </w:tbl>
    <w:p w:rsidR="00E04A25" w:rsidRDefault="00E04A25">
      <w:pPr>
        <w:pBdr>
          <w:top w:val="nil"/>
          <w:left w:val="nil"/>
          <w:bottom w:val="nil"/>
          <w:right w:val="nil"/>
          <w:between w:val="nil"/>
        </w:pBdr>
        <w:spacing w:line="240" w:lineRule="auto"/>
        <w:rPr>
          <w:rFonts w:ascii="Nunito" w:eastAsia="Nunito" w:hAnsi="Nunito" w:cs="Nunito"/>
          <w:sz w:val="20"/>
          <w:szCs w:val="20"/>
        </w:rPr>
      </w:pPr>
    </w:p>
    <w:p w:rsidR="00E04A25" w:rsidRDefault="00E04A25">
      <w:pPr>
        <w:pBdr>
          <w:top w:val="nil"/>
          <w:left w:val="nil"/>
          <w:bottom w:val="nil"/>
          <w:right w:val="nil"/>
          <w:between w:val="nil"/>
        </w:pBdr>
        <w:spacing w:line="240" w:lineRule="auto"/>
      </w:pPr>
    </w:p>
    <w:p w:rsidR="00E04A25" w:rsidRDefault="00E04A25">
      <w:pPr>
        <w:pBdr>
          <w:top w:val="nil"/>
          <w:left w:val="nil"/>
          <w:bottom w:val="nil"/>
          <w:right w:val="nil"/>
          <w:between w:val="nil"/>
        </w:pBdr>
        <w:spacing w:line="240" w:lineRule="auto"/>
      </w:pPr>
    </w:p>
    <w:sectPr w:rsidR="00E04A25">
      <w:headerReference w:type="default" r:id="rId23"/>
      <w:footerReference w:type="default" r:id="rId24"/>
      <w:headerReference w:type="first" r:id="rId25"/>
      <w:footerReference w:type="first" r:id="rId26"/>
      <w:pgSz w:w="12240" w:h="15840"/>
      <w:pgMar w:top="1080" w:right="720" w:bottom="108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F9D" w:rsidRDefault="00C40F9D">
      <w:pPr>
        <w:spacing w:before="0" w:line="240" w:lineRule="auto"/>
      </w:pPr>
      <w:r>
        <w:separator/>
      </w:r>
    </w:p>
  </w:endnote>
  <w:endnote w:type="continuationSeparator" w:id="0">
    <w:p w:rsidR="00C40F9D" w:rsidRDefault="00C40F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Nunit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25" w:rsidRDefault="00C40F9D">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04A25" w:rsidRDefault="00C40F9D">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D5383A">
      <w:rPr>
        <w:rFonts w:ascii="Economica" w:eastAsia="Economica" w:hAnsi="Economica" w:cs="Economica"/>
      </w:rPr>
      <w:fldChar w:fldCharType="separate"/>
    </w:r>
    <w:r w:rsidR="00D5383A">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25" w:rsidRDefault="00C40F9D">
    <w:pPr>
      <w:pBdr>
        <w:top w:val="nil"/>
        <w:left w:val="nil"/>
        <w:bottom w:val="nil"/>
        <w:right w:val="nil"/>
        <w:between w:val="nil"/>
      </w:pBdr>
      <w:spacing w:before="0"/>
    </w:pPr>
    <w:r>
      <w:rPr>
        <w:noProof/>
      </w:rPr>
      <w:drawing>
        <wp:inline distT="114300" distB="114300" distL="114300" distR="114300">
          <wp:extent cx="5943600" cy="25400"/>
          <wp:effectExtent l="0" t="0" r="0" b="0"/>
          <wp:docPr id="1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04A25" w:rsidRDefault="00E04A25">
    <w:pPr>
      <w:pStyle w:val="Subtitle"/>
      <w:pBdr>
        <w:top w:val="nil"/>
        <w:left w:val="nil"/>
        <w:bottom w:val="nil"/>
        <w:right w:val="nil"/>
        <w:between w:val="nil"/>
      </w:pBdr>
    </w:pPr>
    <w:bookmarkStart w:id="24" w:name="_w494w0yg8rg0" w:colFirst="0" w:colLast="0"/>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F9D" w:rsidRDefault="00C40F9D">
      <w:pPr>
        <w:spacing w:before="0" w:line="240" w:lineRule="auto"/>
      </w:pPr>
      <w:r>
        <w:separator/>
      </w:r>
    </w:p>
  </w:footnote>
  <w:footnote w:type="continuationSeparator" w:id="0">
    <w:p w:rsidR="00C40F9D" w:rsidRDefault="00C40F9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25" w:rsidRDefault="00E04A25">
    <w:pPr>
      <w:pStyle w:val="Subtitle"/>
      <w:pBdr>
        <w:top w:val="nil"/>
        <w:left w:val="nil"/>
        <w:bottom w:val="nil"/>
        <w:right w:val="nil"/>
        <w:between w:val="nil"/>
      </w:pBdr>
      <w:spacing w:before="600"/>
    </w:pPr>
    <w:bookmarkStart w:id="23" w:name="_leajue2ys1lr" w:colFirst="0" w:colLast="0"/>
    <w:bookmarkEnd w:id="23"/>
  </w:p>
  <w:p w:rsidR="00E04A25" w:rsidRDefault="00C40F9D">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6"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A25" w:rsidRDefault="00E04A2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59A"/>
    <w:multiLevelType w:val="multilevel"/>
    <w:tmpl w:val="D9CA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9079E"/>
    <w:multiLevelType w:val="multilevel"/>
    <w:tmpl w:val="B6A08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900D8"/>
    <w:multiLevelType w:val="multilevel"/>
    <w:tmpl w:val="33B29C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086802"/>
    <w:multiLevelType w:val="multilevel"/>
    <w:tmpl w:val="C186C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6C304D"/>
    <w:multiLevelType w:val="multilevel"/>
    <w:tmpl w:val="568A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E84CAB"/>
    <w:multiLevelType w:val="multilevel"/>
    <w:tmpl w:val="F8100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25"/>
    <w:rsid w:val="00C40F9D"/>
    <w:rsid w:val="00D5383A"/>
    <w:rsid w:val="00E0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5F5F"/>
  <w15:docId w15:val="{C0739BE8-A357-4275-8C7A-AEC4BFE5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ezproxy.lib.usf.edu/10.1080/07421222.2018.152289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focustechnologygroup.com/files/ACAMS%20TODAY%20march%20april%20pg%2024-25.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netprofitgrowth.com/peo-industry-statistics-201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apeo.org/what-is-a-peo/about-the-peo-industry/industry-statistics" TargetMode="External"/><Relationship Id="rId20" Type="http://schemas.openxmlformats.org/officeDocument/2006/relationships/hyperlink" Target="https://egrove.olemiss.edu/cgi/viewcontent.cgi?article=1049&amp;context=dl_proceed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ezproxy.lib.usf.edu/10.1111/poms.125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2308/accr.2003.78.4.1003"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7666</Words>
  <Characters>43701</Characters>
  <Application>Microsoft Office Word</Application>
  <DocSecurity>0</DocSecurity>
  <Lines>364</Lines>
  <Paragraphs>102</Paragraphs>
  <ScaleCrop>false</ScaleCrop>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Johnson</cp:lastModifiedBy>
  <cp:revision>2</cp:revision>
  <dcterms:created xsi:type="dcterms:W3CDTF">2021-01-03T22:54:00Z</dcterms:created>
  <dcterms:modified xsi:type="dcterms:W3CDTF">2021-01-03T22:54:00Z</dcterms:modified>
</cp:coreProperties>
</file>