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rFonts w:ascii="Arial" w:hAnsi="Arial"/>
        </w:rPr>
        <w:t>Google Antigravity - spec v2</w:t>
        <w:br/>
        <w:t>DEEP PSY TESTS</w:t>
      </w:r>
    </w:p>
    <w:p>
      <w:pPr>
        <w:pStyle w:val="SubTitleCustom"/>
      </w:pPr>
      <w:r>
        <w:t xml:space="preserve">Исправление к предыдущей спецификации: в систему должны быть включены не только верхнеуровневые категории и подкатегории, но и сами тесты как отдельные сущности каталога, маршрутов и страниц. </w:t>
      </w:r>
      <w:r>
        <w:t>Ниже перечислены named tests из бизнес-требований и правила, как Antigravity должен с ними обращаться.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/>
            <w:r>
              <w:rPr>
                <w:b/>
                <w:color w:val="F4EEE3"/>
              </w:rPr>
              <w:t xml:space="preserve">Ключевая правка: каждая карточка теста = отдельный тест, а не подкатегория. </w:t>
            </w:r>
            <w:r>
              <w:rPr>
                <w:color w:val="F4EEE3"/>
              </w:rPr>
              <w:t>Например: «Структура личности» - это подкатегория. А MMPI-2 / СМИЛ, 16PF, NEO-PI-R/NEO-FFI, IPIP-NEO, BFI-2 - это уже отдельные тесты/инструменты, каждый со своей карточкой, описанием, route logic и статусом лицензирования.</w:t>
            </w:r>
          </w:p>
        </w:tc>
      </w:tr>
    </w:tbl>
    <w:p>
      <w:pPr>
        <w:pStyle w:val="Heading1Custom"/>
      </w:pPr>
      <w:r>
        <w:t>1. Обязательное правило для Antigravity</w:t>
      </w:r>
    </w:p>
    <w:p>
      <w:pPr>
        <w:ind w:left="0"/>
      </w:pPr>
      <w:r>
        <w:rPr>
          <w:b/>
        </w:rPr>
        <w:t xml:space="preserve">• </w:t>
      </w:r>
      <w:r>
        <w:t>На общей странице /tests должны быть показаны все верхнеуровневые категории, но внутри них Antigravity обязан учитывать и сами тесты как самостоятельные сущности каталога.</w:t>
      </w:r>
    </w:p>
    <w:p>
      <w:pPr>
        <w:ind w:left="0"/>
      </w:pPr>
      <w:r>
        <w:rPr>
          <w:b/>
        </w:rPr>
        <w:t xml:space="preserve">• </w:t>
      </w:r>
      <w:r>
        <w:t>На странице конкретной категории (для тестовой сборки - /tests/personality) должны быть показаны все подкатегории и все named tests внутри них.</w:t>
      </w:r>
    </w:p>
    <w:p>
      <w:pPr>
        <w:ind w:left="0"/>
      </w:pPr>
      <w:r>
        <w:rPr>
          <w:b/>
        </w:rPr>
        <w:t xml:space="preserve">• </w:t>
      </w:r>
      <w:r>
        <w:t>Каждый named test должен получить отдельную test card с названием, кратким practically oriented описанием, примерным числом вопросов/временем, статусом лицензирования и CTA.</w:t>
      </w:r>
    </w:p>
    <w:p>
      <w:pPr>
        <w:ind w:left="0"/>
      </w:pPr>
      <w:r>
        <w:rPr>
          <w:b/>
        </w:rPr>
        <w:t xml:space="preserve">• </w:t>
      </w:r>
      <w:r>
        <w:t>Antigravity не должен автоматически вставлять verbatim items для проприетарных методик без явной проверки прав. Для таких тестов допустимы: карточка, описание, структура страницы, маршрут, CTA и open/public-domain replacement.</w:t>
      </w:r>
    </w:p>
    <w:p>
      <w:pPr>
        <w:ind w:left="0"/>
      </w:pPr>
      <w:r>
        <w:rPr>
          <w:b/>
        </w:rPr>
        <w:t xml:space="preserve">• </w:t>
      </w:r>
      <w:r>
        <w:t>Для публичного runnable demo Antigravity должен использовать open/public-domain or clearly usable alternatives там, где официальный тест платный или закрытый.</w:t>
      </w:r>
    </w:p>
    <w:p>
      <w:pPr>
        <w:pStyle w:val="Heading1Custom"/>
      </w:pPr>
      <w:r>
        <w:t>2. Что именно собрать в тестовом дизайне</w:t>
      </w:r>
    </w:p>
    <w:p>
      <w:pPr>
        <w:ind w:left="0"/>
      </w:pPr>
      <w:r>
        <w:rPr>
          <w:b/>
        </w:rPr>
        <w:t xml:space="preserve">• </w:t>
      </w:r>
      <w:r>
        <w:t>Страница 1: /tests - главная страница всех тестов. На ней должны быть 9/10 верхнеуровневых категорий, библиотека по русскоязычным названиям и библиотека по ключевым словам.</w:t>
      </w:r>
    </w:p>
    <w:p>
      <w:pPr>
        <w:ind w:left="0"/>
      </w:pPr>
      <w:r>
        <w:rPr>
          <w:b/>
        </w:rPr>
        <w:t xml:space="preserve">• </w:t>
      </w:r>
      <w:r>
        <w:t>Страница 2: /tests/personality - полностью наполненная тестовая страница категории «Исследование личности», включая все подкатегории и named tests.</w:t>
      </w:r>
    </w:p>
    <w:p>
      <w:pPr>
        <w:ind w:left="0"/>
      </w:pPr>
      <w:r>
        <w:rPr>
          <w:b/>
        </w:rPr>
        <w:t xml:space="preserve">• </w:t>
      </w:r>
      <w:r>
        <w:t>Внутри /tests/personality должны быть логические маршруты: базовый широкий вход -&gt; уточняющие тесты -&gt; углубляющие тесты -&gt; глубинные психодинамические инструменты.</w:t>
      </w:r>
    </w:p>
    <w:p>
      <w:pPr>
        <w:ind w:left="0"/>
      </w:pPr>
      <w:r>
        <w:rPr>
          <w:b/>
        </w:rPr>
        <w:t xml:space="preserve">• </w:t>
      </w:r>
      <w:r>
        <w:t>Визуальный стиль - тот же DEEP dark premium: base background #111111, warm sand accent #E8D6B3, restrained borders, airy spacing, premium typography, mobile-first layout.</w:t>
      </w:r>
    </w:p>
    <w:p>
      <w:pPr>
        <w:ind w:left="0"/>
      </w:pPr>
      <w:r>
        <w:rPr>
          <w:b/>
        </w:rPr>
        <w:t xml:space="preserve">• </w:t>
      </w:r>
      <w:r>
        <w:t>Весь функциональный слой после hero может быть реализован в T123. Hero, общие тексты и часть контентных секций Артём может собрать вручную в Tilda; всё остальное Antigravity может дать кодом.</w:t>
      </w:r>
    </w:p>
    <w:p>
      <w:pPr>
        <w:pStyle w:val="Heading1Custom"/>
      </w:pPr>
      <w:r>
        <w:t>3. Дизайн-токены и адаптив, которые нельзя нарушать</w:t>
      </w:r>
    </w:p>
    <w:p>
      <w:pPr>
        <w:ind w:left="0"/>
      </w:pPr>
      <w:r>
        <w:rPr>
          <w:b/>
        </w:rPr>
        <w:t xml:space="preserve">• </w:t>
      </w:r>
      <w:r>
        <w:t>Фон всего раздела: #111111.</w:t>
      </w:r>
    </w:p>
    <w:p>
      <w:pPr>
        <w:ind w:left="0"/>
      </w:pPr>
      <w:r>
        <w:rPr>
          <w:b/>
        </w:rPr>
        <w:t xml:space="preserve">• </w:t>
      </w:r>
      <w:r>
        <w:t>Акцент: #E8D6B3; hover/darker accent: #D9C29A; текст на тёмном фоне - near-white, вспомогательный текст - muted warm gray.</w:t>
      </w:r>
    </w:p>
    <w:p>
      <w:pPr>
        <w:ind w:left="0"/>
      </w:pPr>
      <w:r>
        <w:rPr>
          <w:b/>
        </w:rPr>
        <w:t xml:space="preserve">• </w:t>
      </w:r>
      <w:r>
        <w:t>Window container paddings: &gt;1200 px -&gt; 40 px; 960 px -&gt; 40 px; 640 px -&gt; 20 px; &lt;=480 px -&gt; 10 px.</w:t>
      </w:r>
    </w:p>
    <w:p>
      <w:pPr>
        <w:ind w:left="0"/>
      </w:pPr>
      <w:r>
        <w:rPr>
          <w:b/>
        </w:rPr>
        <w:t xml:space="preserve">• </w:t>
      </w:r>
      <w:r>
        <w:t>Визуальная система: rounded cards, тонкие рамки, мягкие тени, аккуратные chips/pills, clear hierarchy of category -&gt; subcategory -&gt; test.</w:t>
      </w:r>
    </w:p>
    <w:p>
      <w:pPr>
        <w:ind w:left="0"/>
      </w:pPr>
      <w:r>
        <w:rPr>
          <w:b/>
        </w:rPr>
        <w:t xml:space="preserve">• </w:t>
      </w:r>
      <w:r>
        <w:t>Tilda-ready code: no external fragile dependencies unless explicitly justified; modular CSS classes; defensive JS namespacing.</w:t>
      </w:r>
    </w:p>
    <w:p>
      <w:pPr>
        <w:pStyle w:val="Heading1Custom"/>
      </w:pPr>
      <w:r>
        <w:t>4. Лицензирование и research rules</w:t>
      </w:r>
    </w:p>
    <w:p>
      <w:pPr>
        <w:ind w:left="0"/>
      </w:pPr>
      <w:r>
        <w:rPr>
          <w:b/>
        </w:rPr>
        <w:t xml:space="preserve">• </w:t>
      </w:r>
      <w:r>
        <w:t>Antigravity обязан провести web research по каждому named test: официальный статус, public domain / restricted / requires license / academic-only / commercial restrictions.</w:t>
      </w:r>
    </w:p>
    <w:p>
      <w:pPr>
        <w:ind w:left="0"/>
      </w:pPr>
      <w:r>
        <w:rPr>
          <w:b/>
        </w:rPr>
        <w:t xml:space="preserve">• </w:t>
      </w:r>
      <w:r>
        <w:t>Если методика проприетарная, Antigravity не должен автоматически вшивать весь опросник в runnable public demo.</w:t>
      </w:r>
    </w:p>
    <w:p>
      <w:pPr>
        <w:ind w:left="0"/>
      </w:pPr>
      <w:r>
        <w:rPr>
          <w:b/>
        </w:rPr>
        <w:t xml:space="preserve">• </w:t>
      </w:r>
      <w:r>
        <w:t>Для проприетарных тестов Antigravity должен предложить один из путей: (a) card only + informational page; (b) paid/licensed integration later; (c) open-source/public replacement.</w:t>
      </w:r>
    </w:p>
    <w:p>
      <w:pPr>
        <w:ind w:left="0"/>
      </w:pPr>
      <w:r>
        <w:rPr>
          <w:b/>
        </w:rPr>
        <w:t xml:space="preserve">• </w:t>
      </w:r>
      <w:r>
        <w:t>Для open/public-domain or permissively usable методик Antigravity может строить полноценные runnable test cards, scoring logic и result pages.</w:t>
      </w:r>
    </w:p>
    <w:p>
      <w:pPr>
        <w:ind w:left="0"/>
      </w:pPr>
      <w:r>
        <w:rPr>
          <w:b/>
        </w:rPr>
        <w:t xml:space="preserve">• </w:t>
      </w:r>
      <w:r>
        <w:t>Для всех ambiguous cases Antigravity должен пометить статус: 'requires manual legal verification'.</w:t>
      </w:r>
    </w:p>
    <w:p>
      <w:pPr>
        <w:pStyle w:val="Heading2Custom"/>
      </w:pPr>
      <w:r>
        <w:t>Representative examples to hard-code into the logic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E8D6B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Тест/семейство</w:t>
            </w:r>
          </w:p>
        </w:tc>
        <w:tc>
          <w:tcPr>
            <w:tcW w:type="dxa" w:w="2521"/>
            <w:shd w:fill="E8D6B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Статус для public demo</w:t>
            </w:r>
          </w:p>
        </w:tc>
        <w:tc>
          <w:tcPr>
            <w:tcW w:type="dxa" w:w="2521"/>
            <w:shd w:fill="E8D6B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Что делать в UX</w:t>
            </w:r>
          </w:p>
        </w:tc>
        <w:tc>
          <w:tcPr>
            <w:tcW w:type="dxa" w:w="2521"/>
            <w:shd w:fill="E8D6B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MMPI-2 / СМИЛ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proprietary / restricted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Показывать как карточку и route node; не публиковать items verbatim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Нужна отдельная правовая проверка и, вероятно, лицензирование</w:t>
            </w:r>
          </w:p>
        </w:tc>
      </w:tr>
      <w:tr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16PF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proprietary / restricted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Карточка + описание; для public runnable demo заменить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Замену подбирать из open alternatives</w:t>
            </w:r>
          </w:p>
        </w:tc>
      </w:tr>
      <w:tr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NEO-PI-R / NEO-FFI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official versions restricted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Для public demo prefer IPIP-NEO or BFI-2 style route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Не смешивать official NEO with open analogs без маркировки</w:t>
            </w:r>
          </w:p>
        </w:tc>
      </w:tr>
      <w:tr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MBTI official forms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proprietary / restricted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Не делать 'официальный MBTI' runnable public test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Можно показать informational card и open Jung-type analog</w:t>
            </w:r>
          </w:p>
        </w:tc>
      </w:tr>
      <w:tr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IPIP / IPIP-NEO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public domain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Можно делать runnable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Разрешено копировать/редактировать/переводить</w:t>
            </w:r>
          </w:p>
        </w:tc>
      </w:tr>
      <w:tr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DASS-21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download/copy allowed, no modification/profit resale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Можно делать runnable при соблюдении ограничений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Не модифицировать wording</w:t>
            </w:r>
          </w:p>
        </w:tc>
      </w:tr>
      <w:tr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Rosenberg Self-Esteem Scale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public domain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Можно делать runnable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Подходит как открытый якорный тест</w:t>
            </w:r>
          </w:p>
        </w:tc>
      </w:tr>
      <w:tr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HEXACO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license for non-academic use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Карточка + legal note; runnable only after rights check</w:t>
            </w:r>
          </w:p>
        </w:tc>
        <w:tc>
          <w:tcPr>
            <w:tcW w:type="dxa" w:w="252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>
              <w:t>Для non-academic use есть royalty/license fee</w:t>
            </w:r>
          </w:p>
        </w:tc>
      </w:tr>
    </w:tbl>
    <w:p>
      <w:pPr>
        <w:pStyle w:val="Heading1Custom"/>
      </w:pPr>
      <w:r>
        <w:t>5. Страница /tests - что должно быть на главной</w:t>
      </w:r>
    </w:p>
    <w:p>
      <w:pPr>
        <w:ind w:left="0"/>
      </w:pPr>
      <w:r>
        <w:rPr>
          <w:b/>
        </w:rPr>
        <w:t xml:space="preserve">• </w:t>
      </w:r>
      <w:r>
        <w:t>Hero section + explanatory intro about the tests system.</w:t>
      </w:r>
    </w:p>
    <w:p>
      <w:pPr>
        <w:ind w:left="0"/>
      </w:pPr>
      <w:r>
        <w:rPr>
          <w:b/>
        </w:rPr>
        <w:t xml:space="preserve">• </w:t>
      </w:r>
      <w:r>
        <w:t>Grid of all верхнеуровневых категорий. Каждая card ведёт на соответствующую category page.</w:t>
      </w:r>
    </w:p>
    <w:p>
      <w:pPr>
        <w:ind w:left="0"/>
      </w:pPr>
      <w:r>
        <w:rPr>
          <w:b/>
        </w:rPr>
        <w:t xml:space="preserve">• </w:t>
      </w:r>
      <w:r>
        <w:t>Inside each category card: short psychologically grounded description + 2-4 example tests + CTA 'Открыть категорию'.</w:t>
      </w:r>
    </w:p>
    <w:p>
      <w:pPr>
        <w:ind w:left="0"/>
      </w:pPr>
      <w:r>
        <w:rPr>
          <w:b/>
        </w:rPr>
        <w:t xml:space="preserve">• </w:t>
      </w:r>
      <w:r>
        <w:t>Secondary section: русскоязычная библиотека тестов по алфавиту. Каждый item = actual test name, not subcategory.</w:t>
      </w:r>
    </w:p>
    <w:p>
      <w:pPr>
        <w:ind w:left="0"/>
      </w:pPr>
      <w:r>
        <w:rPr>
          <w:b/>
        </w:rPr>
        <w:t xml:space="preserve">• </w:t>
      </w:r>
      <w:r>
        <w:t>Secondary section: библиотека по ключевым словам (например: тревога, самооценка, выгорание, привязанность, мотивация, лидерство, терапия).</w:t>
      </w:r>
    </w:p>
    <w:p>
      <w:pPr>
        <w:ind w:left="0"/>
      </w:pPr>
      <w:r>
        <w:rPr>
          <w:b/>
        </w:rPr>
        <w:t xml:space="preserve">• </w:t>
      </w:r>
      <w:r>
        <w:t>Search/filter layer over actual test names.</w:t>
      </w:r>
    </w:p>
    <w:p>
      <w:pPr>
        <w:pStyle w:val="Heading1Custom"/>
      </w:pPr>
      <w:r>
        <w:t>6. Страница /tests/personality - что должно быть в тестовой сборке</w:t>
      </w:r>
    </w:p>
    <w:p>
      <w:pPr>
        <w:ind w:left="0"/>
      </w:pPr>
      <w:r>
        <w:rPr>
          <w:b/>
        </w:rPr>
        <w:t xml:space="preserve">• </w:t>
      </w:r>
      <w:r>
        <w:t>Полноценная category page для «Исследования личности».</w:t>
      </w:r>
    </w:p>
    <w:p>
      <w:pPr>
        <w:ind w:left="0"/>
      </w:pPr>
      <w:r>
        <w:rPr>
          <w:b/>
        </w:rPr>
        <w:t xml:space="preserve">• </w:t>
      </w:r>
      <w:r>
        <w:t>Все подкатегории = отдельные section cards.</w:t>
      </w:r>
    </w:p>
    <w:p>
      <w:pPr>
        <w:ind w:left="0"/>
      </w:pPr>
      <w:r>
        <w:rPr>
          <w:b/>
        </w:rPr>
        <w:t xml:space="preserve">• </w:t>
      </w:r>
      <w:r>
        <w:t>Внутри каждой подкатегории = actual test cards.</w:t>
      </w:r>
    </w:p>
    <w:p>
      <w:pPr>
        <w:ind w:left="0"/>
      </w:pPr>
      <w:r>
        <w:rPr>
          <w:b/>
        </w:rPr>
        <w:t xml:space="preserve">• </w:t>
      </w:r>
      <w:r>
        <w:t>Маршрут: broad baseline -&gt; уточнение -&gt; углубление -&gt; глубина.</w:t>
      </w:r>
    </w:p>
    <w:p>
      <w:pPr>
        <w:ind w:left="0"/>
      </w:pPr>
      <w:r>
        <w:rPr>
          <w:b/>
        </w:rPr>
        <w:t xml:space="preserve">• </w:t>
      </w:r>
      <w:r>
        <w:t>Под broad baseline сразу предусмотреть public/open replacements, если official methods are closed.</w:t>
      </w:r>
    </w:p>
    <w:p>
      <w:pPr>
        <w:ind w:left="0"/>
      </w:pPr>
      <w:r>
        <w:rPr>
          <w:b/>
        </w:rPr>
        <w:t xml:space="preserve">• </w:t>
      </w:r>
      <w:r>
        <w:t>Для каждого test card: title, what it measures, approximate length/time, legal status pill, CTA, related next tests.</w:t>
      </w:r>
    </w:p>
    <w:p>
      <w:pPr>
        <w:pStyle w:val="Heading2Custom"/>
      </w:pPr>
      <w:r>
        <w:t>Обязательный маршрут внутри «Исследования личности»</w:t>
      </w:r>
    </w:p>
    <w:p>
      <w:pPr>
        <w:ind w:left="0"/>
      </w:pPr>
      <w:r>
        <w:rPr>
          <w:b/>
        </w:rPr>
        <w:t xml:space="preserve">• </w:t>
      </w:r>
      <w:r>
        <w:t>Широкий вход: Big Five baseline (prefer open/public analog if official NEO cannot be used publicly).</w:t>
      </w:r>
    </w:p>
    <w:p>
      <w:pPr>
        <w:ind w:left="0"/>
      </w:pPr>
      <w:r>
        <w:rPr>
          <w:b/>
        </w:rPr>
        <w:t xml:space="preserve">• </w:t>
      </w:r>
      <w:r>
        <w:t>Уточнение: акцентуации / темперамент.</w:t>
      </w:r>
    </w:p>
    <w:p>
      <w:pPr>
        <w:ind w:left="0"/>
      </w:pPr>
      <w:r>
        <w:rPr>
          <w:b/>
        </w:rPr>
        <w:t xml:space="preserve">• </w:t>
      </w:r>
      <w:r>
        <w:t>Углубление: автономия / самооценка / impulsivity / dark traits.</w:t>
      </w:r>
    </w:p>
    <w:p>
      <w:pPr>
        <w:ind w:left="0"/>
      </w:pPr>
      <w:r>
        <w:rPr>
          <w:b/>
        </w:rPr>
        <w:t xml:space="preserve">• </w:t>
      </w:r>
      <w:r>
        <w:t>Глубина: IPO / DSQ / OPD-2 / related psychodynamic instruments (usually informational or specialist-only unless rights are clear).</w:t>
      </w:r>
    </w:p>
    <w:p>
      <w:pPr>
        <w:pStyle w:val="Heading1Custom"/>
      </w:pPr>
      <w:r>
        <w:t>7. Обязательный список actual tests для пилотной страницы /tests/personality</w:t>
      </w:r>
    </w:p>
    <w:p>
      <w:pPr>
        <w:pStyle w:val="Heading2Custom"/>
      </w:pPr>
      <w:r>
        <w:t>Структура личности</w:t>
      </w:r>
    </w:p>
    <w:p>
      <w:pPr>
        <w:ind w:left="340"/>
      </w:pPr>
      <w:r>
        <w:rPr>
          <w:b/>
        </w:rPr>
        <w:t xml:space="preserve">• </w:t>
      </w:r>
      <w:r>
        <w:t>MMPI-2 (СМИЛ — адаптация Собчик)</w:t>
      </w:r>
    </w:p>
    <w:p>
      <w:pPr>
        <w:ind w:left="340"/>
      </w:pPr>
      <w:r>
        <w:rPr>
          <w:b/>
        </w:rPr>
        <w:t xml:space="preserve">• </w:t>
      </w:r>
      <w:r>
        <w:t>16PF (опросник Кеттелла)</w:t>
      </w:r>
    </w:p>
    <w:p>
      <w:pPr>
        <w:ind w:left="340"/>
      </w:pPr>
      <w:r>
        <w:rPr>
          <w:b/>
        </w:rPr>
        <w:t xml:space="preserve">• </w:t>
      </w:r>
      <w:r>
        <w:t>NEO-PI-R / NEO-FFI (Big Five)</w:t>
      </w:r>
    </w:p>
    <w:p>
      <w:pPr>
        <w:pStyle w:val="Heading2Custom"/>
      </w:pPr>
      <w:r>
        <w:t>Акцентуации</w:t>
      </w:r>
    </w:p>
    <w:p>
      <w:pPr>
        <w:ind w:left="340"/>
      </w:pPr>
      <w:r>
        <w:rPr>
          <w:b/>
        </w:rPr>
        <w:t xml:space="preserve">• </w:t>
      </w:r>
      <w:r>
        <w:t>Опросник Леонгарда–Шмишека</w:t>
      </w:r>
    </w:p>
    <w:p>
      <w:pPr>
        <w:ind w:left="340"/>
      </w:pPr>
      <w:r>
        <w:rPr>
          <w:b/>
        </w:rPr>
        <w:t xml:space="preserve">• </w:t>
      </w:r>
      <w:r>
        <w:t>ПДО (Патохарактерологический диагностический опросник, Личко)</w:t>
      </w:r>
    </w:p>
    <w:p>
      <w:pPr>
        <w:pStyle w:val="Heading2Custom"/>
      </w:pPr>
      <w:r>
        <w:t>Темперамент</w:t>
      </w:r>
    </w:p>
    <w:p>
      <w:pPr>
        <w:ind w:left="340"/>
      </w:pPr>
      <w:r>
        <w:rPr>
          <w:b/>
        </w:rPr>
        <w:t xml:space="preserve">• </w:t>
      </w:r>
      <w:r>
        <w:t>EPI / EPQ (Айзенк)</w:t>
      </w:r>
    </w:p>
    <w:p>
      <w:pPr>
        <w:ind w:left="340"/>
      </w:pPr>
      <w:r>
        <w:rPr>
          <w:b/>
        </w:rPr>
        <w:t xml:space="preserve">• </w:t>
      </w:r>
      <w:r>
        <w:t>FCB-TI (Стреляу)</w:t>
      </w:r>
    </w:p>
    <w:p>
      <w:pPr>
        <w:pStyle w:val="Heading2Custom"/>
      </w:pPr>
      <w:r>
        <w:t>Автономия</w:t>
      </w:r>
    </w:p>
    <w:p>
      <w:pPr>
        <w:ind w:left="340"/>
      </w:pPr>
      <w:r>
        <w:rPr>
          <w:b/>
        </w:rPr>
        <w:t xml:space="preserve">• </w:t>
      </w:r>
      <w:r>
        <w:t>Psychological Separation Inventory (PSI, Hoffman)</w:t>
      </w:r>
    </w:p>
    <w:p>
      <w:pPr>
        <w:ind w:left="340"/>
      </w:pPr>
      <w:r>
        <w:rPr>
          <w:b/>
        </w:rPr>
        <w:t xml:space="preserve">• </w:t>
      </w:r>
      <w:r>
        <w:t>Basic Psychological Needs Scale (Deci &amp; Ryan)</w:t>
      </w:r>
    </w:p>
    <w:p>
      <w:pPr>
        <w:pStyle w:val="Heading2Custom"/>
      </w:pPr>
      <w:r>
        <w:t>Самооценка</w:t>
      </w:r>
    </w:p>
    <w:p>
      <w:pPr>
        <w:ind w:left="340"/>
      </w:pPr>
      <w:r>
        <w:rPr>
          <w:b/>
        </w:rPr>
        <w:t xml:space="preserve">• </w:t>
      </w:r>
      <w:r>
        <w:t>Rosenberg Self-Esteem Scale</w:t>
      </w:r>
    </w:p>
    <w:p>
      <w:pPr>
        <w:ind w:left="340"/>
      </w:pPr>
      <w:r>
        <w:rPr>
          <w:b/>
        </w:rPr>
        <w:t xml:space="preserve">• </w:t>
      </w:r>
      <w:r>
        <w:t>Coopersmith Self-Esteem Inventory</w:t>
      </w:r>
    </w:p>
    <w:p>
      <w:pPr>
        <w:pStyle w:val="Heading2Custom"/>
      </w:pPr>
      <w:r>
        <w:t>Личностные черты</w:t>
      </w:r>
    </w:p>
    <w:p>
      <w:pPr>
        <w:ind w:left="340"/>
      </w:pPr>
      <w:r>
        <w:rPr>
          <w:b/>
        </w:rPr>
        <w:t xml:space="preserve">• </w:t>
      </w:r>
      <w:r>
        <w:t>HEXACO Personality Inventory</w:t>
      </w:r>
    </w:p>
    <w:p>
      <w:pPr>
        <w:ind w:left="340"/>
      </w:pPr>
      <w:r>
        <w:rPr>
          <w:b/>
        </w:rPr>
        <w:t xml:space="preserve">• </w:t>
      </w:r>
      <w:r>
        <w:t>Dark Triad (SD3)</w:t>
      </w:r>
    </w:p>
    <w:p>
      <w:pPr>
        <w:ind w:left="340"/>
      </w:pPr>
      <w:r>
        <w:rPr>
          <w:b/>
        </w:rPr>
        <w:t xml:space="preserve">• </w:t>
      </w:r>
      <w:r>
        <w:t>Barratt Impulsiveness Scale (BIS-11)</w:t>
      </w:r>
    </w:p>
    <w:p>
      <w:pPr>
        <w:pStyle w:val="Heading2Custom"/>
      </w:pPr>
      <w:r>
        <w:t>Юнгианские / психоаналитические</w:t>
      </w:r>
    </w:p>
    <w:p>
      <w:pPr>
        <w:ind w:left="340"/>
      </w:pPr>
      <w:r>
        <w:rPr>
          <w:b/>
        </w:rPr>
        <w:t xml:space="preserve">• </w:t>
      </w:r>
      <w:r>
        <w:t>MBTI (официальные формы)</w:t>
      </w:r>
    </w:p>
    <w:p>
      <w:pPr>
        <w:ind w:left="340"/>
      </w:pPr>
      <w:r>
        <w:rPr>
          <w:b/>
        </w:rPr>
        <w:t xml:space="preserve">• </w:t>
      </w:r>
      <w:r>
        <w:t>Jung Typology Indicator (JTI)</w:t>
      </w:r>
    </w:p>
    <w:p>
      <w:pPr>
        <w:ind w:left="340"/>
      </w:pPr>
      <w:r>
        <w:rPr>
          <w:b/>
        </w:rPr>
        <w:t xml:space="preserve">• </w:t>
      </w:r>
      <w:r>
        <w:t>Defense Style Questionnaire (DSQ)</w:t>
      </w:r>
    </w:p>
    <w:p>
      <w:pPr>
        <w:ind w:left="340"/>
      </w:pPr>
      <w:r>
        <w:rPr>
          <w:b/>
        </w:rPr>
        <w:t xml:space="preserve">• </w:t>
      </w:r>
      <w:r>
        <w:t>Inventory of Personality Organization (IPO, Kernberg)</w:t>
      </w:r>
    </w:p>
    <w:p>
      <w:pPr>
        <w:ind w:left="340"/>
      </w:pPr>
      <w:r>
        <w:rPr>
          <w:b/>
        </w:rPr>
        <w:t xml:space="preserve">• </w:t>
      </w:r>
      <w:r>
        <w:t>OPD-2 (опросные модули)</w:t>
      </w:r>
    </w:p>
    <w:p>
      <w:pPr>
        <w:pStyle w:val="Heading1Custom"/>
      </w:pPr>
      <w:r>
        <w:t>8. Полный universe tests из бизнес-требований - treat as actual test entities</w:t>
      </w:r>
    </w:p>
    <w:p>
      <w:pPr>
        <w:pStyle w:val="SmallMuted"/>
      </w:pPr>
      <w:r>
        <w:t>Всего в исходном документе перечислено около 185 named tests/instruments. Antigravity должен трактовать их как individual test entities каталога и research scope, а не как абстрактные подпункты. Ниже - сжатая матрица по категориям.</w:t>
      </w:r>
    </w:p>
    <w:p>
      <w:pPr>
        <w:pStyle w:val="Heading2Custom"/>
      </w:pPr>
      <w:r>
        <w:t>Исследование личности</w:t>
      </w:r>
    </w:p>
    <w:p>
      <w:pPr/>
      <w:r>
        <w:rPr>
          <w:b/>
        </w:rPr>
        <w:t xml:space="preserve">Структура личности: </w:t>
      </w:r>
      <w:r>
        <w:t>MMPI-2 (СМИЛ — адаптация Собчик); 16PF (опросник Кеттелла); NEO-PI-R / NEO-FFI (Big Five)</w:t>
      </w:r>
    </w:p>
    <w:p>
      <w:pPr/>
      <w:r>
        <w:rPr>
          <w:b/>
        </w:rPr>
        <w:t xml:space="preserve">Акцентуации: </w:t>
      </w:r>
      <w:r>
        <w:t>Опросник Леонгарда–Шмишека; ПДО (Патохарактерологический диагностический опросник, Личко)</w:t>
      </w:r>
    </w:p>
    <w:p>
      <w:pPr/>
      <w:r>
        <w:rPr>
          <w:b/>
        </w:rPr>
        <w:t xml:space="preserve">Темперамент: </w:t>
      </w:r>
      <w:r>
        <w:t>EPI / EPQ (Айзенк); FCB-TI (Стреляу)</w:t>
      </w:r>
    </w:p>
    <w:p>
      <w:pPr/>
      <w:r>
        <w:rPr>
          <w:b/>
        </w:rPr>
        <w:t xml:space="preserve">Автономия: </w:t>
      </w:r>
      <w:r>
        <w:t>Psychological Separation Inventory (PSI, Hoffman); Basic Psychological Needs Scale (Deci &amp; Ryan)</w:t>
      </w:r>
    </w:p>
    <w:p>
      <w:pPr/>
      <w:r>
        <w:rPr>
          <w:b/>
        </w:rPr>
        <w:t xml:space="preserve">Самооценка: </w:t>
      </w:r>
      <w:r>
        <w:t>Rosenberg Self-Esteem Scale; Coopersmith Self-Esteem Inventory</w:t>
      </w:r>
    </w:p>
    <w:p>
      <w:pPr/>
      <w:r>
        <w:rPr>
          <w:b/>
        </w:rPr>
        <w:t xml:space="preserve">Личностные черты: </w:t>
      </w:r>
      <w:r>
        <w:t>HEXACO Personality Inventory; Dark Triad (SD3); Barratt Impulsiveness Scale (BIS-11)</w:t>
      </w:r>
    </w:p>
    <w:p>
      <w:pPr/>
      <w:r>
        <w:rPr>
          <w:b/>
        </w:rPr>
        <w:t xml:space="preserve">Юнгианские / психоаналитические: </w:t>
      </w:r>
      <w:r>
        <w:t>MBTI (официальные формы); Jung Typology Indicator (JTI); Defense Style Questionnaire (DSQ); Inventory of Personality Organization (IPO, Kernberg); OPD-2 (опросные модули)</w:t>
      </w:r>
    </w:p>
    <w:p>
      <w:pPr>
        <w:pStyle w:val="Heading2Custom"/>
      </w:pPr>
      <w:r>
        <w:t>Психические функции</w:t>
      </w:r>
    </w:p>
    <w:p>
      <w:pPr/>
      <w:r>
        <w:rPr>
          <w:b/>
        </w:rPr>
        <w:t xml:space="preserve">Эмоции: </w:t>
      </w:r>
      <w:r>
        <w:t>DASS-21; Beck Depression Inventory (BDI-II); Beck Anxiety Inventory (BAI); State-Trait Anxiety Inventory (STAI, Спилбергер); PANAS; Toronto Alexithymia Scale (TAS-20)</w:t>
      </w:r>
    </w:p>
    <w:p>
      <w:pPr/>
      <w:r>
        <w:rPr>
          <w:b/>
        </w:rPr>
        <w:t xml:space="preserve">Воля и мотивация: </w:t>
      </w:r>
      <w:r>
        <w:t>Шкала саморегуляции поведения (Моросанова); General Self-Efficacy Scale; Academic Motivation Scale (AMS); Work Extrinsic and Intrinsic Motivation Scale (WEIMS); Volitional Components Inventory (Kuhl)</w:t>
      </w:r>
    </w:p>
    <w:p>
      <w:pPr/>
      <w:r>
        <w:rPr>
          <w:b/>
        </w:rPr>
        <w:t xml:space="preserve">Интеллект и мышление: </w:t>
      </w:r>
      <w:r>
        <w:t>Raven’s Progressive Matrices; Wonderlic Personnel Test; WAIS (адаптации); Cognitive Reflection Test (CRT); Watson-Glaser Critical Thinking Appraisal</w:t>
      </w:r>
    </w:p>
    <w:p>
      <w:pPr/>
      <w:r>
        <w:rPr>
          <w:b/>
        </w:rPr>
        <w:t xml:space="preserve">Восприятие: </w:t>
      </w:r>
      <w:r>
        <w:t>Embedded Figures Test (Witkin); Rod-and-Frame Test (Witkin); Benton Visual Retention Test; Visual Object and Space Perception Battery (VOSP); Dysfunctional Attitude Scale (DAS)</w:t>
      </w:r>
    </w:p>
    <w:p>
      <w:pPr>
        <w:pStyle w:val="Heading2Custom"/>
      </w:pPr>
      <w:r>
        <w:t>Адаптация и дезадаптация</w:t>
      </w:r>
    </w:p>
    <w:p>
      <w:pPr/>
      <w:r>
        <w:rPr>
          <w:b/>
        </w:rPr>
        <w:t xml:space="preserve">Быстрый скрининг выгорания: </w:t>
      </w:r>
      <w:r>
        <w:t>MBI (Maslach Burnout Inventory); CBI (Copenhagen Burnout Inventory); Тест выгорания Бойко; PSS-10</w:t>
      </w:r>
    </w:p>
    <w:p>
      <w:pPr/>
      <w:r>
        <w:rPr>
          <w:b/>
        </w:rPr>
        <w:t xml:space="preserve">Стресс и копинги: </w:t>
      </w:r>
      <w:r>
        <w:t>Perceived Stress Scale (PSS); COPE Inventory; Brief COPE; Ways of Coping Questionnaire (WCQ); Stress Coping Inventory (SCI); Holmes and Rahe Stress Scale; CISS; Proactive Coping Inventory (PCI); Stress Coping Questionnaire (SCQ)</w:t>
      </w:r>
    </w:p>
    <w:p>
      <w:pPr/>
      <w:r>
        <w:rPr>
          <w:b/>
        </w:rPr>
        <w:t xml:space="preserve">Деструкторы: </w:t>
      </w:r>
      <w:r>
        <w:t>Maslach Burnout Inventory (MBI); Copenhagen Burnout Inventory (CBI); Oldenburg Burnout Inventory (OLBI); Buss–Perry Aggression Questionnaire (BPAQ); Aggression Questionnaire (AQ); Interpersonal Reactivity Index (IRI); Conflict Tactics Scale (CTS2); Brief Betrayal Trauma Survey (BBTS); Barratt Impulsiveness Scale (BIS-11)</w:t>
      </w:r>
    </w:p>
    <w:p>
      <w:pPr>
        <w:pStyle w:val="Heading2Custom"/>
      </w:pPr>
      <w:r>
        <w:t>Психиатрия</w:t>
      </w:r>
    </w:p>
    <w:p>
      <w:pPr/>
      <w:r>
        <w:rPr>
          <w:b/>
        </w:rPr>
        <w:t xml:space="preserve">Психиатрический скрининг: </w:t>
      </w:r>
      <w:r>
        <w:t>PDSQ; SCL-90-R; GHQ-28; GHQ-12; BSI; PHQ; HADS; MINI (скрининговые модули); CIDI-SF; PRIME-MD</w:t>
      </w:r>
    </w:p>
    <w:p>
      <w:pPr/>
      <w:r>
        <w:rPr>
          <w:b/>
        </w:rPr>
        <w:t xml:space="preserve">Быстрый скрининг тревоги и депрессии: </w:t>
      </w:r>
      <w:r>
        <w:t>PHQ-9; GAD-7</w:t>
      </w:r>
    </w:p>
    <w:p>
      <w:pPr/>
      <w:r>
        <w:rPr>
          <w:b/>
        </w:rPr>
        <w:t xml:space="preserve">Тревожные / невротические: </w:t>
      </w:r>
      <w:r>
        <w:t>BAI; STAI; HAM-A; Zung SAS</w:t>
      </w:r>
    </w:p>
    <w:p>
      <w:pPr/>
      <w:r>
        <w:rPr>
          <w:b/>
        </w:rPr>
        <w:t xml:space="preserve">Настроение: </w:t>
      </w:r>
      <w:r>
        <w:t>BDI-II; HDRS; Zung SDS; Mood Disorder Questionnaire (MDQ); Hypomania Checklist (HCL-32)</w:t>
      </w:r>
    </w:p>
    <w:p>
      <w:pPr/>
      <w:r>
        <w:rPr>
          <w:b/>
        </w:rPr>
        <w:t xml:space="preserve">Расстройства личности: </w:t>
      </w:r>
      <w:r>
        <w:t>PID-5; SCID-II (опросные формы); MCMI-III</w:t>
      </w:r>
    </w:p>
    <w:p>
      <w:pPr/>
      <w:r>
        <w:rPr>
          <w:b/>
        </w:rPr>
        <w:t xml:space="preserve">Зависимости: </w:t>
      </w:r>
      <w:r>
        <w:t>AUDIT; DAST; Fagerström Test for Nicotine Dependence; Internet Addiction Test (IAT, Young)</w:t>
      </w:r>
    </w:p>
    <w:p>
      <w:pPr/>
      <w:r>
        <w:rPr>
          <w:b/>
        </w:rPr>
        <w:t xml:space="preserve">РПП: </w:t>
      </w:r>
      <w:r>
        <w:t>EAT-26; SCOFF Questionnaire; EDE-Q</w:t>
      </w:r>
    </w:p>
    <w:p>
      <w:pPr/>
      <w:r>
        <w:rPr>
          <w:b/>
        </w:rPr>
        <w:t xml:space="preserve">РАС: </w:t>
      </w:r>
      <w:r>
        <w:t>Autism Spectrum Quotient (AQ); RAADS-R; CAST</w:t>
      </w:r>
    </w:p>
    <w:p>
      <w:pPr/>
      <w:r>
        <w:rPr>
          <w:b/>
        </w:rPr>
        <w:t xml:space="preserve">Психотические спектры: </w:t>
      </w:r>
      <w:r>
        <w:t>SPQ; PDI; PQ-16 / PQ-B</w:t>
      </w:r>
    </w:p>
    <w:p>
      <w:pPr>
        <w:pStyle w:val="Heading2Custom"/>
      </w:pPr>
      <w:r>
        <w:t>Социальные и межличностные тесты</w:t>
      </w:r>
    </w:p>
    <w:p>
      <w:pPr/>
      <w:r>
        <w:rPr>
          <w:b/>
        </w:rPr>
        <w:t xml:space="preserve">Привязанность: </w:t>
      </w:r>
      <w:r>
        <w:t>ECR; ECR-R; Adult Attachment Scale (AAS); Relationship Scales Questionnaire (RSQ)</w:t>
      </w:r>
    </w:p>
    <w:p>
      <w:pPr/>
      <w:r>
        <w:rPr>
          <w:b/>
        </w:rPr>
        <w:t xml:space="preserve">Семейные отношения: </w:t>
      </w:r>
      <w:r>
        <w:t>FACES-III / FACES-IV; Family Environment Scale (FES); Dyadic Adjustment Scale (DAS); Marital Satisfaction Inventory (MSI)</w:t>
      </w:r>
    </w:p>
    <w:p>
      <w:pPr/>
      <w:r>
        <w:rPr>
          <w:b/>
        </w:rPr>
        <w:t xml:space="preserve">Деструктивные отношения: </w:t>
      </w:r>
      <w:r>
        <w:t>Conflict Tactics Scale (CTS2); Relationship Assessment Scale (RAS); Abusive Behavior Inventory (ABI); Psychological Maltreatment of Women Inventory (PMWI)</w:t>
      </w:r>
    </w:p>
    <w:p>
      <w:pPr>
        <w:pStyle w:val="Heading2Custom"/>
      </w:pPr>
      <w:r>
        <w:t>Индивидуальное карьерное консультирование</w:t>
      </w:r>
    </w:p>
    <w:p>
      <w:pPr/>
      <w:r>
        <w:rPr>
          <w:b/>
        </w:rPr>
        <w:t xml:space="preserve">Карьерные интересы: </w:t>
      </w:r>
      <w:r>
        <w:t>Self-Directed Search (SDS, Holland); Strong Interest Inventory (SII)</w:t>
      </w:r>
    </w:p>
    <w:p>
      <w:pPr/>
      <w:r>
        <w:rPr>
          <w:b/>
        </w:rPr>
        <w:t xml:space="preserve">Карьерные перспективы: </w:t>
      </w:r>
      <w:r>
        <w:t>Career Adapt-Abilities Scale (CAAS); Career Decision Self-Efficacy Scale (CDSES); Career Futures Inventory (CFI)</w:t>
      </w:r>
    </w:p>
    <w:p>
      <w:pPr/>
      <w:r>
        <w:rPr>
          <w:b/>
        </w:rPr>
        <w:t xml:space="preserve">Лидерство и кризисы лидерской позиции: </w:t>
      </w:r>
      <w:r>
        <w:t>Leadership Self-Efficacy Scale (LSES); Multifactor Leadership Questionnaire (MLQ); Leadership Practices Inventory (LPI)</w:t>
      </w:r>
    </w:p>
    <w:p>
      <w:pPr/>
      <w:r>
        <w:rPr>
          <w:b/>
        </w:rPr>
        <w:t xml:space="preserve">Руководство: </w:t>
      </w:r>
      <w:r>
        <w:t>Blake–Mouton Managerial Grid; Decision-Making Styles Inventory (DMSI); Managerial Style Questionnaire (MSQ)</w:t>
      </w:r>
    </w:p>
    <w:p>
      <w:pPr/>
      <w:r>
        <w:rPr>
          <w:b/>
        </w:rPr>
        <w:t xml:space="preserve">Карьерные переходы: </w:t>
      </w:r>
      <w:r>
        <w:t>Career Transitions Inventory (CTI); Career Adapt-Abilities Scale (CAAS); Career Decision-Making Difficulties Questionnaire (CDDQ)</w:t>
      </w:r>
    </w:p>
    <w:p>
      <w:pPr/>
      <w:r>
        <w:rPr>
          <w:b/>
        </w:rPr>
        <w:t xml:space="preserve">Управленческая перегрузка: </w:t>
      </w:r>
      <w:r>
        <w:t>MBI; CBI; OLBI</w:t>
      </w:r>
    </w:p>
    <w:p>
      <w:pPr/>
      <w:r>
        <w:rPr>
          <w:b/>
        </w:rPr>
        <w:t xml:space="preserve">Сложная коммуникация: </w:t>
      </w:r>
      <w:r>
        <w:t>Thomas-Kilmann Conflict Mode Instrument (TKI); Interpersonal Competence Questionnaire (ICQ); Communication Styles Inventory (CSI)</w:t>
      </w:r>
    </w:p>
    <w:p>
      <w:pPr/>
      <w:r>
        <w:rPr>
          <w:b/>
        </w:rPr>
        <w:t xml:space="preserve">Вход в новую роль: </w:t>
      </w:r>
      <w:r>
        <w:t>Organizational Socialization Inventory (OSI); Role Orientation Questionnaire (ROQ); CAAS</w:t>
      </w:r>
    </w:p>
    <w:p>
      <w:pPr/>
      <w:r>
        <w:rPr>
          <w:b/>
        </w:rPr>
        <w:t xml:space="preserve">Кризис профессиональной идентичности: </w:t>
      </w:r>
      <w:r>
        <w:t>Vocational Identity Scale (VIS); My Vocational Situation (MVS, Holland); Career Identity Scale (CIS)</w:t>
      </w:r>
    </w:p>
    <w:p>
      <w:pPr>
        <w:pStyle w:val="Heading2Custom"/>
      </w:pPr>
      <w:r>
        <w:t>Командное консультирование</w:t>
      </w:r>
    </w:p>
    <w:p>
      <w:pPr/>
      <w:r>
        <w:rPr>
          <w:b/>
        </w:rPr>
        <w:t xml:space="preserve">Софт-скиллз: </w:t>
      </w:r>
      <w:r>
        <w:t>MSCEIT; EQ-i 2.0; Social Skills Inventory (SSI); Communication Skills Inventory (CSI); Interpersonal Competence Questionnaire (ICQ)</w:t>
      </w:r>
    </w:p>
    <w:p>
      <w:pPr/>
      <w:r>
        <w:rPr>
          <w:b/>
        </w:rPr>
        <w:t xml:space="preserve">Поведенческие характеристики: </w:t>
      </w:r>
      <w:r>
        <w:t>DISC Assessment; Thomas-Kilmann Conflict Mode Instrument (TKI); FIRO-B; Belbin Team Roles Inventory; Organizational Citizenship Behavior Scale (OCB)</w:t>
      </w:r>
    </w:p>
    <w:p>
      <w:pPr/>
      <w:r>
        <w:rPr>
          <w:b/>
        </w:rPr>
        <w:t xml:space="preserve">Сильные / слабые стороны: </w:t>
      </w:r>
      <w:r>
        <w:t>VIA Character Strengths Survey; CliftonStrengths; High Potential Trait Indicator (HPTI)</w:t>
      </w:r>
    </w:p>
    <w:p>
      <w:pPr/>
      <w:r>
        <w:rPr>
          <w:b/>
        </w:rPr>
        <w:t xml:space="preserve">Конфликтология: </w:t>
      </w:r>
      <w:r>
        <w:t>TKI; Rahim Organizational Conflict Inventory (ROCI-II)</w:t>
      </w:r>
    </w:p>
    <w:p>
      <w:pPr>
        <w:pStyle w:val="Heading2Custom"/>
      </w:pPr>
      <w:r>
        <w:t>Организационное консультирование</w:t>
      </w:r>
    </w:p>
    <w:p>
      <w:pPr/>
      <w:r>
        <w:rPr>
          <w:b/>
        </w:rPr>
        <w:t xml:space="preserve">Оценка организации: </w:t>
      </w:r>
      <w:r>
        <w:t>Organizational Culture Assessment Instrument (OCAI); Denison Organizational Culture Survey; Organizational Climate Questionnaire (OCQ, Litwin &amp; Stringer); Organizational Health Index (OHI, McKinsey); Competing Values Framework (CVF) Assessment; Team Climate Inventory (TCI)</w:t>
      </w:r>
    </w:p>
    <w:p>
      <w:pPr/>
      <w:r>
        <w:rPr>
          <w:b/>
        </w:rPr>
        <w:t xml:space="preserve">Ролевой конфликт: </w:t>
      </w:r>
      <w:r>
        <w:t>Role Conflict and Role Ambiguity Scale (Rizzo et al.); Organizational Role Stress Scale (ORS, Pareek)</w:t>
      </w:r>
    </w:p>
    <w:p>
      <w:pPr>
        <w:pStyle w:val="Heading2Custom"/>
      </w:pPr>
      <w:r>
        <w:t>Психоаналитическая диагностика</w:t>
      </w:r>
    </w:p>
    <w:p>
      <w:pPr/>
      <w:r>
        <w:rPr>
          <w:b/>
        </w:rPr>
        <w:t xml:space="preserve">Уровень организации личности: </w:t>
      </w:r>
      <w:r>
        <w:t>IPO (Kernberg); STIPO</w:t>
      </w:r>
    </w:p>
    <w:p>
      <w:pPr/>
      <w:r>
        <w:rPr>
          <w:b/>
        </w:rPr>
        <w:t xml:space="preserve">Психологические защиты: </w:t>
      </w:r>
      <w:r>
        <w:t>DSQ-40 / DSQ-88; DMI</w:t>
      </w:r>
    </w:p>
    <w:p>
      <w:pPr/>
      <w:r>
        <w:rPr>
          <w:b/>
        </w:rPr>
        <w:t xml:space="preserve">Объектные отношения: </w:t>
      </w:r>
      <w:r>
        <w:t>BORRTI; Object Relations Inventory (ORI)</w:t>
      </w:r>
    </w:p>
    <w:p>
      <w:pPr/>
      <w:r>
        <w:rPr>
          <w:b/>
        </w:rPr>
        <w:t xml:space="preserve">Привязанность (психодинамический уровень): </w:t>
      </w:r>
      <w:r>
        <w:t>Adult Attachment Interview (AAI); Adult Attachment Projective (AAP)</w:t>
      </w:r>
    </w:p>
    <w:p>
      <w:pPr/>
      <w:r>
        <w:rPr>
          <w:b/>
        </w:rPr>
        <w:t xml:space="preserve">Ментализация / рефлексивная функция: </w:t>
      </w:r>
      <w:r>
        <w:t>Reflective Functioning Questionnaire (RFQ); Mentalization Questionnaire (MZQ)</w:t>
      </w:r>
    </w:p>
    <w:p>
      <w:pPr/>
      <w:r>
        <w:rPr>
          <w:b/>
        </w:rPr>
        <w:t xml:space="preserve">Идентичность / самость: </w:t>
      </w:r>
      <w:r>
        <w:t>SCIM; EPSI</w:t>
      </w:r>
    </w:p>
    <w:p>
      <w:pPr/>
      <w:r>
        <w:rPr>
          <w:b/>
        </w:rPr>
        <w:t xml:space="preserve">Проективные методы: </w:t>
      </w:r>
      <w:r>
        <w:t>TAT; Rorschach Inkblot Test; Sentence Completion Test (SCT, Rotter)</w:t>
      </w:r>
    </w:p>
    <w:p>
      <w:pPr/>
      <w:r>
        <w:rPr>
          <w:b/>
        </w:rPr>
        <w:t xml:space="preserve">Психодинамическая диагностика (интегративная): </w:t>
      </w:r>
      <w:r>
        <w:t>OPD-2</w:t>
      </w:r>
    </w:p>
    <w:p>
      <w:pPr/>
      <w:r>
        <w:rPr>
          <w:b/>
        </w:rPr>
        <w:t xml:space="preserve">Психологические защиты (спектр): </w:t>
      </w:r>
      <w:r>
        <w:t>МИПЗ; DSQ-40 / DSQ-88; Life Style Index (LSI); DMI; Ego Defense Mechanisms Scale (EDMS)</w:t>
      </w:r>
    </w:p>
    <w:p>
      <w:pPr>
        <w:pStyle w:val="Heading2Custom"/>
      </w:pPr>
      <w:r>
        <w:t>Оценка эффективности терапии</w:t>
      </w:r>
    </w:p>
    <w:p>
      <w:pPr/>
      <w:r>
        <w:rPr>
          <w:b/>
        </w:rPr>
        <w:t xml:space="preserve">Трек эффективности терапии: </w:t>
      </w:r>
      <w:r>
        <w:t>Working Alliance Inventory (WAI); Session Evaluation Questionnaire (SEQ); Outcome Rating Scale (ORS); Session Rating Scale (SRS)</w:t>
      </w:r>
    </w:p>
    <w:p>
      <w:pPr>
        <w:pStyle w:val="Heading1Custom"/>
      </w:pPr>
      <w:r>
        <w:t>9. Research pipeline for Antigravity</w:t>
      </w:r>
    </w:p>
    <w:p>
      <w:pPr>
        <w:ind w:left="0"/>
      </w:pPr>
      <w:r>
        <w:rPr>
          <w:b/>
        </w:rPr>
        <w:t xml:space="preserve">• </w:t>
      </w:r>
      <w:r>
        <w:t>Step 1 - extract all named tests from this appendix.</w:t>
      </w:r>
    </w:p>
    <w:p>
      <w:pPr>
        <w:ind w:left="0"/>
      </w:pPr>
      <w:r>
        <w:rPr>
          <w:b/>
        </w:rPr>
        <w:t xml:space="preserve">• </w:t>
      </w:r>
      <w:r>
        <w:t>Step 2 - for each test classify: public domain / permitted download-copy / research-only license / commercial license / unknown.</w:t>
      </w:r>
    </w:p>
    <w:p>
      <w:pPr>
        <w:ind w:left="0"/>
      </w:pPr>
      <w:r>
        <w:rPr>
          <w:b/>
        </w:rPr>
        <w:t xml:space="preserve">• </w:t>
      </w:r>
      <w:r>
        <w:t>Step 3 - for each closed test propose an open or public-facing alternative where possible.</w:t>
      </w:r>
    </w:p>
    <w:p>
      <w:pPr>
        <w:ind w:left="0"/>
      </w:pPr>
      <w:r>
        <w:rPr>
          <w:b/>
        </w:rPr>
        <w:t xml:space="preserve">• </w:t>
      </w:r>
      <w:r>
        <w:t>Step 4 - build the visual IA with actual test cards, not abstract subcategory placeholders.</w:t>
      </w:r>
    </w:p>
    <w:p>
      <w:pPr>
        <w:ind w:left="0"/>
      </w:pPr>
      <w:r>
        <w:rPr>
          <w:b/>
        </w:rPr>
        <w:t xml:space="preserve">• </w:t>
      </w:r>
      <w:r>
        <w:t>Step 5 - mark every card with one of the statuses: runnable / informational only / legal review required / replacement used.</w:t>
      </w:r>
    </w:p>
    <w:p>
      <w:pPr>
        <w:pStyle w:val="Heading1Custom"/>
      </w:pPr>
      <w:r>
        <w:t>10. Copy-paste instruction for Antigravity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color w:val="F4EEE3"/>
                <w:sz w:val="19"/>
              </w:rPr>
              <w:t xml:space="preserve">You must build two Tilda-ready coded experiences for DEEP PSY TESTS. </w:t>
              <w:br/>
            </w:r>
            <w:r>
              <w:rPr>
                <w:rFonts w:ascii="Arial" w:hAnsi="Arial"/>
                <w:color w:val="F4EEE3"/>
                <w:sz w:val="19"/>
              </w:rPr>
              <w:t xml:space="preserve">Page A: /tests (global entry page). </w:t>
              <w:br/>
            </w:r>
            <w:r>
              <w:rPr>
                <w:rFonts w:ascii="Arial" w:hAnsi="Arial"/>
                <w:color w:val="F4EEE3"/>
                <w:sz w:val="19"/>
              </w:rPr>
              <w:t xml:space="preserve">Page B: /tests/personality (fully developed category page). </w:t>
              <w:br/>
            </w:r>
            <w:r>
              <w:rPr>
                <w:rFonts w:ascii="Arial" w:hAnsi="Arial"/>
                <w:color w:val="F4EEE3"/>
                <w:sz w:val="19"/>
              </w:rPr>
              <w:t xml:space="preserve">Important correction: categories and subcategories are not enough. You must include the actual named tests as individual entities/cards/routes. </w:t>
              <w:br/>
            </w:r>
            <w:r>
              <w:rPr>
                <w:rFonts w:ascii="Arial" w:hAnsi="Arial"/>
                <w:color w:val="F4EEE3"/>
                <w:sz w:val="19"/>
              </w:rPr>
              <w:t xml:space="preserve">Use the appendix of named tests below as mandatory source material. </w:t>
              <w:br/>
            </w:r>
            <w:r>
              <w:rPr>
                <w:rFonts w:ascii="Arial" w:hAnsi="Arial"/>
                <w:color w:val="F4EEE3"/>
                <w:sz w:val="19"/>
              </w:rPr>
              <w:t xml:space="preserve">For every test, do web research and classify legal status: public domain, permissively downloadable, academic-only, commercial/proprietary, or unclear. </w:t>
              <w:br/>
            </w:r>
            <w:r>
              <w:rPr>
                <w:rFonts w:ascii="Arial" w:hAnsi="Arial"/>
                <w:color w:val="F4EEE3"/>
                <w:sz w:val="19"/>
              </w:rPr>
              <w:t xml:space="preserve">If a test is proprietary or unclear, do not automatically embed the full questionnaire items in the public demo. Instead, either (a) make an informational card, or (b) swap it for a clearly open/public-domain analogue and label the substitution. </w:t>
              <w:br/>
            </w:r>
            <w:r>
              <w:rPr>
                <w:rFonts w:ascii="Arial" w:hAnsi="Arial"/>
                <w:color w:val="F4EEE3"/>
                <w:sz w:val="19"/>
              </w:rPr>
              <w:t xml:space="preserve">Preserve DEEP dark premium styling, Tilda compatibility, mobile-first layout, and the window-container paddings: 40 / 40 / 20 / 10 px by breakpoint. </w:t>
              <w:br/>
            </w:r>
            <w:r>
              <w:rPr>
                <w:rFonts w:ascii="Arial" w:hAnsi="Arial"/>
                <w:color w:val="F4EEE3"/>
                <w:sz w:val="19"/>
              </w:rPr>
              <w:t xml:space="preserve">The /tests page must show all top-level categories, alphabetic library, and keyword library. </w:t>
              <w:br/>
            </w:r>
            <w:r>
              <w:rPr>
                <w:rFonts w:ascii="Arial" w:hAnsi="Arial"/>
                <w:color w:val="F4EEE3"/>
                <w:sz w:val="19"/>
              </w:rPr>
              <w:t>The /tests/personality page must show all personality subcategories and all named tests inside them, including route logic from broad baseline to deeper diagnostics.</w:t>
              <w:br/>
            </w:r>
          </w:p>
        </w:tc>
      </w:tr>
    </w:tbl>
    <w:sectPr w:rsidR="00FC693F" w:rsidRPr="0006063C" w:rsidSect="00034616"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100" w:before="40" w:line="276" w:lineRule="auto"/>
    </w:pPr>
    <w:rPr>
      <w:rFonts w:ascii="Arial" w:hAnsi="Arial" w:eastAsia="Arial"/>
      <w:b/>
      <w:color w:val="E8D6B3"/>
      <w:sz w:val="40"/>
    </w:rPr>
  </w:style>
  <w:style w:type="paragraph" w:customStyle="1" w:styleId="SubTitleCustom">
    <w:name w:val="SubTitleCustom"/>
    <w:basedOn w:val="Normal"/>
    <w:pPr>
      <w:spacing w:after="100" w:before="40" w:line="276" w:lineRule="auto"/>
    </w:pPr>
    <w:rPr>
      <w:rFonts w:ascii="Arial" w:hAnsi="Arial" w:eastAsia="Arial"/>
      <w:b w:val="0"/>
      <w:color w:val="B3A894"/>
      <w:sz w:val="22"/>
    </w:rPr>
  </w:style>
  <w:style w:type="paragraph" w:customStyle="1" w:styleId="Heading1Custom">
    <w:name w:val="Heading1Custom"/>
    <w:basedOn w:val="Normal"/>
    <w:pPr>
      <w:spacing w:after="100" w:before="40" w:line="276" w:lineRule="auto"/>
    </w:pPr>
    <w:rPr>
      <w:rFonts w:ascii="Arial" w:hAnsi="Arial" w:eastAsia="Arial"/>
      <w:b/>
      <w:color w:val="E8D6B3"/>
      <w:sz w:val="28"/>
    </w:rPr>
  </w:style>
  <w:style w:type="paragraph" w:customStyle="1" w:styleId="Heading2Custom">
    <w:name w:val="Heading2Custom"/>
    <w:basedOn w:val="Normal"/>
    <w:pPr>
      <w:spacing w:after="100" w:before="40" w:line="276" w:lineRule="auto"/>
    </w:pPr>
    <w:rPr>
      <w:rFonts w:ascii="Arial" w:hAnsi="Arial" w:eastAsia="Arial"/>
      <w:b/>
      <w:color w:val="F4EEE3"/>
      <w:sz w:val="23"/>
    </w:rPr>
  </w:style>
  <w:style w:type="paragraph" w:customStyle="1" w:styleId="SmallMuted">
    <w:name w:val="SmallMuted"/>
    <w:basedOn w:val="Normal"/>
    <w:pPr>
      <w:spacing w:after="100" w:before="40" w:line="276" w:lineRule="auto"/>
    </w:pPr>
    <w:rPr>
      <w:rFonts w:ascii="Arial" w:hAnsi="Arial" w:eastAsia="Arial"/>
      <w:b w:val="0"/>
      <w:color w:val="A89F9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