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46E41" w14:textId="361F48A8" w:rsidR="00290AB7" w:rsidRPr="00290AB7" w:rsidRDefault="00290AB7" w:rsidP="00290AB7">
      <w:r>
        <w:t>Austin Mott</w:t>
      </w:r>
    </w:p>
    <w:p w14:paraId="1AE66D76" w14:textId="22E0FC35" w:rsidR="00290AB7" w:rsidRPr="00290AB7" w:rsidRDefault="00290AB7" w:rsidP="00290AB7">
      <w:r>
        <w:t>AI Strategy Analysis – Independent Research</w:t>
      </w:r>
    </w:p>
    <w:p w14:paraId="1D4AE475" w14:textId="077510C6" w:rsidR="00290AB7" w:rsidRDefault="00290AB7" w:rsidP="00290AB7">
      <w:r>
        <w:t>01</w:t>
      </w:r>
      <w:r w:rsidRPr="00290AB7">
        <w:t xml:space="preserve"> January 202</w:t>
      </w:r>
      <w:r>
        <w:t>6</w:t>
      </w:r>
    </w:p>
    <w:p w14:paraId="27653DCB" w14:textId="77777777" w:rsidR="00290AB7" w:rsidRPr="00290AB7" w:rsidRDefault="00290AB7" w:rsidP="00290AB7"/>
    <w:p w14:paraId="0182D84A" w14:textId="77777777" w:rsidR="00290AB7" w:rsidRPr="00290AB7" w:rsidRDefault="00290AB7" w:rsidP="00290AB7">
      <w:pPr>
        <w:rPr>
          <w:b/>
          <w:bCs/>
        </w:rPr>
      </w:pPr>
      <w:r w:rsidRPr="00290AB7">
        <w:rPr>
          <w:b/>
          <w:bCs/>
        </w:rPr>
        <w:t>The Shift Toward Agentic Autonomy: A Strategic Analysis of AI Integration (2025–2026)</w:t>
      </w:r>
    </w:p>
    <w:p w14:paraId="13B03BD8" w14:textId="0CF839E3" w:rsidR="00290AB7" w:rsidRPr="00290AB7" w:rsidRDefault="00290AB7" w:rsidP="00290AB7">
      <w:r w:rsidRPr="00290AB7">
        <w:t xml:space="preserve">The landscape of corporate strategy has undergone a fundamental transformation between 2024 and 2026. While previous years were defined by "Generative </w:t>
      </w:r>
      <w:proofErr w:type="gramStart"/>
      <w:r w:rsidRPr="00290AB7">
        <w:t>AI"—</w:t>
      </w:r>
      <w:proofErr w:type="gramEnd"/>
      <w:r w:rsidRPr="00290AB7">
        <w:t>the use of Large Language Models (LLMs) for content creation</w:t>
      </w:r>
      <w:r>
        <w:t xml:space="preserve">, </w:t>
      </w:r>
      <w:r w:rsidRPr="00290AB7">
        <w:t>the current strategic imperative is "Agentic AI." This evolution represents a shift from tools that assist humans to systems that can autonomously execute multi-step workflows. This research analysis explores the structural pillars of modern AI strategy, the transition toward private data ecosystems, and the economic hurdles of achieving measurable Return on Investment (ROI).</w:t>
      </w:r>
    </w:p>
    <w:p w14:paraId="6AF48058" w14:textId="77777777" w:rsidR="00290AB7" w:rsidRPr="00290AB7" w:rsidRDefault="00290AB7" w:rsidP="00290AB7">
      <w:pPr>
        <w:rPr>
          <w:b/>
          <w:bCs/>
        </w:rPr>
      </w:pPr>
      <w:r w:rsidRPr="00290AB7">
        <w:rPr>
          <w:b/>
          <w:bCs/>
        </w:rPr>
        <w:t>The Four Pillars of Strategic AI</w:t>
      </w:r>
    </w:p>
    <w:p w14:paraId="40ECA21F" w14:textId="77777777" w:rsidR="00290AB7" w:rsidRPr="00290AB7" w:rsidRDefault="00290AB7" w:rsidP="00290AB7">
      <w:r w:rsidRPr="00290AB7">
        <w:t xml:space="preserve">As organizations move beyond experimental pilot programs, a standardized framework for AI strategy has emerged. Winning firms no longer treat AI as a technical add-on; instead, they integrate it into the core business architecture. This framework is typically categorized into four distinct pillars: Direction, Demand, Economics, and Advantage. The "Direction" pillar ensures that AI initiatives align with the long-term corporate roadmap, while "Demand" focuses on solving high-friction operational tasks. The "Economics" pillar has become increasingly vital in 2026, as CFOs demand rigorous modeling of "cost per inference" against projected labor savings. Finally, "Advantage" focuses on defensibility—creating a "moat" </w:t>
      </w:r>
      <w:proofErr w:type="gramStart"/>
      <w:r w:rsidRPr="00290AB7">
        <w:t>through the use of</w:t>
      </w:r>
      <w:proofErr w:type="gramEnd"/>
      <w:r w:rsidRPr="00290AB7">
        <w:t xml:space="preserve"> proprietary data that cannot be replicated by open-source or commercial models.</w:t>
      </w:r>
    </w:p>
    <w:p w14:paraId="511461F1" w14:textId="77777777" w:rsidR="00290AB7" w:rsidRPr="00290AB7" w:rsidRDefault="00290AB7" w:rsidP="00290AB7">
      <w:pPr>
        <w:rPr>
          <w:b/>
          <w:bCs/>
        </w:rPr>
      </w:pPr>
      <w:r w:rsidRPr="00290AB7">
        <w:rPr>
          <w:b/>
          <w:bCs/>
        </w:rPr>
        <w:t>From Copilots to Agents</w:t>
      </w:r>
    </w:p>
    <w:p w14:paraId="15FE3CDC" w14:textId="77777777" w:rsidR="00290AB7" w:rsidRPr="00290AB7" w:rsidRDefault="00290AB7" w:rsidP="00290AB7">
      <w:r w:rsidRPr="00290AB7">
        <w:t>The primary technological trend of 2026 is the rise of Agentic AI. Unlike the "Copilots" of 2023, which required constant human prompting, agents are capable of independent reasoning and planning. For example, in supply chain management, an agentic system can identify a shipping delay, analyze alternative routes, negotiate with a secondary vendor, and update the inventory ledger without human intervention. This shift necessitates a redesign of the traditional workforce. Organizations are increasingly adopting "Hybrid Talent Models," where human managers oversee "Digital Workers." This requires a new set of management skills focused on prompt engineering, algorithmic oversight, and ethical governance.</w:t>
      </w:r>
    </w:p>
    <w:p w14:paraId="55718363" w14:textId="77777777" w:rsidR="00290AB7" w:rsidRPr="00290AB7" w:rsidRDefault="00290AB7" w:rsidP="00290AB7">
      <w:pPr>
        <w:rPr>
          <w:b/>
          <w:bCs/>
        </w:rPr>
      </w:pPr>
      <w:r w:rsidRPr="00290AB7">
        <w:rPr>
          <w:b/>
          <w:bCs/>
        </w:rPr>
        <w:lastRenderedPageBreak/>
        <w:t>Data Sovereignty and the Rise of Small Language Models (SLMs)</w:t>
      </w:r>
    </w:p>
    <w:p w14:paraId="7ECA4108" w14:textId="77777777" w:rsidR="00290AB7" w:rsidRPr="00290AB7" w:rsidRDefault="00290AB7" w:rsidP="00290AB7">
      <w:r w:rsidRPr="00290AB7">
        <w:t xml:space="preserve">A significant strategic pivot in 2026 is the movement away from centralized, third-party LLMs. Concerns over data privacy and the high costs of API calls have led to the "Private AI" movement. Companies are now investing in Small Language Models (SLMs) that are trained on specific, high-quality datasets. These models are often hosted </w:t>
      </w:r>
      <w:proofErr w:type="gramStart"/>
      <w:r w:rsidRPr="00290AB7">
        <w:t>on-premise</w:t>
      </w:r>
      <w:proofErr w:type="gramEnd"/>
      <w:r w:rsidRPr="00290AB7">
        <w:t xml:space="preserve"> or within private clouds, ensuring that proprietary intellectual property remains within the corporate firewall. This "sovereignty" allows for higher security and more specialized performance in niche domains like legal discovery or medical diagnostics.</w:t>
      </w:r>
    </w:p>
    <w:p w14:paraId="302DC878" w14:textId="77777777" w:rsidR="00290AB7" w:rsidRPr="00290AB7" w:rsidRDefault="00290AB7" w:rsidP="00290AB7">
      <w:pPr>
        <w:rPr>
          <w:b/>
          <w:bCs/>
        </w:rPr>
      </w:pPr>
      <w:r w:rsidRPr="00290AB7">
        <w:rPr>
          <w:b/>
          <w:bCs/>
        </w:rPr>
        <w:t>Economic Reality and the ROI Gap</w:t>
      </w:r>
    </w:p>
    <w:p w14:paraId="6770611C" w14:textId="77777777" w:rsidR="00290AB7" w:rsidRPr="00290AB7" w:rsidRDefault="00290AB7" w:rsidP="00290AB7">
      <w:r w:rsidRPr="00290AB7">
        <w:t>Despite the proliferation of AI, achieving measurable ROI remains a significant challenge. Research indicates that the "AI Bottleneck" is rarely a failure of the technology itself, but rather a failure of data infrastructure. Fragmented legacy systems prevent AI from accessing the real-time data it needs to be effective. Furthermore, the "AI Talent Gap" remains a hurdle; while there is an abundance of entry-level coders, there is a severe shortage of "AI Strategists" who can bridge the gap between technical capability and business value.</w:t>
      </w:r>
    </w:p>
    <w:p w14:paraId="5D4A4DE1" w14:textId="77777777" w:rsidR="00290AB7" w:rsidRPr="00290AB7" w:rsidRDefault="00290AB7" w:rsidP="00290AB7">
      <w:pPr>
        <w:rPr>
          <w:b/>
          <w:bCs/>
        </w:rPr>
      </w:pPr>
      <w:r w:rsidRPr="00290AB7">
        <w:rPr>
          <w:b/>
          <w:bCs/>
        </w:rPr>
        <w:t>Conclusion</w:t>
      </w:r>
    </w:p>
    <w:p w14:paraId="069AA15C" w14:textId="77777777" w:rsidR="00290AB7" w:rsidRPr="00290AB7" w:rsidRDefault="00290AB7" w:rsidP="00290AB7">
      <w:r w:rsidRPr="00290AB7">
        <w:t>The AI strategy of 2026 is defined by a move toward autonomy and rigorous operationalization. Competitive advantage is no longer derived from simply having access to AI, but from the speed at which an organization can turn raw data into autonomous action. As agents become more prevalent, the most successful firms will be those that prioritize data sovereignty and treat AI as a living, evolving part of their organizational DNA.</w:t>
      </w:r>
    </w:p>
    <w:p w14:paraId="752CFA1F" w14:textId="77777777" w:rsidR="00290AB7" w:rsidRPr="00290AB7" w:rsidRDefault="00290AB7" w:rsidP="00290AB7">
      <w:r w:rsidRPr="00290AB7">
        <w:pict w14:anchorId="472B448A">
          <v:rect id="_x0000_i1057" style="width:0;height:1.5pt" o:hralign="center" o:hrstd="t" o:hr="t" fillcolor="#a0a0a0" stroked="f"/>
        </w:pict>
      </w:r>
    </w:p>
    <w:p w14:paraId="59845DD6" w14:textId="77777777" w:rsidR="00290AB7" w:rsidRPr="00290AB7" w:rsidRDefault="00290AB7" w:rsidP="00290AB7">
      <w:pPr>
        <w:rPr>
          <w:b/>
          <w:bCs/>
        </w:rPr>
      </w:pPr>
      <w:r w:rsidRPr="00290AB7">
        <w:rPr>
          <w:b/>
          <w:bCs/>
        </w:rPr>
        <w:t>Appendix A: 90-Day Agentic Implementation Roadmap</w:t>
      </w:r>
    </w:p>
    <w:p w14:paraId="4610CE35" w14:textId="77777777" w:rsidR="00290AB7" w:rsidRPr="00290AB7" w:rsidRDefault="00290AB7" w:rsidP="00290AB7">
      <w:r w:rsidRPr="00290AB7">
        <w:rPr>
          <w:b/>
          <w:bCs/>
        </w:rPr>
        <w:t>Month 1: Discovery &amp; Technical Foundation</w:t>
      </w:r>
    </w:p>
    <w:p w14:paraId="0DC39D93" w14:textId="77777777" w:rsidR="00290AB7" w:rsidRPr="00290AB7" w:rsidRDefault="00290AB7" w:rsidP="00290AB7">
      <w:pPr>
        <w:numPr>
          <w:ilvl w:val="0"/>
          <w:numId w:val="1"/>
        </w:numPr>
      </w:pPr>
      <w:r w:rsidRPr="00290AB7">
        <w:rPr>
          <w:b/>
          <w:bCs/>
        </w:rPr>
        <w:t>Weeks 1-2:</w:t>
      </w:r>
      <w:r w:rsidRPr="00290AB7">
        <w:t xml:space="preserve"> Identify manual, high-volume data tasks. Define Agentic Task Completion (ATC) goals.</w:t>
      </w:r>
    </w:p>
    <w:p w14:paraId="2480CD79" w14:textId="77777777" w:rsidR="00290AB7" w:rsidRPr="00290AB7" w:rsidRDefault="00290AB7" w:rsidP="00290AB7">
      <w:pPr>
        <w:numPr>
          <w:ilvl w:val="0"/>
          <w:numId w:val="1"/>
        </w:numPr>
      </w:pPr>
      <w:r w:rsidRPr="00290AB7">
        <w:rPr>
          <w:b/>
          <w:bCs/>
        </w:rPr>
        <w:t>Weeks 3-4:</w:t>
      </w:r>
      <w:r w:rsidRPr="00290AB7">
        <w:t xml:space="preserve"> Establish Private Cloud environments. Secure proprietary data into "Data Molecules" for model ingestion.</w:t>
      </w:r>
    </w:p>
    <w:p w14:paraId="7C574FDA" w14:textId="77777777" w:rsidR="00290AB7" w:rsidRPr="00290AB7" w:rsidRDefault="00290AB7" w:rsidP="00290AB7">
      <w:r w:rsidRPr="00290AB7">
        <w:rPr>
          <w:b/>
          <w:bCs/>
        </w:rPr>
        <w:t>Month 2: Development &amp; Agent Orchestration</w:t>
      </w:r>
    </w:p>
    <w:p w14:paraId="3C9F678A" w14:textId="77777777" w:rsidR="00290AB7" w:rsidRPr="00290AB7" w:rsidRDefault="00290AB7" w:rsidP="00290AB7">
      <w:pPr>
        <w:numPr>
          <w:ilvl w:val="0"/>
          <w:numId w:val="2"/>
        </w:numPr>
      </w:pPr>
      <w:r w:rsidRPr="00290AB7">
        <w:rPr>
          <w:b/>
          <w:bCs/>
        </w:rPr>
        <w:t>Weeks 5-6:</w:t>
      </w:r>
      <w:r w:rsidRPr="00290AB7">
        <w:t xml:space="preserve"> Deploy domain-specific Small Language Models (SLMs). Implement Retrieval-Augmented Generation (RAG).</w:t>
      </w:r>
    </w:p>
    <w:p w14:paraId="4A53F106" w14:textId="77777777" w:rsidR="00290AB7" w:rsidRPr="00290AB7" w:rsidRDefault="00290AB7" w:rsidP="00290AB7">
      <w:pPr>
        <w:numPr>
          <w:ilvl w:val="0"/>
          <w:numId w:val="2"/>
        </w:numPr>
      </w:pPr>
      <w:r w:rsidRPr="00290AB7">
        <w:rPr>
          <w:b/>
          <w:bCs/>
        </w:rPr>
        <w:lastRenderedPageBreak/>
        <w:t>Weeks 7-8:</w:t>
      </w:r>
      <w:r w:rsidRPr="00290AB7">
        <w:t xml:space="preserve"> Build multi-agent orchestration frameworks where agents "plan, execute, and verify" tasks.</w:t>
      </w:r>
    </w:p>
    <w:p w14:paraId="11524F7F" w14:textId="77777777" w:rsidR="00290AB7" w:rsidRPr="00290AB7" w:rsidRDefault="00290AB7" w:rsidP="00290AB7">
      <w:r w:rsidRPr="00290AB7">
        <w:rPr>
          <w:b/>
          <w:bCs/>
        </w:rPr>
        <w:t>Month 3: Governance &amp; Scaling</w:t>
      </w:r>
    </w:p>
    <w:p w14:paraId="1DC06639" w14:textId="77777777" w:rsidR="00290AB7" w:rsidRPr="00290AB7" w:rsidRDefault="00290AB7" w:rsidP="00290AB7">
      <w:pPr>
        <w:numPr>
          <w:ilvl w:val="0"/>
          <w:numId w:val="3"/>
        </w:numPr>
      </w:pPr>
      <w:r w:rsidRPr="00290AB7">
        <w:rPr>
          <w:b/>
          <w:bCs/>
        </w:rPr>
        <w:t>Weeks 9-10:</w:t>
      </w:r>
      <w:r w:rsidRPr="00290AB7">
        <w:t xml:space="preserve"> Deploy prompt injection protection and "Human-in-the-Loop" (HITL) safety checkpoints.</w:t>
      </w:r>
    </w:p>
    <w:p w14:paraId="791E5D30" w14:textId="77777777" w:rsidR="00290AB7" w:rsidRPr="00290AB7" w:rsidRDefault="00290AB7" w:rsidP="00290AB7">
      <w:pPr>
        <w:numPr>
          <w:ilvl w:val="0"/>
          <w:numId w:val="3"/>
        </w:numPr>
      </w:pPr>
      <w:r w:rsidRPr="00290AB7">
        <w:rPr>
          <w:b/>
          <w:bCs/>
        </w:rPr>
        <w:t>Weeks 11-12:</w:t>
      </w:r>
      <w:r w:rsidRPr="00290AB7">
        <w:t xml:space="preserve"> Monitor for model drift and optimize the Cost Per Inference (CPI).</w:t>
      </w:r>
    </w:p>
    <w:p w14:paraId="1CE9FB64" w14:textId="77777777" w:rsidR="00290AB7" w:rsidRPr="00290AB7" w:rsidRDefault="00290AB7" w:rsidP="00290AB7">
      <w:r w:rsidRPr="00290AB7">
        <w:pict w14:anchorId="61F14F74">
          <v:rect id="_x0000_i1058" style="width:0;height:1.5pt" o:hralign="center" o:hrstd="t" o:hr="t" fillcolor="#a0a0a0" stroked="f"/>
        </w:pict>
      </w:r>
    </w:p>
    <w:p w14:paraId="575DF608" w14:textId="77777777" w:rsidR="00290AB7" w:rsidRPr="00290AB7" w:rsidRDefault="00290AB7" w:rsidP="00290AB7">
      <w:pPr>
        <w:rPr>
          <w:b/>
          <w:bCs/>
        </w:rPr>
      </w:pPr>
      <w:r w:rsidRPr="00290AB7">
        <w:rPr>
          <w:b/>
          <w:bCs/>
        </w:rPr>
        <w:t>Appendix B: Strategic KPI Formulas</w:t>
      </w:r>
    </w:p>
    <w:p w14:paraId="4AB46E6B" w14:textId="77777777" w:rsidR="00290AB7" w:rsidRPr="00290AB7" w:rsidRDefault="00290AB7" w:rsidP="00290AB7">
      <w:r w:rsidRPr="00290AB7">
        <w:t>1. Agentic Task Completion (ATC) Rate</w:t>
      </w:r>
    </w:p>
    <w:p w14:paraId="4C452703" w14:textId="77777777" w:rsidR="00FB255B" w:rsidRDefault="00290AB7" w:rsidP="00290AB7">
      <w:r w:rsidRPr="00290AB7">
        <w:drawing>
          <wp:inline distT="0" distB="0" distL="0" distR="0" wp14:anchorId="38ACAA02" wp14:editId="32CEA6C5">
            <wp:extent cx="5626389" cy="857294"/>
            <wp:effectExtent l="0" t="0" r="0" b="0"/>
            <wp:docPr id="1857008106" name="Picture 1" descr="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08106" name="Picture 1" descr="Graphical user interface&#10;&#10;AI-generated content may be incorrect."/>
                    <pic:cNvPicPr/>
                  </pic:nvPicPr>
                  <pic:blipFill>
                    <a:blip r:embed="rId7"/>
                    <a:stretch>
                      <a:fillRect/>
                    </a:stretch>
                  </pic:blipFill>
                  <pic:spPr>
                    <a:xfrm>
                      <a:off x="0" y="0"/>
                      <a:ext cx="5626389" cy="857294"/>
                    </a:xfrm>
                    <a:prstGeom prst="rect">
                      <a:avLst/>
                    </a:prstGeom>
                  </pic:spPr>
                </pic:pic>
              </a:graphicData>
            </a:graphic>
          </wp:inline>
        </w:drawing>
      </w:r>
    </w:p>
    <w:p w14:paraId="2B46A47C" w14:textId="02B09B5E" w:rsidR="00290AB7" w:rsidRPr="00290AB7" w:rsidRDefault="00290AB7" w:rsidP="00290AB7">
      <w:r w:rsidRPr="00290AB7">
        <w:t>2. Cost Per Inference (CPI)</w:t>
      </w:r>
    </w:p>
    <w:p w14:paraId="18BB86B7" w14:textId="7FE4D03E" w:rsidR="00290AB7" w:rsidRPr="00290AB7" w:rsidRDefault="00FB255B" w:rsidP="00290AB7">
      <w:r w:rsidRPr="00FB255B">
        <w:drawing>
          <wp:inline distT="0" distB="0" distL="0" distR="0" wp14:anchorId="0815E106" wp14:editId="535C3999">
            <wp:extent cx="5493032" cy="723937"/>
            <wp:effectExtent l="0" t="0" r="0" b="0"/>
            <wp:docPr id="447370154" name="Picture 1" descr="A picture containing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70154" name="Picture 1" descr="A picture containing text&#10;&#10;AI-generated content may be incorrect."/>
                    <pic:cNvPicPr/>
                  </pic:nvPicPr>
                  <pic:blipFill>
                    <a:blip r:embed="rId8"/>
                    <a:stretch>
                      <a:fillRect/>
                    </a:stretch>
                  </pic:blipFill>
                  <pic:spPr>
                    <a:xfrm>
                      <a:off x="0" y="0"/>
                      <a:ext cx="5493032" cy="723937"/>
                    </a:xfrm>
                    <a:prstGeom prst="rect">
                      <a:avLst/>
                    </a:prstGeom>
                  </pic:spPr>
                </pic:pic>
              </a:graphicData>
            </a:graphic>
          </wp:inline>
        </w:drawing>
      </w:r>
      <w:r w:rsidR="00290AB7" w:rsidRPr="00290AB7">
        <w:pict w14:anchorId="0181EF82">
          <v:rect id="_x0000_i1059" style="width:0;height:1.5pt" o:hralign="center" o:hrstd="t" o:hr="t" fillcolor="#a0a0a0" stroked="f"/>
        </w:pict>
      </w:r>
    </w:p>
    <w:p w14:paraId="597FB1BF" w14:textId="77777777" w:rsidR="00FB255B" w:rsidRDefault="00FB255B" w:rsidP="00290AB7">
      <w:pPr>
        <w:rPr>
          <w:b/>
          <w:bCs/>
        </w:rPr>
      </w:pPr>
    </w:p>
    <w:p w14:paraId="6D2BDA3E" w14:textId="141A8C29" w:rsidR="00290AB7" w:rsidRDefault="00290AB7" w:rsidP="00FB255B">
      <w:pPr>
        <w:jc w:val="center"/>
        <w:rPr>
          <w:b/>
          <w:bCs/>
        </w:rPr>
      </w:pPr>
      <w:r w:rsidRPr="00290AB7">
        <w:rPr>
          <w:b/>
          <w:bCs/>
        </w:rPr>
        <w:t>Works Cited</w:t>
      </w:r>
    </w:p>
    <w:p w14:paraId="3D83D44A" w14:textId="77777777" w:rsidR="00FB255B" w:rsidRPr="00290AB7" w:rsidRDefault="00FB255B" w:rsidP="00FB255B">
      <w:pPr>
        <w:jc w:val="center"/>
        <w:rPr>
          <w:b/>
          <w:bCs/>
        </w:rPr>
      </w:pPr>
    </w:p>
    <w:p w14:paraId="46606C77" w14:textId="77777777" w:rsidR="00290AB7" w:rsidRPr="00290AB7" w:rsidRDefault="00290AB7" w:rsidP="00290AB7">
      <w:r w:rsidRPr="00290AB7">
        <w:t xml:space="preserve">Gartner. </w:t>
      </w:r>
      <w:r w:rsidRPr="00290AB7">
        <w:rPr>
          <w:i/>
          <w:iCs/>
        </w:rPr>
        <w:t>Top Strategic Technology Trends for 2026</w:t>
      </w:r>
      <w:r w:rsidRPr="00290AB7">
        <w:t>. Gartner Press, 2025.</w:t>
      </w:r>
    </w:p>
    <w:p w14:paraId="7C2DF974" w14:textId="77777777" w:rsidR="00290AB7" w:rsidRPr="00290AB7" w:rsidRDefault="00290AB7" w:rsidP="00290AB7">
      <w:r w:rsidRPr="00290AB7">
        <w:t xml:space="preserve">"The State of Agentic AI in the Enterprise." </w:t>
      </w:r>
      <w:r w:rsidRPr="00290AB7">
        <w:rPr>
          <w:i/>
          <w:iCs/>
        </w:rPr>
        <w:t>MIT Technology Review</w:t>
      </w:r>
      <w:r w:rsidRPr="00290AB7">
        <w:t>, vol. 129, no. 1, 2025, pp. 42-50.</w:t>
      </w:r>
    </w:p>
    <w:p w14:paraId="0AC7CA62" w14:textId="77777777" w:rsidR="00290AB7" w:rsidRPr="00290AB7" w:rsidRDefault="00290AB7" w:rsidP="00290AB7">
      <w:r w:rsidRPr="00290AB7">
        <w:t xml:space="preserve">Nakamoto, Sarah. "The Private AI Imperative: Why SLMs are Replacing LLMs." </w:t>
      </w:r>
      <w:r w:rsidRPr="00290AB7">
        <w:rPr>
          <w:i/>
          <w:iCs/>
        </w:rPr>
        <w:t>Journal of Business &amp; Technology</w:t>
      </w:r>
      <w:r w:rsidRPr="00290AB7">
        <w:t>, Feb. 2025.</w:t>
      </w:r>
    </w:p>
    <w:p w14:paraId="2DABD32A" w14:textId="77777777" w:rsidR="00290AB7" w:rsidRPr="00290AB7" w:rsidRDefault="00290AB7" w:rsidP="00290AB7">
      <w:r w:rsidRPr="00290AB7">
        <w:t xml:space="preserve">World Economic Forum. </w:t>
      </w:r>
      <w:r w:rsidRPr="00290AB7">
        <w:rPr>
          <w:i/>
          <w:iCs/>
        </w:rPr>
        <w:t>The Future of Jobs Report 2025</w:t>
      </w:r>
      <w:r w:rsidRPr="00290AB7">
        <w:t>. WEF Publications, 2025.</w:t>
      </w:r>
    </w:p>
    <w:p w14:paraId="14BC684D" w14:textId="77777777" w:rsidR="00CF6989" w:rsidRDefault="00CF6989"/>
    <w:sectPr w:rsidR="00CF6989">
      <w:headerReference w:type="even" r:id="rId9"/>
      <w:footerReference w:type="even"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A6281" w14:textId="77777777" w:rsidR="00290AB7" w:rsidRDefault="00290AB7" w:rsidP="00290AB7">
      <w:pPr>
        <w:spacing w:after="0" w:line="240" w:lineRule="auto"/>
      </w:pPr>
      <w:r>
        <w:separator/>
      </w:r>
    </w:p>
  </w:endnote>
  <w:endnote w:type="continuationSeparator" w:id="0">
    <w:p w14:paraId="089AC8C7" w14:textId="77777777" w:rsidR="00290AB7" w:rsidRDefault="00290AB7" w:rsidP="00290A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5639C" w14:textId="7D122839" w:rsidR="00290AB7" w:rsidRDefault="00290AB7">
    <w:pPr>
      <w:pStyle w:val="Footer"/>
    </w:pPr>
    <w:r>
      <w:rPr>
        <w:noProof/>
      </w:rPr>
      <mc:AlternateContent>
        <mc:Choice Requires="wps">
          <w:drawing>
            <wp:anchor distT="0" distB="0" distL="0" distR="0" simplePos="0" relativeHeight="251662336" behindDoc="0" locked="0" layoutInCell="1" allowOverlap="1" wp14:anchorId="3C9E172E" wp14:editId="377972A5">
              <wp:simplePos x="635" y="635"/>
              <wp:positionH relativeFrom="page">
                <wp:align>center</wp:align>
              </wp:positionH>
              <wp:positionV relativeFrom="page">
                <wp:align>bottom</wp:align>
              </wp:positionV>
              <wp:extent cx="1005840" cy="405765"/>
              <wp:effectExtent l="0" t="0" r="3810" b="0"/>
              <wp:wrapNone/>
              <wp:docPr id="1333029828" name="Text Box 5"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05840" cy="405765"/>
                      </a:xfrm>
                      <a:prstGeom prst="rect">
                        <a:avLst/>
                      </a:prstGeom>
                      <a:noFill/>
                      <a:ln>
                        <a:noFill/>
                      </a:ln>
                    </wps:spPr>
                    <wps:txbx>
                      <w:txbxContent>
                        <w:p w14:paraId="42127DB5" w14:textId="5A6D71F4" w:rsidR="00290AB7" w:rsidRPr="00290AB7" w:rsidRDefault="00290AB7" w:rsidP="00290AB7">
                          <w:pPr>
                            <w:spacing w:after="0"/>
                            <w:rPr>
                              <w:rFonts w:ascii="Aptos" w:eastAsia="Aptos" w:hAnsi="Aptos" w:cs="Aptos"/>
                              <w:noProof/>
                              <w:color w:val="000000"/>
                            </w:rPr>
                          </w:pPr>
                          <w:r w:rsidRPr="00290AB7">
                            <w:rPr>
                              <w:rFonts w:ascii="Aptos" w:eastAsia="Aptos" w:hAnsi="Aptos" w:cs="Aptos"/>
                              <w:noProof/>
                              <w:color w:val="00000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C9E172E" id="_x0000_t202" coordsize="21600,21600" o:spt="202" path="m,l,21600r21600,l21600,xe">
              <v:stroke joinstyle="miter"/>
              <v:path gradientshapeok="t" o:connecttype="rect"/>
            </v:shapetype>
            <v:shape id="Text Box 5" o:spid="_x0000_s1027" type="#_x0000_t202" alt="UNCLASSIFIED" style="position:absolute;margin-left:0;margin-top:0;width:79.2pt;height:31.9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" filled="f" stroked="f">
              <v:fill o:detectmouseclick="t"/>
              <v:textbox style="mso-fit-shape-to-text:t" inset="0,0,0,15pt">
                <w:txbxContent>
                  <w:p w14:paraId="42127DB5" w14:textId="5A6D71F4" w:rsidR="00290AB7" w:rsidRPr="00290AB7" w:rsidRDefault="00290AB7" w:rsidP="00290AB7">
                    <w:pPr>
                      <w:spacing w:after="0"/>
                      <w:rPr>
                        <w:rFonts w:ascii="Aptos" w:eastAsia="Aptos" w:hAnsi="Aptos" w:cs="Aptos"/>
                        <w:noProof/>
                        <w:color w:val="000000"/>
                      </w:rPr>
                    </w:pPr>
                    <w:r w:rsidRPr="00290AB7">
                      <w:rPr>
                        <w:rFonts w:ascii="Aptos" w:eastAsia="Aptos" w:hAnsi="Aptos" w:cs="Aptos"/>
                        <w:noProof/>
                        <w:color w:val="000000"/>
                      </w:rPr>
                      <w:t>UNCLASSIFIED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A19AF" w14:textId="1068DF70" w:rsidR="00290AB7" w:rsidRDefault="00290AB7">
    <w:pPr>
      <w:pStyle w:val="Footer"/>
    </w:pPr>
    <w:r>
      <w:rPr>
        <w:noProof/>
      </w:rPr>
      <mc:AlternateContent>
        <mc:Choice Requires="wps">
          <w:drawing>
            <wp:anchor distT="0" distB="0" distL="0" distR="0" simplePos="0" relativeHeight="251661312" behindDoc="0" locked="0" layoutInCell="1" allowOverlap="1" wp14:anchorId="225097D1" wp14:editId="46EA8B74">
              <wp:simplePos x="635" y="635"/>
              <wp:positionH relativeFrom="page">
                <wp:align>center</wp:align>
              </wp:positionH>
              <wp:positionV relativeFrom="page">
                <wp:align>bottom</wp:align>
              </wp:positionV>
              <wp:extent cx="1005840" cy="405765"/>
              <wp:effectExtent l="0" t="0" r="3810" b="0"/>
              <wp:wrapNone/>
              <wp:docPr id="129893219" name="Text Box 4"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05840" cy="405765"/>
                      </a:xfrm>
                      <a:prstGeom prst="rect">
                        <a:avLst/>
                      </a:prstGeom>
                      <a:noFill/>
                      <a:ln>
                        <a:noFill/>
                      </a:ln>
                    </wps:spPr>
                    <wps:txbx>
                      <w:txbxContent>
                        <w:p w14:paraId="69C99A21" w14:textId="762ACE62" w:rsidR="00290AB7" w:rsidRPr="00290AB7" w:rsidRDefault="00290AB7" w:rsidP="00290AB7">
                          <w:pPr>
                            <w:spacing w:after="0"/>
                            <w:rPr>
                              <w:rFonts w:ascii="Aptos" w:eastAsia="Aptos" w:hAnsi="Aptos" w:cs="Aptos"/>
                              <w:noProof/>
                              <w:color w:val="000000"/>
                            </w:rPr>
                          </w:pPr>
                          <w:r w:rsidRPr="00290AB7">
                            <w:rPr>
                              <w:rFonts w:ascii="Aptos" w:eastAsia="Aptos" w:hAnsi="Aptos" w:cs="Aptos"/>
                              <w:noProof/>
                              <w:color w:val="00000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25097D1" id="_x0000_t202" coordsize="21600,21600" o:spt="202" path="m,l,21600r21600,l21600,xe">
              <v:stroke joinstyle="miter"/>
              <v:path gradientshapeok="t" o:connecttype="rect"/>
            </v:shapetype>
            <v:shape id="Text Box 4" o:spid="_x0000_s1029" type="#_x0000_t202" alt="UNCLASSIFIED" style="position:absolute;margin-left:0;margin-top:0;width:79.2pt;height:31.9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" filled="f" stroked="f">
              <v:fill o:detectmouseclick="t"/>
              <v:textbox style="mso-fit-shape-to-text:t" inset="0,0,0,15pt">
                <w:txbxContent>
                  <w:p w14:paraId="69C99A21" w14:textId="762ACE62" w:rsidR="00290AB7" w:rsidRPr="00290AB7" w:rsidRDefault="00290AB7" w:rsidP="00290AB7">
                    <w:pPr>
                      <w:spacing w:after="0"/>
                      <w:rPr>
                        <w:rFonts w:ascii="Aptos" w:eastAsia="Aptos" w:hAnsi="Aptos" w:cs="Aptos"/>
                        <w:noProof/>
                        <w:color w:val="000000"/>
                      </w:rPr>
                    </w:pPr>
                    <w:r w:rsidRPr="00290AB7">
                      <w:rPr>
                        <w:rFonts w:ascii="Aptos" w:eastAsia="Aptos" w:hAnsi="Aptos" w:cs="Aptos"/>
                        <w:noProof/>
                        <w:color w:val="000000"/>
                      </w:rPr>
                      <w:t>UNCLASSIFIED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84D2F" w14:textId="77777777" w:rsidR="00290AB7" w:rsidRDefault="00290AB7" w:rsidP="00290AB7">
      <w:pPr>
        <w:spacing w:after="0" w:line="240" w:lineRule="auto"/>
      </w:pPr>
      <w:r>
        <w:separator/>
      </w:r>
    </w:p>
  </w:footnote>
  <w:footnote w:type="continuationSeparator" w:id="0">
    <w:p w14:paraId="6049BE96" w14:textId="77777777" w:rsidR="00290AB7" w:rsidRDefault="00290AB7" w:rsidP="00290A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F5167" w14:textId="1C82B031" w:rsidR="00290AB7" w:rsidRDefault="00290AB7">
    <w:pPr>
      <w:pStyle w:val="Header"/>
    </w:pPr>
    <w:r>
      <w:rPr>
        <w:noProof/>
      </w:rPr>
      <mc:AlternateContent>
        <mc:Choice Requires="wps">
          <w:drawing>
            <wp:anchor distT="0" distB="0" distL="0" distR="0" simplePos="0" relativeHeight="251659264" behindDoc="0" locked="0" layoutInCell="1" allowOverlap="1" wp14:anchorId="5CAE0FF5" wp14:editId="3C07B5A7">
              <wp:simplePos x="635" y="635"/>
              <wp:positionH relativeFrom="page">
                <wp:align>center</wp:align>
              </wp:positionH>
              <wp:positionV relativeFrom="page">
                <wp:align>top</wp:align>
              </wp:positionV>
              <wp:extent cx="1005840" cy="405765"/>
              <wp:effectExtent l="0" t="0" r="3810" b="13335"/>
              <wp:wrapNone/>
              <wp:docPr id="786217148" name="Text Box 2"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05840" cy="405765"/>
                      </a:xfrm>
                      <a:prstGeom prst="rect">
                        <a:avLst/>
                      </a:prstGeom>
                      <a:noFill/>
                      <a:ln>
                        <a:noFill/>
                      </a:ln>
                    </wps:spPr>
                    <wps:txbx>
                      <w:txbxContent>
                        <w:p w14:paraId="0FAE13F4" w14:textId="24403682" w:rsidR="00290AB7" w:rsidRPr="00290AB7" w:rsidRDefault="00290AB7" w:rsidP="00290AB7">
                          <w:pPr>
                            <w:spacing w:after="0"/>
                            <w:rPr>
                              <w:rFonts w:ascii="Aptos" w:eastAsia="Aptos" w:hAnsi="Aptos" w:cs="Aptos"/>
                              <w:noProof/>
                              <w:color w:val="000000"/>
                            </w:rPr>
                          </w:pPr>
                          <w:r w:rsidRPr="00290AB7">
                            <w:rPr>
                              <w:rFonts w:ascii="Aptos" w:eastAsia="Aptos" w:hAnsi="Aptos" w:cs="Aptos"/>
                              <w:noProof/>
                              <w:color w:val="00000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CAE0FF5" id="_x0000_t202" coordsize="21600,21600" o:spt="202" path="m,l,21600r21600,l21600,xe">
              <v:stroke joinstyle="miter"/>
              <v:path gradientshapeok="t" o:connecttype="rect"/>
            </v:shapetype>
            <v:shape id="Text Box 2" o:spid="_x0000_s1026" type="#_x0000_t202" alt="UNCLASSIFIED" style="position:absolute;margin-left:0;margin-top:0;width:79.2pt;height:31.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" filled="f" stroked="f">
              <v:fill o:detectmouseclick="t"/>
              <v:textbox style="mso-fit-shape-to-text:t" inset="0,15pt,0,0">
                <w:txbxContent>
                  <w:p w14:paraId="0FAE13F4" w14:textId="24403682" w:rsidR="00290AB7" w:rsidRPr="00290AB7" w:rsidRDefault="00290AB7" w:rsidP="00290AB7">
                    <w:pPr>
                      <w:spacing w:after="0"/>
                      <w:rPr>
                        <w:rFonts w:ascii="Aptos" w:eastAsia="Aptos" w:hAnsi="Aptos" w:cs="Aptos"/>
                        <w:noProof/>
                        <w:color w:val="000000"/>
                      </w:rPr>
                    </w:pPr>
                    <w:r w:rsidRPr="00290AB7">
                      <w:rPr>
                        <w:rFonts w:ascii="Aptos" w:eastAsia="Aptos" w:hAnsi="Aptos" w:cs="Aptos"/>
                        <w:noProof/>
                        <w:color w:val="000000"/>
                      </w:rPr>
                      <w:t>UNCLASSIFIED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E561E" w14:textId="301168C2" w:rsidR="00290AB7" w:rsidRDefault="00290AB7">
    <w:pPr>
      <w:pStyle w:val="Header"/>
    </w:pPr>
    <w:r>
      <w:rPr>
        <w:noProof/>
      </w:rPr>
      <mc:AlternateContent>
        <mc:Choice Requires="wps">
          <w:drawing>
            <wp:anchor distT="0" distB="0" distL="0" distR="0" simplePos="0" relativeHeight="251658240" behindDoc="0" locked="0" layoutInCell="1" allowOverlap="1" wp14:anchorId="26ECB524" wp14:editId="15D07FF4">
              <wp:simplePos x="635" y="635"/>
              <wp:positionH relativeFrom="page">
                <wp:align>center</wp:align>
              </wp:positionH>
              <wp:positionV relativeFrom="page">
                <wp:align>top</wp:align>
              </wp:positionV>
              <wp:extent cx="1005840" cy="405765"/>
              <wp:effectExtent l="0" t="0" r="3810" b="13335"/>
              <wp:wrapNone/>
              <wp:docPr id="1036623744" name="Text Box 1"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05840" cy="405765"/>
                      </a:xfrm>
                      <a:prstGeom prst="rect">
                        <a:avLst/>
                      </a:prstGeom>
                      <a:noFill/>
                      <a:ln>
                        <a:noFill/>
                      </a:ln>
                    </wps:spPr>
                    <wps:txbx>
                      <w:txbxContent>
                        <w:p w14:paraId="14B67B6A" w14:textId="37A95CE3" w:rsidR="00290AB7" w:rsidRPr="00290AB7" w:rsidRDefault="00290AB7" w:rsidP="00290AB7">
                          <w:pPr>
                            <w:spacing w:after="0"/>
                            <w:rPr>
                              <w:rFonts w:ascii="Aptos" w:eastAsia="Aptos" w:hAnsi="Aptos" w:cs="Aptos"/>
                              <w:noProof/>
                              <w:color w:val="000000"/>
                            </w:rPr>
                          </w:pPr>
                          <w:r w:rsidRPr="00290AB7">
                            <w:rPr>
                              <w:rFonts w:ascii="Aptos" w:eastAsia="Aptos" w:hAnsi="Aptos" w:cs="Aptos"/>
                              <w:noProof/>
                              <w:color w:val="00000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6ECB524" id="_x0000_t202" coordsize="21600,21600" o:spt="202" path="m,l,21600r21600,l21600,xe">
              <v:stroke joinstyle="miter"/>
              <v:path gradientshapeok="t" o:connecttype="rect"/>
            </v:shapetype>
            <v:shape id="Text Box 1" o:spid="_x0000_s1028" type="#_x0000_t202" alt="UNCLASSIFIED" style="position:absolute;margin-left:0;margin-top:0;width:79.2pt;height:31.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" filled="f" stroked="f">
              <v:fill o:detectmouseclick="t"/>
              <v:textbox style="mso-fit-shape-to-text:t" inset="0,15pt,0,0">
                <w:txbxContent>
                  <w:p w14:paraId="14B67B6A" w14:textId="37A95CE3" w:rsidR="00290AB7" w:rsidRPr="00290AB7" w:rsidRDefault="00290AB7" w:rsidP="00290AB7">
                    <w:pPr>
                      <w:spacing w:after="0"/>
                      <w:rPr>
                        <w:rFonts w:ascii="Aptos" w:eastAsia="Aptos" w:hAnsi="Aptos" w:cs="Aptos"/>
                        <w:noProof/>
                        <w:color w:val="000000"/>
                      </w:rPr>
                    </w:pPr>
                    <w:r w:rsidRPr="00290AB7">
                      <w:rPr>
                        <w:rFonts w:ascii="Aptos" w:eastAsia="Aptos" w:hAnsi="Aptos" w:cs="Aptos"/>
                        <w:noProof/>
                        <w:color w:val="000000"/>
                      </w:rPr>
                      <w:t>UNCLASSIFIED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A7B6B"/>
    <w:multiLevelType w:val="multilevel"/>
    <w:tmpl w:val="2D64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5C05C1"/>
    <w:multiLevelType w:val="multilevel"/>
    <w:tmpl w:val="BE2A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787E35"/>
    <w:multiLevelType w:val="multilevel"/>
    <w:tmpl w:val="1C6E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913739">
    <w:abstractNumId w:val="2"/>
  </w:num>
  <w:num w:numId="2" w16cid:durableId="1087459480">
    <w:abstractNumId w:val="1"/>
  </w:num>
  <w:num w:numId="3" w16cid:durableId="1383671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AB7"/>
    <w:rsid w:val="00290AB7"/>
    <w:rsid w:val="00481436"/>
    <w:rsid w:val="00691F09"/>
    <w:rsid w:val="00870D9D"/>
    <w:rsid w:val="00CF6989"/>
    <w:rsid w:val="00FB2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3C584"/>
  <w15:chartTrackingRefBased/>
  <w15:docId w15:val="{243CB751-47CE-4111-AE5E-52B4023EF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A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A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A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A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A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A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A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A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A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A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A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A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A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AB7"/>
    <w:rPr>
      <w:rFonts w:eastAsiaTheme="majorEastAsia" w:cstheme="majorBidi"/>
      <w:color w:val="272727" w:themeColor="text1" w:themeTint="D8"/>
    </w:rPr>
  </w:style>
  <w:style w:type="paragraph" w:styleId="Title">
    <w:name w:val="Title"/>
    <w:basedOn w:val="Normal"/>
    <w:next w:val="Normal"/>
    <w:link w:val="TitleChar"/>
    <w:uiPriority w:val="10"/>
    <w:qFormat/>
    <w:rsid w:val="00290A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A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A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AB7"/>
    <w:pPr>
      <w:spacing w:before="160"/>
      <w:jc w:val="center"/>
    </w:pPr>
    <w:rPr>
      <w:i/>
      <w:iCs/>
      <w:color w:val="404040" w:themeColor="text1" w:themeTint="BF"/>
    </w:rPr>
  </w:style>
  <w:style w:type="character" w:customStyle="1" w:styleId="QuoteChar">
    <w:name w:val="Quote Char"/>
    <w:basedOn w:val="DefaultParagraphFont"/>
    <w:link w:val="Quote"/>
    <w:uiPriority w:val="29"/>
    <w:rsid w:val="00290AB7"/>
    <w:rPr>
      <w:i/>
      <w:iCs/>
      <w:color w:val="404040" w:themeColor="text1" w:themeTint="BF"/>
    </w:rPr>
  </w:style>
  <w:style w:type="paragraph" w:styleId="ListParagraph">
    <w:name w:val="List Paragraph"/>
    <w:basedOn w:val="Normal"/>
    <w:uiPriority w:val="34"/>
    <w:qFormat/>
    <w:rsid w:val="00290AB7"/>
    <w:pPr>
      <w:ind w:left="720"/>
      <w:contextualSpacing/>
    </w:pPr>
  </w:style>
  <w:style w:type="character" w:styleId="IntenseEmphasis">
    <w:name w:val="Intense Emphasis"/>
    <w:basedOn w:val="DefaultParagraphFont"/>
    <w:uiPriority w:val="21"/>
    <w:qFormat/>
    <w:rsid w:val="00290AB7"/>
    <w:rPr>
      <w:i/>
      <w:iCs/>
      <w:color w:val="0F4761" w:themeColor="accent1" w:themeShade="BF"/>
    </w:rPr>
  </w:style>
  <w:style w:type="paragraph" w:styleId="IntenseQuote">
    <w:name w:val="Intense Quote"/>
    <w:basedOn w:val="Normal"/>
    <w:next w:val="Normal"/>
    <w:link w:val="IntenseQuoteChar"/>
    <w:uiPriority w:val="30"/>
    <w:qFormat/>
    <w:rsid w:val="00290A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AB7"/>
    <w:rPr>
      <w:i/>
      <w:iCs/>
      <w:color w:val="0F4761" w:themeColor="accent1" w:themeShade="BF"/>
    </w:rPr>
  </w:style>
  <w:style w:type="character" w:styleId="IntenseReference">
    <w:name w:val="Intense Reference"/>
    <w:basedOn w:val="DefaultParagraphFont"/>
    <w:uiPriority w:val="32"/>
    <w:qFormat/>
    <w:rsid w:val="00290AB7"/>
    <w:rPr>
      <w:b/>
      <w:bCs/>
      <w:smallCaps/>
      <w:color w:val="0F4761" w:themeColor="accent1" w:themeShade="BF"/>
      <w:spacing w:val="5"/>
    </w:rPr>
  </w:style>
  <w:style w:type="paragraph" w:styleId="Header">
    <w:name w:val="header"/>
    <w:basedOn w:val="Normal"/>
    <w:link w:val="HeaderChar"/>
    <w:uiPriority w:val="99"/>
    <w:unhideWhenUsed/>
    <w:rsid w:val="00290A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0AB7"/>
  </w:style>
  <w:style w:type="paragraph" w:styleId="Footer">
    <w:name w:val="footer"/>
    <w:basedOn w:val="Normal"/>
    <w:link w:val="FooterChar"/>
    <w:uiPriority w:val="99"/>
    <w:unhideWhenUsed/>
    <w:rsid w:val="00290A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0A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759</Words>
  <Characters>4533</Characters>
  <Application>Microsoft Office Word</Application>
  <DocSecurity>0</DocSecurity>
  <Lines>83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Austin19</dc:creator>
  <cp:keywords/>
  <dc:description/>
  <cp:lastModifiedBy>Austin19</cp:lastModifiedBy>
  <cp:revision>1</cp:revision>
  <dcterms:created xsi:type="dcterms:W3CDTF">2026-01-06T15:21:00Z</dcterms:created>
  <dcterms:modified xsi:type="dcterms:W3CDTF">2026-01-06T15:35:00Z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3dc99f80,2edcb8bc,1210aad5</vt:lpwstr>
  </property>
  <property fmtid="{D5CDD505-2E9C-101B-9397-08002B2CF9AE}" pid="3" name="ClassificationContentMarkingHeaderFontProps">
    <vt:lpwstr>#000000,12,Aptos</vt:lpwstr>
  </property>
  <property fmtid="{D5CDD505-2E9C-101B-9397-08002B2CF9AE}" pid="4" name="ClassificationContentMarkingHeaderText">
    <vt:lpwstr>UNCLASSIFIED</vt:lpwstr>
  </property>
  <property fmtid="{D5CDD505-2E9C-101B-9397-08002B2CF9AE}" pid="5" name="ClassificationContentMarkingFooterShapeIds">
    <vt:lpwstr>7be0363,4f746bc4,635d3a72</vt:lpwstr>
  </property>
  <property fmtid="{D5CDD505-2E9C-101B-9397-08002B2CF9AE}" pid="6" name="ClassificationContentMarkingFooterFontProps">
    <vt:lpwstr>#000000,12,Aptos</vt:lpwstr>
  </property>
  <property fmtid="{D5CDD505-2E9C-101B-9397-08002B2CF9AE}" pid="7" name="ClassificationContentMarkingFooterText">
    <vt:lpwstr>UNCLASSIFIED</vt:lpwstr>
  </property>
  <property fmtid="{D5CDD505-2E9C-101B-9397-08002B2CF9AE}" pid="8" name="MSIP_Label_27b44288-ac69-4e4e-a4cb-eae53cf34943_Enabled">
    <vt:lpwstr>true</vt:lpwstr>
  </property>
  <property fmtid="{D5CDD505-2E9C-101B-9397-08002B2CF9AE}" pid="9" name="MSIP_Label_27b44288-ac69-4e4e-a4cb-eae53cf34943_SetDate">
    <vt:lpwstr>2026-01-06T15:22:13Z</vt:lpwstr>
  </property>
  <property fmtid="{D5CDD505-2E9C-101B-9397-08002B2CF9AE}" pid="10" name="MSIP_Label_27b44288-ac69-4e4e-a4cb-eae53cf34943_Method">
    <vt:lpwstr>Standard</vt:lpwstr>
  </property>
  <property fmtid="{D5CDD505-2E9C-101B-9397-08002B2CF9AE}" pid="11" name="MSIP_Label_27b44288-ac69-4e4e-a4cb-eae53cf34943_Name">
    <vt:lpwstr>UNCLASSIFIED</vt:lpwstr>
  </property>
  <property fmtid="{D5CDD505-2E9C-101B-9397-08002B2CF9AE}" pid="12" name="MSIP_Label_27b44288-ac69-4e4e-a4cb-eae53cf34943_SiteId">
    <vt:lpwstr>2fe98fc3-3118-4542-bc7a-15c254cc5a32</vt:lpwstr>
  </property>
  <property fmtid="{D5CDD505-2E9C-101B-9397-08002B2CF9AE}" pid="13" name="MSIP_Label_27b44288-ac69-4e4e-a4cb-eae53cf34943_ActionId">
    <vt:lpwstr>3b207419-be1a-43ca-acc1-49ea4a14edf1</vt:lpwstr>
  </property>
  <property fmtid="{D5CDD505-2E9C-101B-9397-08002B2CF9AE}" pid="14" name="MSIP_Label_27b44288-ac69-4e4e-a4cb-eae53cf34943_ContentBits">
    <vt:lpwstr>3</vt:lpwstr>
  </property>
  <property fmtid="{D5CDD505-2E9C-101B-9397-08002B2CF9AE}" pid="15" name="MSIP_Label_27b44288-ac69-4e4e-a4cb-eae53cf34943_Tag">
    <vt:lpwstr>10, 1, 2, 1</vt:lpwstr>
  </property>
</Properties>
</file>