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70AC" w14:textId="77777777" w:rsidR="00DC52C7" w:rsidRDefault="00DC52C7" w:rsidP="00DC52C7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2F19215" w14:textId="77777777" w:rsidR="00DC52C7" w:rsidRDefault="00DC52C7" w:rsidP="00DC52C7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F2FA45F" w14:textId="0B55502D" w:rsidR="00DC52C7" w:rsidRDefault="00DC52C7" w:rsidP="00DC52C7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51C1906D" w14:textId="1D226597" w:rsidR="00DC52C7" w:rsidRDefault="00DC52C7" w:rsidP="00DC52C7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</w:t>
      </w:r>
      <w:r w:rsidR="00BF6FAB">
        <w:rPr>
          <w:rStyle w:val="textlayer--absolute"/>
          <w:rFonts w:ascii="Arial" w:hAnsi="Arial" w:cs="Arial"/>
          <w:sz w:val="59"/>
          <w:szCs w:val="59"/>
        </w:rPr>
        <w:t>11_12</w:t>
      </w:r>
      <w:r>
        <w:rPr>
          <w:rStyle w:val="textlayer--absolute"/>
          <w:rFonts w:ascii="Arial" w:hAnsi="Arial" w:cs="Arial"/>
          <w:sz w:val="59"/>
          <w:szCs w:val="59"/>
        </w:rPr>
        <w:t xml:space="preserve">: </w:t>
      </w:r>
      <w:r w:rsidR="00B104EA" w:rsidRPr="00B104EA">
        <w:rPr>
          <w:rFonts w:ascii="Arial" w:hAnsi="Arial" w:cs="Arial"/>
          <w:sz w:val="59"/>
          <w:szCs w:val="59"/>
        </w:rPr>
        <w:t>MOSFETs</w:t>
      </w:r>
    </w:p>
    <w:p w14:paraId="09CE7D1E" w14:textId="77777777" w:rsidR="00DC52C7" w:rsidRDefault="00DC52C7" w:rsidP="00DC52C7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59D72EEA" w14:textId="77777777" w:rsidR="00DC52C7" w:rsidRDefault="00DC52C7">
      <w:pPr>
        <w:rPr>
          <w:b/>
          <w:bCs/>
          <w:sz w:val="26"/>
          <w:szCs w:val="26"/>
        </w:rPr>
      </w:pPr>
    </w:p>
    <w:p w14:paraId="476904D1" w14:textId="77777777" w:rsidR="00DC52C7" w:rsidRDefault="00DC52C7">
      <w:pPr>
        <w:rPr>
          <w:b/>
          <w:bCs/>
          <w:sz w:val="26"/>
          <w:szCs w:val="26"/>
        </w:rPr>
      </w:pPr>
    </w:p>
    <w:p w14:paraId="1CF1C009" w14:textId="77777777" w:rsidR="00DC52C7" w:rsidRDefault="00DC52C7">
      <w:pPr>
        <w:rPr>
          <w:b/>
          <w:bCs/>
          <w:sz w:val="26"/>
          <w:szCs w:val="26"/>
        </w:rPr>
      </w:pPr>
    </w:p>
    <w:p w14:paraId="7A1A075D" w14:textId="77777777" w:rsidR="00DC52C7" w:rsidRDefault="00DC52C7">
      <w:pPr>
        <w:rPr>
          <w:b/>
          <w:bCs/>
          <w:sz w:val="26"/>
          <w:szCs w:val="26"/>
        </w:rPr>
      </w:pPr>
    </w:p>
    <w:p w14:paraId="439147DE" w14:textId="77777777" w:rsidR="00DC52C7" w:rsidRDefault="00DC52C7">
      <w:pPr>
        <w:rPr>
          <w:b/>
          <w:bCs/>
          <w:sz w:val="26"/>
          <w:szCs w:val="26"/>
        </w:rPr>
      </w:pPr>
    </w:p>
    <w:p w14:paraId="195D62C5" w14:textId="77777777" w:rsidR="00DC52C7" w:rsidRDefault="00DC52C7">
      <w:pPr>
        <w:rPr>
          <w:b/>
          <w:bCs/>
          <w:sz w:val="26"/>
          <w:szCs w:val="26"/>
        </w:rPr>
      </w:pPr>
    </w:p>
    <w:p w14:paraId="36A408E3" w14:textId="77777777" w:rsidR="00DC52C7" w:rsidRDefault="00DC52C7">
      <w:pPr>
        <w:rPr>
          <w:b/>
          <w:bCs/>
          <w:sz w:val="26"/>
          <w:szCs w:val="26"/>
        </w:rPr>
      </w:pPr>
    </w:p>
    <w:p w14:paraId="65C032CB" w14:textId="77777777" w:rsidR="00DC52C7" w:rsidRDefault="00DC52C7">
      <w:pPr>
        <w:rPr>
          <w:b/>
          <w:bCs/>
          <w:sz w:val="26"/>
          <w:szCs w:val="26"/>
        </w:rPr>
      </w:pPr>
    </w:p>
    <w:p w14:paraId="0200C495" w14:textId="77777777" w:rsidR="00DC52C7" w:rsidRDefault="00DC52C7">
      <w:pPr>
        <w:rPr>
          <w:b/>
          <w:bCs/>
          <w:sz w:val="26"/>
          <w:szCs w:val="26"/>
        </w:rPr>
      </w:pPr>
    </w:p>
    <w:p w14:paraId="0B158564" w14:textId="77777777" w:rsidR="00DC52C7" w:rsidRDefault="00DC52C7">
      <w:pPr>
        <w:rPr>
          <w:b/>
          <w:bCs/>
          <w:sz w:val="26"/>
          <w:szCs w:val="26"/>
        </w:rPr>
      </w:pPr>
    </w:p>
    <w:p w14:paraId="604547C9" w14:textId="77777777" w:rsidR="00DC52C7" w:rsidRDefault="00DC52C7">
      <w:pPr>
        <w:rPr>
          <w:b/>
          <w:bCs/>
          <w:sz w:val="26"/>
          <w:szCs w:val="26"/>
        </w:rPr>
      </w:pPr>
    </w:p>
    <w:p w14:paraId="1146CB21" w14:textId="77777777" w:rsidR="00DC52C7" w:rsidRDefault="00DC52C7">
      <w:pPr>
        <w:rPr>
          <w:b/>
          <w:bCs/>
          <w:sz w:val="26"/>
          <w:szCs w:val="26"/>
        </w:rPr>
      </w:pPr>
    </w:p>
    <w:p w14:paraId="595FF08E" w14:textId="77777777" w:rsidR="00DC52C7" w:rsidRDefault="00DC52C7">
      <w:pPr>
        <w:rPr>
          <w:b/>
          <w:bCs/>
          <w:sz w:val="26"/>
          <w:szCs w:val="26"/>
        </w:rPr>
      </w:pPr>
    </w:p>
    <w:p w14:paraId="1A313A26" w14:textId="77777777" w:rsidR="00DC52C7" w:rsidRDefault="00DC52C7">
      <w:pPr>
        <w:rPr>
          <w:b/>
          <w:bCs/>
          <w:sz w:val="26"/>
          <w:szCs w:val="26"/>
        </w:rPr>
      </w:pPr>
    </w:p>
    <w:p w14:paraId="0D08BE6B" w14:textId="509C608F" w:rsidR="00471E77" w:rsidRDefault="0098417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Introduction:</w:t>
      </w:r>
    </w:p>
    <w:p w14:paraId="343022B4" w14:textId="70225826" w:rsidR="00320621" w:rsidRDefault="008A582F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ab/>
      </w:r>
      <w:r>
        <w:rPr>
          <w:sz w:val="26"/>
          <w:szCs w:val="26"/>
        </w:rPr>
        <w:t xml:space="preserve">In this lab, we will look </w:t>
      </w:r>
      <w:r w:rsidR="00655980">
        <w:rPr>
          <w:sz w:val="26"/>
          <w:szCs w:val="26"/>
        </w:rPr>
        <w:t xml:space="preserve">at Metal Oxide </w:t>
      </w:r>
      <w:r w:rsidR="00D7273E">
        <w:rPr>
          <w:sz w:val="26"/>
          <w:szCs w:val="26"/>
        </w:rPr>
        <w:t>Semiconductor Field Effect Transistors</w:t>
      </w:r>
      <w:r w:rsidR="00BC0FEC">
        <w:rPr>
          <w:sz w:val="26"/>
          <w:szCs w:val="26"/>
        </w:rPr>
        <w:t xml:space="preserve"> (MOSFETs). </w:t>
      </w:r>
      <w:r w:rsidR="00895F52">
        <w:rPr>
          <w:sz w:val="26"/>
          <w:szCs w:val="26"/>
        </w:rPr>
        <w:t xml:space="preserve">We will look at the frequency range and bandwidth of </w:t>
      </w:r>
      <w:r w:rsidR="00C35D36">
        <w:rPr>
          <w:sz w:val="26"/>
          <w:szCs w:val="26"/>
        </w:rPr>
        <w:t xml:space="preserve">N and P channel MOSFETs. </w:t>
      </w:r>
      <w:r w:rsidR="00320621" w:rsidRPr="00320621">
        <w:rPr>
          <w:sz w:val="26"/>
          <w:szCs w:val="26"/>
          <w:highlight w:val="yellow"/>
        </w:rPr>
        <w:t xml:space="preserve">Add </w:t>
      </w:r>
      <w:proofErr w:type="gramStart"/>
      <w:r w:rsidR="00320621" w:rsidRPr="00320621">
        <w:rPr>
          <w:sz w:val="26"/>
          <w:szCs w:val="26"/>
          <w:highlight w:val="yellow"/>
        </w:rPr>
        <w:t>more</w:t>
      </w:r>
      <w:proofErr w:type="gramEnd"/>
    </w:p>
    <w:p w14:paraId="307554AE" w14:textId="581635CC" w:rsidR="00320621" w:rsidRDefault="003206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Theoretical Analysis:</w:t>
      </w:r>
    </w:p>
    <w:p w14:paraId="671ABDBB" w14:textId="0F8A4317" w:rsidR="00320621" w:rsidRDefault="0032062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490692">
        <w:rPr>
          <w:sz w:val="26"/>
          <w:szCs w:val="26"/>
        </w:rPr>
        <w:t xml:space="preserve">A MOSFET has three terminals. </w:t>
      </w:r>
      <w:r w:rsidR="006516B2">
        <w:rPr>
          <w:sz w:val="26"/>
          <w:szCs w:val="26"/>
        </w:rPr>
        <w:t xml:space="preserve">It is a </w:t>
      </w:r>
      <w:r w:rsidR="00C90F7B">
        <w:rPr>
          <w:sz w:val="26"/>
          <w:szCs w:val="26"/>
        </w:rPr>
        <w:t xml:space="preserve">unipolar semiconductor. </w:t>
      </w:r>
      <w:r w:rsidR="002D175D">
        <w:rPr>
          <w:sz w:val="26"/>
          <w:szCs w:val="26"/>
        </w:rPr>
        <w:t xml:space="preserve">They are different from JFETs in that they </w:t>
      </w:r>
      <w:r w:rsidR="003A7273">
        <w:rPr>
          <w:sz w:val="26"/>
          <w:szCs w:val="26"/>
        </w:rPr>
        <w:t xml:space="preserve">their </w:t>
      </w:r>
      <w:r w:rsidR="00640E3A">
        <w:rPr>
          <w:sz w:val="26"/>
          <w:szCs w:val="26"/>
        </w:rPr>
        <w:t xml:space="preserve">metal oxide gate is insulated from the main conductor. </w:t>
      </w:r>
      <w:r w:rsidR="004E2823">
        <w:rPr>
          <w:sz w:val="26"/>
          <w:szCs w:val="26"/>
        </w:rPr>
        <w:t xml:space="preserve">This means that no current flows to the gate. </w:t>
      </w:r>
      <w:r w:rsidR="002B1C4A">
        <w:rPr>
          <w:sz w:val="26"/>
          <w:szCs w:val="26"/>
        </w:rPr>
        <w:t xml:space="preserve">MOSFETs have two modes. They are </w:t>
      </w:r>
      <w:r w:rsidR="00C7759E">
        <w:rPr>
          <w:sz w:val="26"/>
          <w:szCs w:val="26"/>
        </w:rPr>
        <w:t>depletion mode</w:t>
      </w:r>
      <w:r w:rsidR="004A2707">
        <w:rPr>
          <w:sz w:val="26"/>
          <w:szCs w:val="26"/>
        </w:rPr>
        <w:t xml:space="preserve"> and enhancement mode. </w:t>
      </w:r>
      <w:r w:rsidR="003700C2">
        <w:rPr>
          <w:sz w:val="26"/>
          <w:szCs w:val="26"/>
        </w:rPr>
        <w:t xml:space="preserve">Depletion mode </w:t>
      </w:r>
      <w:r w:rsidR="006F597F">
        <w:rPr>
          <w:sz w:val="26"/>
          <w:szCs w:val="26"/>
        </w:rPr>
        <w:t xml:space="preserve">is essentially a closed switch. </w:t>
      </w:r>
      <w:r w:rsidR="000C2E47">
        <w:rPr>
          <w:sz w:val="26"/>
          <w:szCs w:val="26"/>
        </w:rPr>
        <w:t>Enhancement</w:t>
      </w:r>
      <w:r w:rsidR="0080059E">
        <w:rPr>
          <w:sz w:val="26"/>
          <w:szCs w:val="26"/>
        </w:rPr>
        <w:t xml:space="preserve"> mode requires a certain gate voltage to turn the </w:t>
      </w:r>
      <w:r w:rsidR="000C2E47">
        <w:rPr>
          <w:sz w:val="26"/>
          <w:szCs w:val="26"/>
        </w:rPr>
        <w:t>transistor on.</w:t>
      </w:r>
    </w:p>
    <w:p w14:paraId="463C7D22" w14:textId="2ABB6CEB" w:rsidR="00666C6E" w:rsidRDefault="00666C6E" w:rsidP="00666C6E">
      <w:pPr>
        <w:jc w:val="center"/>
        <w:rPr>
          <w:sz w:val="26"/>
          <w:szCs w:val="26"/>
        </w:rPr>
      </w:pPr>
    </w:p>
    <w:p w14:paraId="1C928CA3" w14:textId="72D6D4C2" w:rsidR="00666C6E" w:rsidRDefault="0088401B" w:rsidP="00666C6E">
      <w:pPr>
        <w:jc w:val="center"/>
        <w:rPr>
          <w:sz w:val="26"/>
          <w:szCs w:val="26"/>
        </w:rPr>
      </w:pPr>
      <w:r w:rsidRPr="0088401B">
        <w:rPr>
          <w:noProof/>
          <w:sz w:val="26"/>
          <w:szCs w:val="26"/>
        </w:rPr>
        <w:drawing>
          <wp:inline distT="0" distB="0" distL="0" distR="0" wp14:anchorId="6E5C3844" wp14:editId="75204A7F">
            <wp:extent cx="3520440" cy="40787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804" cy="40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0299" w14:textId="4D640E7B" w:rsidR="0088401B" w:rsidRDefault="0088401B" w:rsidP="00666C6E">
      <w:pPr>
        <w:jc w:val="center"/>
        <w:rPr>
          <w:sz w:val="26"/>
          <w:szCs w:val="26"/>
        </w:rPr>
      </w:pPr>
    </w:p>
    <w:p w14:paraId="128C645F" w14:textId="2EF34244" w:rsidR="001A7283" w:rsidRDefault="001A7283" w:rsidP="00666C6E">
      <w:pPr>
        <w:jc w:val="center"/>
        <w:rPr>
          <w:sz w:val="26"/>
          <w:szCs w:val="26"/>
        </w:rPr>
      </w:pPr>
    </w:p>
    <w:p w14:paraId="4541F58E" w14:textId="0E763409" w:rsidR="001A7283" w:rsidRDefault="001A7283" w:rsidP="00666C6E">
      <w:pPr>
        <w:jc w:val="center"/>
        <w:rPr>
          <w:sz w:val="26"/>
          <w:szCs w:val="26"/>
        </w:rPr>
      </w:pPr>
    </w:p>
    <w:p w14:paraId="67B702E0" w14:textId="5A5ACC87" w:rsidR="001A7283" w:rsidRDefault="00792CC9" w:rsidP="00666C6E">
      <w:pPr>
        <w:jc w:val="center"/>
        <w:rPr>
          <w:sz w:val="26"/>
          <w:szCs w:val="26"/>
        </w:rPr>
      </w:pPr>
      <w:r w:rsidRPr="00792CC9">
        <w:rPr>
          <w:noProof/>
          <w:sz w:val="26"/>
          <w:szCs w:val="26"/>
        </w:rPr>
        <w:lastRenderedPageBreak/>
        <w:drawing>
          <wp:inline distT="0" distB="0" distL="0" distR="0" wp14:anchorId="68655080" wp14:editId="2A3AF93A">
            <wp:extent cx="4739640" cy="69207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004" cy="69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D808" w14:textId="351FCD51" w:rsidR="000601A8" w:rsidRDefault="000601A8" w:rsidP="00666C6E">
      <w:pPr>
        <w:jc w:val="center"/>
        <w:rPr>
          <w:sz w:val="26"/>
          <w:szCs w:val="26"/>
        </w:rPr>
      </w:pPr>
    </w:p>
    <w:p w14:paraId="2014597F" w14:textId="2A8C5D11" w:rsidR="00017354" w:rsidRDefault="00017354" w:rsidP="00666C6E">
      <w:pPr>
        <w:jc w:val="center"/>
        <w:rPr>
          <w:sz w:val="26"/>
          <w:szCs w:val="26"/>
        </w:rPr>
      </w:pPr>
    </w:p>
    <w:p w14:paraId="65DB2A84" w14:textId="23FB05E3" w:rsidR="00017354" w:rsidRDefault="00017354" w:rsidP="00666C6E">
      <w:pPr>
        <w:jc w:val="center"/>
        <w:rPr>
          <w:sz w:val="26"/>
          <w:szCs w:val="26"/>
        </w:rPr>
      </w:pPr>
    </w:p>
    <w:p w14:paraId="701D9992" w14:textId="3A997A83" w:rsidR="00017354" w:rsidRDefault="00017354" w:rsidP="00666C6E">
      <w:pPr>
        <w:jc w:val="center"/>
        <w:rPr>
          <w:sz w:val="26"/>
          <w:szCs w:val="26"/>
        </w:rPr>
      </w:pPr>
    </w:p>
    <w:p w14:paraId="2CFDD2D3" w14:textId="69073427" w:rsidR="00017354" w:rsidRDefault="00BF0B2C" w:rsidP="000173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Simulation:</w:t>
      </w:r>
    </w:p>
    <w:p w14:paraId="5468BC38" w14:textId="1E426C8B" w:rsidR="00BF0B2C" w:rsidRDefault="00BF0B2C" w:rsidP="00BF0B2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11</w:t>
      </w:r>
    </w:p>
    <w:p w14:paraId="02E95BBB" w14:textId="77777777" w:rsidR="00617070" w:rsidRPr="002760D4" w:rsidRDefault="00617070" w:rsidP="00617070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For this portion of the lab, we built a circuit using the 2N7000 MOSFET. We set V2 to 2.5 and increased V1 until Id saturates. This procedure was also repeated with V2 equaling 3V, 3.5, and 4V.</w:t>
      </w:r>
    </w:p>
    <w:p w14:paraId="754ADBF2" w14:textId="4D70C509" w:rsidR="00AE7E62" w:rsidRDefault="00AE7E62" w:rsidP="00AE7E62">
      <w:pPr>
        <w:rPr>
          <w:b/>
          <w:bCs/>
          <w:sz w:val="26"/>
          <w:szCs w:val="26"/>
        </w:rPr>
      </w:pPr>
    </w:p>
    <w:p w14:paraId="40B49797" w14:textId="4F25141A" w:rsidR="00BF0B2C" w:rsidRDefault="00380518" w:rsidP="00380518">
      <w:pPr>
        <w:jc w:val="center"/>
        <w:rPr>
          <w:b/>
          <w:bCs/>
          <w:sz w:val="26"/>
          <w:szCs w:val="26"/>
        </w:rPr>
      </w:pPr>
      <w:r w:rsidRPr="00725B7A">
        <w:rPr>
          <w:b/>
          <w:bCs/>
          <w:noProof/>
          <w:sz w:val="26"/>
          <w:szCs w:val="26"/>
        </w:rPr>
        <w:drawing>
          <wp:inline distT="0" distB="0" distL="0" distR="0" wp14:anchorId="5FF161B0" wp14:editId="4A3D81DE">
            <wp:extent cx="4008467" cy="3734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91AF" w14:textId="77777777" w:rsidR="005436DB" w:rsidRDefault="005436DB" w:rsidP="00380518">
      <w:pPr>
        <w:jc w:val="center"/>
        <w:rPr>
          <w:sz w:val="26"/>
          <w:szCs w:val="26"/>
        </w:rPr>
      </w:pPr>
    </w:p>
    <w:p w14:paraId="0D75A4EC" w14:textId="77777777" w:rsidR="005436DB" w:rsidRDefault="005436DB" w:rsidP="00380518">
      <w:pPr>
        <w:jc w:val="center"/>
        <w:rPr>
          <w:sz w:val="26"/>
          <w:szCs w:val="26"/>
        </w:rPr>
      </w:pPr>
    </w:p>
    <w:p w14:paraId="674EC598" w14:textId="77777777" w:rsidR="005436DB" w:rsidRDefault="005436DB" w:rsidP="00380518">
      <w:pPr>
        <w:jc w:val="center"/>
        <w:rPr>
          <w:sz w:val="26"/>
          <w:szCs w:val="26"/>
        </w:rPr>
      </w:pPr>
    </w:p>
    <w:p w14:paraId="04D085D8" w14:textId="77777777" w:rsidR="005436DB" w:rsidRDefault="005436DB" w:rsidP="00380518">
      <w:pPr>
        <w:jc w:val="center"/>
        <w:rPr>
          <w:sz w:val="26"/>
          <w:szCs w:val="26"/>
        </w:rPr>
      </w:pPr>
    </w:p>
    <w:p w14:paraId="1E73016F" w14:textId="77777777" w:rsidR="005436DB" w:rsidRDefault="005436DB" w:rsidP="00380518">
      <w:pPr>
        <w:jc w:val="center"/>
        <w:rPr>
          <w:sz w:val="26"/>
          <w:szCs w:val="26"/>
        </w:rPr>
      </w:pPr>
    </w:p>
    <w:p w14:paraId="6325FE58" w14:textId="77777777" w:rsidR="005436DB" w:rsidRDefault="005436DB" w:rsidP="00380518">
      <w:pPr>
        <w:jc w:val="center"/>
        <w:rPr>
          <w:sz w:val="26"/>
          <w:szCs w:val="26"/>
        </w:rPr>
      </w:pPr>
    </w:p>
    <w:p w14:paraId="3A0C35F5" w14:textId="77777777" w:rsidR="005436DB" w:rsidRDefault="005436DB" w:rsidP="00380518">
      <w:pPr>
        <w:jc w:val="center"/>
        <w:rPr>
          <w:sz w:val="26"/>
          <w:szCs w:val="26"/>
        </w:rPr>
      </w:pPr>
    </w:p>
    <w:p w14:paraId="7614C1DE" w14:textId="77777777" w:rsidR="005436DB" w:rsidRDefault="005436DB" w:rsidP="00380518">
      <w:pPr>
        <w:jc w:val="center"/>
        <w:rPr>
          <w:sz w:val="26"/>
          <w:szCs w:val="26"/>
        </w:rPr>
      </w:pPr>
    </w:p>
    <w:p w14:paraId="5C81187D" w14:textId="017EBC91" w:rsidR="008567D7" w:rsidRDefault="005436DB" w:rsidP="00380518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VDS vs ID</w:t>
      </w:r>
    </w:p>
    <w:p w14:paraId="2A0B144D" w14:textId="0616A0EC" w:rsidR="00994DDE" w:rsidRDefault="005436DB" w:rsidP="00994DDE">
      <w:pPr>
        <w:jc w:val="center"/>
        <w:rPr>
          <w:sz w:val="26"/>
          <w:szCs w:val="26"/>
        </w:rPr>
      </w:pPr>
      <w:r w:rsidRPr="007B0A6F">
        <w:rPr>
          <w:noProof/>
          <w:sz w:val="26"/>
          <w:szCs w:val="26"/>
        </w:rPr>
        <w:drawing>
          <wp:inline distT="0" distB="0" distL="0" distR="0" wp14:anchorId="0B4B5170" wp14:editId="637FF4ED">
            <wp:extent cx="3871295" cy="25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422" w14:textId="77777777" w:rsidR="00994DDE" w:rsidRDefault="00994DDE" w:rsidP="00994DDE">
      <w:pPr>
        <w:jc w:val="center"/>
        <w:rPr>
          <w:sz w:val="26"/>
          <w:szCs w:val="26"/>
        </w:rPr>
      </w:pPr>
    </w:p>
    <w:p w14:paraId="12BC4267" w14:textId="4B44D0CD" w:rsidR="00994DDE" w:rsidRDefault="00994DDE" w:rsidP="00994DDE">
      <w:pPr>
        <w:jc w:val="center"/>
        <w:rPr>
          <w:sz w:val="26"/>
          <w:szCs w:val="26"/>
        </w:rPr>
      </w:pPr>
      <w:r>
        <w:rPr>
          <w:sz w:val="26"/>
          <w:szCs w:val="26"/>
        </w:rPr>
        <w:t>Saturation Region</w:t>
      </w:r>
    </w:p>
    <w:tbl>
      <w:tblPr>
        <w:tblW w:w="22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110"/>
      </w:tblGrid>
      <w:tr w:rsidR="00994DDE" w:rsidRPr="00B37940" w14:paraId="0A241818" w14:textId="77777777" w:rsidTr="00992880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2E6D" w14:textId="77777777" w:rsidR="00994DDE" w:rsidRPr="00B37940" w:rsidRDefault="00994DDE" w:rsidP="0099288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B37940">
              <w:rPr>
                <w:bCs/>
                <w:sz w:val="26"/>
                <w:szCs w:val="26"/>
                <w:lang w:val="en"/>
              </w:rPr>
              <w:t>V</w:t>
            </w:r>
            <w:r w:rsidRPr="00B37940">
              <w:rPr>
                <w:bCs/>
                <w:sz w:val="26"/>
                <w:szCs w:val="26"/>
                <w:vertAlign w:val="subscript"/>
                <w:lang w:val="en"/>
              </w:rPr>
              <w:t>GS</w:t>
            </w:r>
            <w:r w:rsidRPr="00B37940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F09B" w14:textId="77777777" w:rsidR="00994DDE" w:rsidRPr="00B37940" w:rsidRDefault="00994DDE" w:rsidP="0099288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B37940">
              <w:rPr>
                <w:bCs/>
                <w:sz w:val="26"/>
                <w:szCs w:val="26"/>
                <w:lang w:val="en"/>
              </w:rPr>
              <w:t>V</w:t>
            </w:r>
            <w:r w:rsidRPr="00B37940">
              <w:rPr>
                <w:bCs/>
                <w:sz w:val="26"/>
                <w:szCs w:val="26"/>
                <w:vertAlign w:val="subscript"/>
                <w:lang w:val="en"/>
              </w:rPr>
              <w:t>DS</w:t>
            </w:r>
            <w:r w:rsidRPr="00B37940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</w:tr>
      <w:tr w:rsidR="00994DDE" w:rsidRPr="00B37940" w14:paraId="3E2A091E" w14:textId="77777777" w:rsidTr="00992880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0386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E500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0.146</w:t>
            </w:r>
          </w:p>
        </w:tc>
      </w:tr>
      <w:tr w:rsidR="00994DDE" w:rsidRPr="00B37940" w14:paraId="1CD1354A" w14:textId="77777777" w:rsidTr="00992880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8EC0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2.545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4733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0.47</w:t>
            </w:r>
          </w:p>
        </w:tc>
      </w:tr>
      <w:tr w:rsidR="00994DDE" w:rsidRPr="00B37940" w14:paraId="542B2418" w14:textId="77777777" w:rsidTr="00992880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F7B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B2FC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0.667</w:t>
            </w:r>
          </w:p>
        </w:tc>
      </w:tr>
      <w:tr w:rsidR="00994DDE" w:rsidRPr="00B37940" w14:paraId="33FC6908" w14:textId="77777777" w:rsidTr="00992880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8F8D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2.951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DE1A" w14:textId="77777777" w:rsidR="00994DDE" w:rsidRPr="00B37940" w:rsidRDefault="00994DDE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0.189</w:t>
            </w:r>
          </w:p>
        </w:tc>
      </w:tr>
    </w:tbl>
    <w:p w14:paraId="75562CB9" w14:textId="77777777" w:rsidR="00994DDE" w:rsidRDefault="00994DDE" w:rsidP="00994DDE">
      <w:pPr>
        <w:jc w:val="center"/>
        <w:rPr>
          <w:sz w:val="26"/>
          <w:szCs w:val="26"/>
        </w:rPr>
      </w:pPr>
    </w:p>
    <w:p w14:paraId="66628752" w14:textId="77777777" w:rsidR="009C2181" w:rsidRDefault="009C2181" w:rsidP="00994DDE">
      <w:pPr>
        <w:rPr>
          <w:sz w:val="26"/>
          <w:szCs w:val="26"/>
        </w:rPr>
      </w:pPr>
    </w:p>
    <w:p w14:paraId="0E3C8614" w14:textId="77777777" w:rsidR="009C2181" w:rsidRDefault="009C2181" w:rsidP="00994DDE">
      <w:pPr>
        <w:rPr>
          <w:sz w:val="26"/>
          <w:szCs w:val="26"/>
        </w:rPr>
      </w:pPr>
    </w:p>
    <w:p w14:paraId="1B4BE43B" w14:textId="77777777" w:rsidR="009C2181" w:rsidRDefault="009C2181" w:rsidP="00994DDE">
      <w:pPr>
        <w:rPr>
          <w:sz w:val="26"/>
          <w:szCs w:val="26"/>
        </w:rPr>
      </w:pPr>
    </w:p>
    <w:p w14:paraId="39F53973" w14:textId="77777777" w:rsidR="009C2181" w:rsidRDefault="009C2181" w:rsidP="00994DDE">
      <w:pPr>
        <w:rPr>
          <w:sz w:val="26"/>
          <w:szCs w:val="26"/>
        </w:rPr>
      </w:pPr>
    </w:p>
    <w:p w14:paraId="11D60EA1" w14:textId="77777777" w:rsidR="009C2181" w:rsidRDefault="009C2181" w:rsidP="00994DDE">
      <w:pPr>
        <w:rPr>
          <w:sz w:val="26"/>
          <w:szCs w:val="26"/>
        </w:rPr>
      </w:pPr>
    </w:p>
    <w:p w14:paraId="5803540C" w14:textId="5BFBE4DE" w:rsidR="00994DDE" w:rsidRDefault="00F225D1" w:rsidP="00994DD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For the next part of lab 11, </w:t>
      </w:r>
      <w:r w:rsidR="00041503">
        <w:rPr>
          <w:sz w:val="26"/>
          <w:szCs w:val="26"/>
        </w:rPr>
        <w:t xml:space="preserve">we set V1 to 22 V. </w:t>
      </w:r>
      <w:r w:rsidR="00580A33">
        <w:rPr>
          <w:sz w:val="26"/>
          <w:szCs w:val="26"/>
        </w:rPr>
        <w:t>Then we increase V2 from 2 volts to 5.5 V until ID doesn’t change. The results are below.</w:t>
      </w:r>
    </w:p>
    <w:tbl>
      <w:tblPr>
        <w:tblW w:w="4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425"/>
        <w:gridCol w:w="1290"/>
      </w:tblGrid>
      <w:tr w:rsidR="009C2181" w:rsidRPr="000721D6" w14:paraId="071D2D1D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A3F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V</w:t>
            </w:r>
            <w:r w:rsidRPr="000721D6">
              <w:rPr>
                <w:sz w:val="26"/>
                <w:szCs w:val="26"/>
                <w:vertAlign w:val="subscript"/>
                <w:lang w:val="en"/>
              </w:rPr>
              <w:t>2</w:t>
            </w:r>
            <w:r w:rsidRPr="000721D6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7A2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V</w:t>
            </w:r>
            <w:r w:rsidRPr="000721D6">
              <w:rPr>
                <w:sz w:val="26"/>
                <w:szCs w:val="26"/>
                <w:vertAlign w:val="subscript"/>
                <w:lang w:val="en"/>
              </w:rPr>
              <w:t>GS</w:t>
            </w:r>
            <w:r w:rsidRPr="000721D6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7D42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I</w:t>
            </w:r>
            <w:r w:rsidRPr="000721D6">
              <w:rPr>
                <w:sz w:val="26"/>
                <w:szCs w:val="26"/>
                <w:vertAlign w:val="subscript"/>
                <w:lang w:val="en"/>
              </w:rPr>
              <w:t>D</w:t>
            </w:r>
            <w:r w:rsidRPr="000721D6">
              <w:rPr>
                <w:sz w:val="26"/>
                <w:szCs w:val="26"/>
                <w:lang w:val="en"/>
              </w:rPr>
              <w:t xml:space="preserve"> (mA)</w:t>
            </w:r>
          </w:p>
        </w:tc>
      </w:tr>
      <w:tr w:rsidR="009C2181" w:rsidRPr="000721D6" w14:paraId="3125C153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66BD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12CA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1.98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96B8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0.000</w:t>
            </w:r>
          </w:p>
        </w:tc>
      </w:tr>
      <w:tr w:rsidR="009C2181" w:rsidRPr="000721D6" w14:paraId="4C44ECE2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4A3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AFA2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2.227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9917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0.000</w:t>
            </w:r>
          </w:p>
        </w:tc>
      </w:tr>
      <w:tr w:rsidR="009C2181" w:rsidRPr="000721D6" w14:paraId="17BAD449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78BD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ADF2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2.38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FB1A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0.956</w:t>
            </w:r>
          </w:p>
        </w:tc>
      </w:tr>
      <w:tr w:rsidR="009C2181" w:rsidRPr="000721D6" w14:paraId="7F7209FE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511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2.75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0122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2.472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34D1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2.533</w:t>
            </w:r>
          </w:p>
        </w:tc>
      </w:tr>
      <w:tr w:rsidR="009C2181" w:rsidRPr="000721D6" w14:paraId="3B30AC31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DD5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C843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2.544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6AB0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4.299</w:t>
            </w:r>
          </w:p>
        </w:tc>
      </w:tr>
      <w:tr w:rsidR="009C2181" w:rsidRPr="000721D6" w14:paraId="305BB06A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ADDD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DDDD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2.607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344F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6.171</w:t>
            </w:r>
          </w:p>
        </w:tc>
      </w:tr>
      <w:tr w:rsidR="009C2181" w:rsidRPr="000721D6" w14:paraId="5F215ED4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93C5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CE6D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79D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8.112</w:t>
            </w:r>
          </w:p>
        </w:tc>
      </w:tr>
      <w:tr w:rsidR="009C2181" w:rsidRPr="000721D6" w14:paraId="28FF38EE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E154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3.75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617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2.713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FA47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10.012</w:t>
            </w:r>
          </w:p>
        </w:tc>
      </w:tr>
      <w:tr w:rsidR="009C2181" w:rsidRPr="000721D6" w14:paraId="0DE6A56F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D2B5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63B4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2.76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A86F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12.149</w:t>
            </w:r>
          </w:p>
        </w:tc>
      </w:tr>
      <w:tr w:rsidR="009C2181" w:rsidRPr="000721D6" w14:paraId="4534F306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5795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DB2E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2.830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2457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14.023</w:t>
            </w:r>
          </w:p>
        </w:tc>
      </w:tr>
      <w:tr w:rsidR="009C2181" w:rsidRPr="000721D6" w14:paraId="404F8DFF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09B8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97D5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2.845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A4DE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16.005</w:t>
            </w:r>
          </w:p>
        </w:tc>
      </w:tr>
      <w:tr w:rsidR="009C2181" w:rsidRPr="000721D6" w14:paraId="5C5B9D1F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5610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4.75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943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2.884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CD4C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18.001</w:t>
            </w:r>
          </w:p>
        </w:tc>
      </w:tr>
      <w:tr w:rsidR="009C2181" w:rsidRPr="000721D6" w14:paraId="7D202CDC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9729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E51F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3.006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BF50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20.011</w:t>
            </w:r>
          </w:p>
        </w:tc>
      </w:tr>
      <w:tr w:rsidR="009C2181" w:rsidRPr="000721D6" w14:paraId="15FD2316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B17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5.25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9546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3.242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51D5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20.015</w:t>
            </w:r>
          </w:p>
        </w:tc>
      </w:tr>
      <w:tr w:rsidR="009C2181" w:rsidRPr="000721D6" w14:paraId="5B54E5E1" w14:textId="77777777" w:rsidTr="00992880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BA24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5.5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C4EE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3.484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ADBB" w14:textId="77777777" w:rsidR="009C2181" w:rsidRPr="000721D6" w:rsidRDefault="009C2181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20.009</w:t>
            </w:r>
          </w:p>
        </w:tc>
      </w:tr>
    </w:tbl>
    <w:p w14:paraId="69880332" w14:textId="14DA820F" w:rsidR="009C2181" w:rsidRDefault="009C2181" w:rsidP="009C2181">
      <w:pPr>
        <w:jc w:val="center"/>
        <w:rPr>
          <w:sz w:val="26"/>
          <w:szCs w:val="26"/>
        </w:rPr>
      </w:pPr>
    </w:p>
    <w:p w14:paraId="1DBC298E" w14:textId="3EE27B95" w:rsidR="001C6C1C" w:rsidRDefault="001C6C1C" w:rsidP="009C2181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312EE0" wp14:editId="7CE02B1A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31FEE3C-DD62-4590-AC7F-D4C5CDBD6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ABD5C7" w14:textId="55DDD747" w:rsidR="001C6C1C" w:rsidRDefault="001C6C1C" w:rsidP="001C6C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12</w:t>
      </w:r>
    </w:p>
    <w:p w14:paraId="3A989BA1" w14:textId="4DD86F5C" w:rsidR="001C6C1C" w:rsidRDefault="0006622D" w:rsidP="0006622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circuit below amplifies a sinusoid </w:t>
      </w:r>
      <w:r w:rsidR="004D5287">
        <w:rPr>
          <w:sz w:val="26"/>
          <w:szCs w:val="26"/>
        </w:rPr>
        <w:t xml:space="preserve">with frequencies ranging from 10 Hz to 3 </w:t>
      </w:r>
      <w:r w:rsidR="00C86E73">
        <w:rPr>
          <w:sz w:val="26"/>
          <w:szCs w:val="26"/>
        </w:rPr>
        <w:t xml:space="preserve">MHz. The circuit and results are shown below. </w:t>
      </w:r>
    </w:p>
    <w:p w14:paraId="0334E99A" w14:textId="37502C2E" w:rsidR="00D2259E" w:rsidRDefault="00D2259E" w:rsidP="00D2259E">
      <w:pPr>
        <w:ind w:firstLine="720"/>
        <w:jc w:val="center"/>
        <w:rPr>
          <w:sz w:val="26"/>
          <w:szCs w:val="26"/>
        </w:rPr>
      </w:pPr>
      <w:r w:rsidRPr="002955A2">
        <w:rPr>
          <w:b/>
          <w:bCs/>
          <w:noProof/>
          <w:sz w:val="26"/>
          <w:szCs w:val="26"/>
        </w:rPr>
        <w:drawing>
          <wp:inline distT="0" distB="0" distL="0" distR="0" wp14:anchorId="32BA76F6" wp14:editId="0CB5D8F0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530"/>
        <w:gridCol w:w="1500"/>
        <w:gridCol w:w="1155"/>
      </w:tblGrid>
      <w:tr w:rsidR="00FB0DDF" w:rsidRPr="00731F85" w14:paraId="4AEAE610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1A24" w14:textId="77777777" w:rsidR="00FB0DDF" w:rsidRPr="00731F85" w:rsidRDefault="00FB0DDF" w:rsidP="0099288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Frequency (Hz)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DBC7" w14:textId="77777777" w:rsidR="00FB0DDF" w:rsidRPr="00731F85" w:rsidRDefault="00FB0DDF" w:rsidP="0099288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V</w:t>
            </w:r>
            <w:r w:rsidRPr="00731F85">
              <w:rPr>
                <w:bCs/>
                <w:sz w:val="26"/>
                <w:szCs w:val="26"/>
                <w:vertAlign w:val="subscript"/>
                <w:lang w:val="en"/>
              </w:rPr>
              <w:t>in</w:t>
            </w:r>
            <w:r w:rsidRPr="00731F85">
              <w:rPr>
                <w:bCs/>
                <w:sz w:val="26"/>
                <w:szCs w:val="26"/>
                <w:lang w:val="en"/>
              </w:rPr>
              <w:t xml:space="preserve"> (</w:t>
            </w:r>
            <w:proofErr w:type="spellStart"/>
            <w:r w:rsidRPr="00731F85">
              <w:rPr>
                <w:bCs/>
                <w:sz w:val="26"/>
                <w:szCs w:val="26"/>
                <w:lang w:val="en"/>
              </w:rPr>
              <w:t>mV</w:t>
            </w:r>
            <w:r w:rsidRPr="00731F85">
              <w:rPr>
                <w:bCs/>
                <w:sz w:val="26"/>
                <w:szCs w:val="26"/>
                <w:vertAlign w:val="subscript"/>
                <w:lang w:val="en"/>
              </w:rPr>
              <w:t>PP</w:t>
            </w:r>
            <w:proofErr w:type="spellEnd"/>
            <w:r w:rsidRPr="00731F85">
              <w:rPr>
                <w:bCs/>
                <w:sz w:val="26"/>
                <w:szCs w:val="26"/>
                <w:lang w:val="en"/>
              </w:rPr>
              <w:t>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2F25" w14:textId="77777777" w:rsidR="00FB0DDF" w:rsidRPr="00731F85" w:rsidRDefault="00FB0DDF" w:rsidP="0099288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V</w:t>
            </w:r>
            <w:r w:rsidRPr="00731F85">
              <w:rPr>
                <w:bCs/>
                <w:sz w:val="26"/>
                <w:szCs w:val="26"/>
                <w:vertAlign w:val="subscript"/>
                <w:lang w:val="en"/>
              </w:rPr>
              <w:t>out</w:t>
            </w:r>
            <w:r w:rsidRPr="00731F85">
              <w:rPr>
                <w:bCs/>
                <w:sz w:val="26"/>
                <w:szCs w:val="26"/>
                <w:lang w:val="en"/>
              </w:rPr>
              <w:t xml:space="preserve"> (mV)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6DB8" w14:textId="77777777" w:rsidR="00FB0DDF" w:rsidRPr="00731F85" w:rsidRDefault="00FB0DDF" w:rsidP="0099288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Gain</w:t>
            </w:r>
          </w:p>
        </w:tc>
      </w:tr>
      <w:tr w:rsidR="00FB0DDF" w:rsidRPr="00731F85" w14:paraId="447C7180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D2D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A86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DA7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284.007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55DA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3.046</w:t>
            </w:r>
          </w:p>
        </w:tc>
      </w:tr>
      <w:tr w:rsidR="00FB0DDF" w:rsidRPr="00731F85" w14:paraId="643DD7CD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527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lastRenderedPageBreak/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9837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30F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549.352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B23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8.776</w:t>
            </w:r>
          </w:p>
        </w:tc>
      </w:tr>
      <w:tr w:rsidR="00FB0DDF" w:rsidRPr="00731F85" w14:paraId="10AB3B51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C72A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5B1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4F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595.177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341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9.472</w:t>
            </w:r>
          </w:p>
        </w:tc>
      </w:tr>
      <w:tr w:rsidR="00FB0DDF" w:rsidRPr="00731F85" w14:paraId="725D04C1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2C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A59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1F71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609.463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F3FD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9.678</w:t>
            </w:r>
          </w:p>
        </w:tc>
      </w:tr>
      <w:tr w:rsidR="00FB0DDF" w:rsidRPr="00731F85" w14:paraId="74CE0A88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43C4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A686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20F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612.295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BB94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9.719</w:t>
            </w:r>
          </w:p>
        </w:tc>
      </w:tr>
      <w:tr w:rsidR="00FB0DDF" w:rsidRPr="00731F85" w14:paraId="7DABC32F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07A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827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C45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614.033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827C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9.743</w:t>
            </w:r>
          </w:p>
        </w:tc>
      </w:tr>
      <w:tr w:rsidR="00FB0DDF" w:rsidRPr="00731F85" w14:paraId="7A1A0F84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D0B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EDCD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B71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625.191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396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9.900</w:t>
            </w:r>
          </w:p>
        </w:tc>
      </w:tr>
      <w:tr w:rsidR="00FB0DDF" w:rsidRPr="00731F85" w14:paraId="40334819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43F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005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363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754.991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053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11.538</w:t>
            </w:r>
          </w:p>
        </w:tc>
      </w:tr>
      <w:tr w:rsidR="00FB0DDF" w:rsidRPr="00731F85" w14:paraId="5C4A1D1A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C75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244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D4C5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622.867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51A6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9.867</w:t>
            </w:r>
          </w:p>
        </w:tc>
      </w:tr>
      <w:tr w:rsidR="00FB0DDF" w:rsidRPr="00731F85" w14:paraId="5D6058CB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5972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2C9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EC27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722.067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6B76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11.151</w:t>
            </w:r>
          </w:p>
        </w:tc>
      </w:tr>
      <w:tr w:rsidR="00FB0DDF" w:rsidRPr="00731F85" w14:paraId="464CE130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5629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15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4AC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51C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735.911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6209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11.316</w:t>
            </w:r>
          </w:p>
        </w:tc>
      </w:tr>
      <w:tr w:rsidR="00FB0DDF" w:rsidRPr="00731F85" w14:paraId="292C72DB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DA3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1E8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137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730.311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7D7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11.250</w:t>
            </w:r>
          </w:p>
        </w:tc>
      </w:tr>
      <w:tr w:rsidR="00FB0DDF" w:rsidRPr="00731F85" w14:paraId="6F390CD6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F96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AC1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F4D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655.855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2AD6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10.316</w:t>
            </w:r>
          </w:p>
        </w:tc>
      </w:tr>
      <w:tr w:rsidR="00FB0DDF" w:rsidRPr="00731F85" w14:paraId="7E0D17EC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575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75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95B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7ED9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595.274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1DD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9.474</w:t>
            </w:r>
          </w:p>
        </w:tc>
      </w:tr>
      <w:tr w:rsidR="00FB0DDF" w:rsidRPr="00731F85" w14:paraId="45698D70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AFD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E795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3CB6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533.500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D61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8.522</w:t>
            </w:r>
          </w:p>
        </w:tc>
      </w:tr>
      <w:tr w:rsidR="00FB0DDF" w:rsidRPr="00731F85" w14:paraId="28B85876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E94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150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83EA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B0E7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25C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FB0DDF" w:rsidRPr="00731F85" w14:paraId="39B66DCF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7637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038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534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352.936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4AB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4.933</w:t>
            </w:r>
          </w:p>
        </w:tc>
      </w:tr>
      <w:tr w:rsidR="00FB0DDF" w:rsidRPr="00731F85" w14:paraId="1B4AA9DE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1BF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500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742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6FE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154.514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12C4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-2.241</w:t>
            </w:r>
          </w:p>
        </w:tc>
      </w:tr>
      <w:tr w:rsidR="00FB0DDF" w:rsidRPr="00731F85" w14:paraId="584CF08E" w14:textId="77777777" w:rsidTr="00992880">
        <w:trPr>
          <w:trHeight w:val="420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7A2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lastRenderedPageBreak/>
              <w:t>750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E2A2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45D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B6B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FB0DDF" w:rsidRPr="00731F85" w14:paraId="1081F136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576C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89ED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0BB7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77.495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0AF3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-8.235</w:t>
            </w:r>
          </w:p>
        </w:tc>
      </w:tr>
      <w:tr w:rsidR="00FB0DDF" w:rsidRPr="00731F85" w14:paraId="5F00FB36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626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1.5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108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84A1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F00D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FB0DDF" w:rsidRPr="00731F85" w14:paraId="2D6ED201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3450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2.0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B7E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06C4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4B9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FB0DDF" w:rsidRPr="00731F85" w14:paraId="67AB4FC9" w14:textId="77777777" w:rsidTr="00992880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2F88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3.0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2C9B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F2A1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C66E" w14:textId="77777777" w:rsidR="00FB0DDF" w:rsidRPr="00731F85" w:rsidRDefault="00FB0DDF" w:rsidP="00992880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</w:tbl>
    <w:p w14:paraId="19BBB502" w14:textId="3220CC87" w:rsidR="00D2259E" w:rsidRDefault="00D2259E" w:rsidP="00FB0DDF">
      <w:pPr>
        <w:ind w:firstLine="720"/>
        <w:jc w:val="center"/>
        <w:rPr>
          <w:sz w:val="26"/>
          <w:szCs w:val="26"/>
        </w:rPr>
      </w:pPr>
    </w:p>
    <w:p w14:paraId="2F533035" w14:textId="0110BF71" w:rsidR="00FB0DDF" w:rsidRDefault="00A46B9E" w:rsidP="00FB0DDF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Multisim generated convergence errors for some of the VOUT values. </w:t>
      </w:r>
      <w:r w:rsidR="007274A0">
        <w:rPr>
          <w:sz w:val="26"/>
          <w:szCs w:val="26"/>
        </w:rPr>
        <w:t>Thus,</w:t>
      </w:r>
      <w:r>
        <w:rPr>
          <w:sz w:val="26"/>
          <w:szCs w:val="26"/>
        </w:rPr>
        <w:t xml:space="preserve"> these do not have a value for gain. </w:t>
      </w:r>
    </w:p>
    <w:p w14:paraId="29814FFE" w14:textId="0C6C0734" w:rsidR="00DC67A1" w:rsidRDefault="00DC67A1" w:rsidP="00FB0DDF">
      <w:pPr>
        <w:ind w:firstLine="720"/>
        <w:rPr>
          <w:sz w:val="26"/>
          <w:szCs w:val="26"/>
        </w:rPr>
      </w:pPr>
    </w:p>
    <w:p w14:paraId="275D1C06" w14:textId="7AA7F883" w:rsidR="00DC67A1" w:rsidRDefault="00DC67A1" w:rsidP="00FB0DDF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Results</w:t>
      </w:r>
    </w:p>
    <w:p w14:paraId="18F5A8F0" w14:textId="7440386D" w:rsidR="006D06FB" w:rsidRDefault="006D06FB" w:rsidP="006D06FB">
      <w:pPr>
        <w:ind w:firstLine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11</w:t>
      </w:r>
    </w:p>
    <w:p w14:paraId="697F1430" w14:textId="5EC1911A" w:rsidR="00DC67A1" w:rsidRDefault="00DC67A1" w:rsidP="00FB0DDF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The simulation confirms that </w:t>
      </w:r>
      <w:r w:rsidR="00AE271F">
        <w:rPr>
          <w:sz w:val="26"/>
          <w:szCs w:val="26"/>
        </w:rPr>
        <w:t xml:space="preserve">the MOSFET requires approximately 2.25 volts </w:t>
      </w:r>
      <w:r w:rsidR="00E23B86">
        <w:rPr>
          <w:sz w:val="26"/>
          <w:szCs w:val="26"/>
        </w:rPr>
        <w:t>to</w:t>
      </w:r>
      <w:r w:rsidR="00AE271F">
        <w:rPr>
          <w:sz w:val="26"/>
          <w:szCs w:val="26"/>
        </w:rPr>
        <w:t xml:space="preserve"> conduct properly. </w:t>
      </w:r>
      <w:r w:rsidR="00AD4B5D">
        <w:rPr>
          <w:sz w:val="26"/>
          <w:szCs w:val="26"/>
        </w:rPr>
        <w:t xml:space="preserve">Based on the results, </w:t>
      </w:r>
      <w:r w:rsidR="00530EEB">
        <w:rPr>
          <w:sz w:val="26"/>
          <w:szCs w:val="26"/>
        </w:rPr>
        <w:t>the 2N7000 MOSFET is a P-channel device.</w:t>
      </w:r>
    </w:p>
    <w:p w14:paraId="42E874AD" w14:textId="17600F00" w:rsidR="006D06FB" w:rsidRDefault="006D06FB" w:rsidP="006D06FB">
      <w:pPr>
        <w:ind w:firstLine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12</w:t>
      </w:r>
    </w:p>
    <w:p w14:paraId="5B2C3263" w14:textId="52464670" w:rsidR="006D06FB" w:rsidRDefault="006D06FB" w:rsidP="006D06FB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="00FF49EC">
        <w:rPr>
          <w:sz w:val="26"/>
          <w:szCs w:val="26"/>
        </w:rPr>
        <w:t xml:space="preserve">The bandwidth of the device is </w:t>
      </w:r>
      <w:r w:rsidR="00AE288B">
        <w:rPr>
          <w:sz w:val="26"/>
          <w:szCs w:val="26"/>
        </w:rPr>
        <w:t>approximately</w:t>
      </w:r>
      <w:r w:rsidR="00FF49EC">
        <w:rPr>
          <w:sz w:val="26"/>
          <w:szCs w:val="26"/>
        </w:rPr>
        <w:t xml:space="preserve"> 30 Hz to 100 KHz. The output waveform is a little out of phase </w:t>
      </w:r>
      <w:r w:rsidR="00AE288B">
        <w:rPr>
          <w:sz w:val="26"/>
          <w:szCs w:val="26"/>
        </w:rPr>
        <w:t>from the input waveform.</w:t>
      </w:r>
    </w:p>
    <w:p w14:paraId="3697B0CD" w14:textId="14968AD8" w:rsidR="00AE288B" w:rsidRDefault="00AE288B" w:rsidP="006D06FB">
      <w:pPr>
        <w:ind w:firstLine="720"/>
        <w:rPr>
          <w:sz w:val="26"/>
          <w:szCs w:val="26"/>
        </w:rPr>
      </w:pPr>
    </w:p>
    <w:p w14:paraId="6E594028" w14:textId="6643C34A" w:rsidR="00AE288B" w:rsidRDefault="00AE288B" w:rsidP="006D06FB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</w:t>
      </w:r>
    </w:p>
    <w:p w14:paraId="50A7DC1A" w14:textId="7E22C5D0" w:rsidR="00AE288B" w:rsidRPr="00B4290F" w:rsidRDefault="00AE288B" w:rsidP="006D06FB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B4290F">
        <w:rPr>
          <w:sz w:val="26"/>
          <w:szCs w:val="26"/>
        </w:rPr>
        <w:t xml:space="preserve">This lab was </w:t>
      </w:r>
      <w:r w:rsidR="007A78B2">
        <w:rPr>
          <w:sz w:val="26"/>
          <w:szCs w:val="26"/>
        </w:rPr>
        <w:t xml:space="preserve">purposeful in that we looked at how MOSFETs function. </w:t>
      </w:r>
      <w:r w:rsidR="000472A7">
        <w:rPr>
          <w:sz w:val="26"/>
          <w:szCs w:val="26"/>
        </w:rPr>
        <w:t>We looked at the 2N7000 MOSFET</w:t>
      </w:r>
      <w:r w:rsidR="00C53FF2">
        <w:rPr>
          <w:sz w:val="26"/>
          <w:szCs w:val="26"/>
        </w:rPr>
        <w:t xml:space="preserve"> and examined </w:t>
      </w:r>
      <w:r w:rsidR="00457AAA">
        <w:rPr>
          <w:sz w:val="26"/>
          <w:szCs w:val="26"/>
        </w:rPr>
        <w:t xml:space="preserve">its bandwidth. </w:t>
      </w:r>
      <w:r w:rsidR="009F6F1C">
        <w:rPr>
          <w:sz w:val="26"/>
          <w:szCs w:val="26"/>
        </w:rPr>
        <w:t xml:space="preserve">We observed </w:t>
      </w:r>
      <w:r w:rsidR="00BA63A2">
        <w:rPr>
          <w:sz w:val="26"/>
          <w:szCs w:val="26"/>
        </w:rPr>
        <w:t>the MOSFET’s characteristics in the theoretical and simulation sections.</w:t>
      </w:r>
    </w:p>
    <w:sectPr w:rsidR="00AE288B" w:rsidRPr="00B4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C0"/>
    <w:rsid w:val="00017354"/>
    <w:rsid w:val="00041503"/>
    <w:rsid w:val="000472A7"/>
    <w:rsid w:val="000601A8"/>
    <w:rsid w:val="0006622D"/>
    <w:rsid w:val="000C2E47"/>
    <w:rsid w:val="00154882"/>
    <w:rsid w:val="001A7283"/>
    <w:rsid w:val="001C6C1C"/>
    <w:rsid w:val="002249D3"/>
    <w:rsid w:val="002760D4"/>
    <w:rsid w:val="002B1C4A"/>
    <w:rsid w:val="002D175D"/>
    <w:rsid w:val="00320621"/>
    <w:rsid w:val="003700C2"/>
    <w:rsid w:val="00380518"/>
    <w:rsid w:val="003A7273"/>
    <w:rsid w:val="003F52F3"/>
    <w:rsid w:val="00431726"/>
    <w:rsid w:val="00457AAA"/>
    <w:rsid w:val="00471E77"/>
    <w:rsid w:val="00490692"/>
    <w:rsid w:val="004A2707"/>
    <w:rsid w:val="004D01B5"/>
    <w:rsid w:val="004D5287"/>
    <w:rsid w:val="004E2823"/>
    <w:rsid w:val="004E30A8"/>
    <w:rsid w:val="00530EEB"/>
    <w:rsid w:val="005436DB"/>
    <w:rsid w:val="00580A33"/>
    <w:rsid w:val="00617070"/>
    <w:rsid w:val="00640E3A"/>
    <w:rsid w:val="006516B2"/>
    <w:rsid w:val="00655980"/>
    <w:rsid w:val="00666C6E"/>
    <w:rsid w:val="006D06FB"/>
    <w:rsid w:val="006F597F"/>
    <w:rsid w:val="007274A0"/>
    <w:rsid w:val="00772D23"/>
    <w:rsid w:val="00792CC9"/>
    <w:rsid w:val="007A78B2"/>
    <w:rsid w:val="007D2CC0"/>
    <w:rsid w:val="0080059E"/>
    <w:rsid w:val="008567D7"/>
    <w:rsid w:val="0088401B"/>
    <w:rsid w:val="00891F5A"/>
    <w:rsid w:val="00895F52"/>
    <w:rsid w:val="008A2C76"/>
    <w:rsid w:val="008A582F"/>
    <w:rsid w:val="00943D82"/>
    <w:rsid w:val="00984178"/>
    <w:rsid w:val="00994DDE"/>
    <w:rsid w:val="009C2181"/>
    <w:rsid w:val="009E4D7C"/>
    <w:rsid w:val="009F6F1C"/>
    <w:rsid w:val="00A46B9E"/>
    <w:rsid w:val="00AD4B5D"/>
    <w:rsid w:val="00AE271F"/>
    <w:rsid w:val="00AE288B"/>
    <w:rsid w:val="00AE7E62"/>
    <w:rsid w:val="00B104EA"/>
    <w:rsid w:val="00B4290F"/>
    <w:rsid w:val="00BA63A2"/>
    <w:rsid w:val="00BC0FEC"/>
    <w:rsid w:val="00BF0B2C"/>
    <w:rsid w:val="00BF6FAB"/>
    <w:rsid w:val="00C35D36"/>
    <w:rsid w:val="00C53FF2"/>
    <w:rsid w:val="00C7759E"/>
    <w:rsid w:val="00C86E73"/>
    <w:rsid w:val="00C90F7B"/>
    <w:rsid w:val="00D2259E"/>
    <w:rsid w:val="00D7273E"/>
    <w:rsid w:val="00D97AB2"/>
    <w:rsid w:val="00DC52C7"/>
    <w:rsid w:val="00DC67A1"/>
    <w:rsid w:val="00DD3765"/>
    <w:rsid w:val="00E23B86"/>
    <w:rsid w:val="00F225D1"/>
    <w:rsid w:val="00FB0DDF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26A7"/>
  <w15:chartTrackingRefBased/>
  <w15:docId w15:val="{2A50D2EE-93E6-464E-BD95-B891CED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Sheet1!$B$2:$B$16</c:f>
              <c:numCache>
                <c:formatCode>General</c:formatCode>
                <c:ptCount val="15"/>
                <c:pt idx="0">
                  <c:v>1.98</c:v>
                </c:pt>
                <c:pt idx="1">
                  <c:v>2.2269999999999999</c:v>
                </c:pt>
                <c:pt idx="2">
                  <c:v>2.38</c:v>
                </c:pt>
                <c:pt idx="3">
                  <c:v>2.472</c:v>
                </c:pt>
                <c:pt idx="4">
                  <c:v>2.544</c:v>
                </c:pt>
                <c:pt idx="5">
                  <c:v>2.6070000000000002</c:v>
                </c:pt>
                <c:pt idx="6">
                  <c:v>2.6619999999999999</c:v>
                </c:pt>
                <c:pt idx="7">
                  <c:v>2.7130000000000001</c:v>
                </c:pt>
                <c:pt idx="8">
                  <c:v>2.76</c:v>
                </c:pt>
                <c:pt idx="9">
                  <c:v>2.83</c:v>
                </c:pt>
                <c:pt idx="10">
                  <c:v>2.8450000000000002</c:v>
                </c:pt>
                <c:pt idx="11">
                  <c:v>2.8839999999999999</c:v>
                </c:pt>
                <c:pt idx="12">
                  <c:v>3.0059999999999998</c:v>
                </c:pt>
                <c:pt idx="13">
                  <c:v>3.242</c:v>
                </c:pt>
                <c:pt idx="14">
                  <c:v>3.484</c:v>
                </c:pt>
              </c:numCache>
            </c:numRef>
          </c:xVal>
          <c:yVal>
            <c:numRef>
              <c:f>Sheet1!$C$2:$C$16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0.95599999999999996</c:v>
                </c:pt>
                <c:pt idx="3">
                  <c:v>2.5329999999999999</c:v>
                </c:pt>
                <c:pt idx="4">
                  <c:v>4.2990000000000004</c:v>
                </c:pt>
                <c:pt idx="5">
                  <c:v>6.1710000000000003</c:v>
                </c:pt>
                <c:pt idx="6">
                  <c:v>8.1120000000000001</c:v>
                </c:pt>
                <c:pt idx="7">
                  <c:v>10.012</c:v>
                </c:pt>
                <c:pt idx="8">
                  <c:v>12.148999999999999</c:v>
                </c:pt>
                <c:pt idx="9">
                  <c:v>14.023</c:v>
                </c:pt>
                <c:pt idx="10">
                  <c:v>16.004999999999999</c:v>
                </c:pt>
                <c:pt idx="11">
                  <c:v>18.001000000000001</c:v>
                </c:pt>
                <c:pt idx="12">
                  <c:v>20.010999999999999</c:v>
                </c:pt>
                <c:pt idx="13">
                  <c:v>20.015000000000001</c:v>
                </c:pt>
                <c:pt idx="14">
                  <c:v>20.009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4A-4A87-9110-D0D7BD973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4296767"/>
        <c:axId val="1684293439"/>
      </c:scatterChart>
      <c:valAx>
        <c:axId val="168429676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293439"/>
        <c:crosses val="autoZero"/>
        <c:crossBetween val="midCat"/>
      </c:valAx>
      <c:valAx>
        <c:axId val="168429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296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80</cp:revision>
  <dcterms:created xsi:type="dcterms:W3CDTF">2021-04-19T20:03:00Z</dcterms:created>
  <dcterms:modified xsi:type="dcterms:W3CDTF">2021-04-20T15:35:00Z</dcterms:modified>
</cp:coreProperties>
</file>