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778" w:rsidRDefault="00321778" w:rsidP="00321778">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Data Security Classification Standard</w:t>
      </w:r>
      <w:bookmarkStart w:id="10" w:name="_GoBack"/>
      <w:bookmarkEnd w:id="10"/>
    </w:p>
    <w:p w:rsidR="00321778" w:rsidRDefault="00321778" w:rsidP="00321778">
      <w:pPr>
        <w:pStyle w:val="Heading2"/>
      </w:pPr>
      <w:r>
        <w:t>Related Policy</w:t>
      </w:r>
    </w:p>
    <w:p w:rsidR="00321778" w:rsidRPr="002B1487" w:rsidRDefault="00321778" w:rsidP="00321778">
      <w:pPr>
        <w:pStyle w:val="NormalDS"/>
        <w:numPr>
          <w:ilvl w:val="0"/>
          <w:numId w:val="11"/>
        </w:numPr>
        <w:rPr>
          <w:snapToGrid w:val="0"/>
          <w:kern w:val="28"/>
        </w:rPr>
      </w:pPr>
      <w:r>
        <w:t>1</w:t>
      </w:r>
      <w:r w:rsidRPr="00F822F1">
        <w:t xml:space="preserve">00.00 </w:t>
      </w:r>
      <w:r>
        <w:t xml:space="preserve">Global Information Security Policy </w:t>
      </w:r>
    </w:p>
    <w:p w:rsidR="00321778" w:rsidRPr="002B1487" w:rsidRDefault="00321778" w:rsidP="00321778">
      <w:pPr>
        <w:pStyle w:val="Heading2"/>
        <w:rPr>
          <w:snapToGrid w:val="0"/>
          <w:kern w:val="28"/>
        </w:rPr>
      </w:pPr>
      <w:r w:rsidRPr="002B1487">
        <w:t>Purpose</w:t>
      </w:r>
    </w:p>
    <w:p w:rsidR="00321778" w:rsidRPr="002B1487" w:rsidRDefault="00321778" w:rsidP="00321778">
      <w:pPr>
        <w:pStyle w:val="NormalDS"/>
      </w:pPr>
      <w:r w:rsidRPr="002B1487">
        <w:t xml:space="preserve">The purpose of the Data Security Classification Standard is to establish the rules for handling </w:t>
      </w:r>
      <w:proofErr w:type="gramStart"/>
      <w:r>
        <w:t>Alight</w:t>
      </w:r>
      <w:proofErr w:type="gramEnd"/>
      <w:r w:rsidRPr="002B1487">
        <w:t xml:space="preserve"> data to maintain the integrity, confidentiality, and availability of </w:t>
      </w:r>
      <w:r>
        <w:t>Alight</w:t>
      </w:r>
      <w:r w:rsidRPr="002B1487">
        <w:t xml:space="preserve">’s </w:t>
      </w:r>
      <w:hyperlink r:id="rId9" w:anchor="InformationAssets" w:history="1">
        <w:r w:rsidRPr="002B1487">
          <w:t>data assets</w:t>
        </w:r>
      </w:hyperlink>
      <w:r w:rsidRPr="002B1487">
        <w:t xml:space="preserve">. </w:t>
      </w:r>
    </w:p>
    <w:p w:rsidR="00321778" w:rsidRPr="002B1487" w:rsidRDefault="00321778" w:rsidP="00321778">
      <w:pPr>
        <w:pStyle w:val="NormalDS"/>
      </w:pPr>
      <w:r>
        <w:t>Alight</w:t>
      </w:r>
      <w:r w:rsidRPr="002B1487">
        <w:t xml:space="preserve">'s data is important to its business and all </w:t>
      </w:r>
      <w:r>
        <w:t>Alight</w:t>
      </w:r>
      <w:r w:rsidRPr="002B1487">
        <w:t xml:space="preserve"> colleagues.  All </w:t>
      </w:r>
      <w:r>
        <w:t>Alight</w:t>
      </w:r>
      <w:r w:rsidRPr="002B1487">
        <w:t xml:space="preserve"> colleagues and contractors are expected to protect and handle </w:t>
      </w:r>
      <w:r>
        <w:t>Alight</w:t>
      </w:r>
      <w:r w:rsidRPr="002B1487">
        <w:t>'s data in accordance with its classification.</w:t>
      </w:r>
    </w:p>
    <w:p w:rsidR="00321778" w:rsidRPr="002B1487" w:rsidRDefault="00321778" w:rsidP="00321778">
      <w:pPr>
        <w:pStyle w:val="NormalDS"/>
      </w:pPr>
      <w:r w:rsidRPr="002B1487">
        <w:t xml:space="preserve">The Data Security Classification Standard is based on the principles of “least privilege” and “need to know”. These principles state that data is not to be disclosed to any person who does not have a legitimate and demonstrable business need to receive the data, and that they will have only the minimum privileges needed to interact with the data in order to perform their job responsibilities for only the period of time required to execute these responsibilities. Data should not be used or disclosed when it is not necessary to satisfy a particular purpose or carry out a function. These concepts, when combined and applied with the other requirements of </w:t>
      </w:r>
      <w:r>
        <w:t>Alight</w:t>
      </w:r>
      <w:r w:rsidRPr="002B1487">
        <w:t xml:space="preserve"> Policies and Standards, enhance the integrity, confidentiality, and availability of </w:t>
      </w:r>
      <w:proofErr w:type="gramStart"/>
      <w:r>
        <w:t>Alight</w:t>
      </w:r>
      <w:proofErr w:type="gramEnd"/>
      <w:r w:rsidRPr="002B1487">
        <w:t xml:space="preserve"> data and enhance protections against unauthorized use, modification, deletion, or disclosure.</w:t>
      </w:r>
    </w:p>
    <w:p w:rsidR="00321778" w:rsidRDefault="00321778" w:rsidP="00321778">
      <w:pPr>
        <w:pStyle w:val="NormalDS"/>
      </w:pPr>
      <w:r w:rsidRPr="002B1487">
        <w:t xml:space="preserve">Potential violations of this Standard are subject to review and investigation by </w:t>
      </w:r>
      <w:r>
        <w:t>Alight</w:t>
      </w:r>
      <w:r w:rsidRPr="002B1487">
        <w:t xml:space="preserve"> and/or its agents.  Violations of this Standard may result in disciplinary action, up to and including removal of assignment, end of contract for vendors, or termination.  This is subject to the procedural requirements of the countries in which </w:t>
      </w:r>
      <w:r>
        <w:t>Alight</w:t>
      </w:r>
      <w:r w:rsidRPr="002B1487">
        <w:t xml:space="preserve"> operates.  </w:t>
      </w:r>
      <w:r>
        <w:t>Alight</w:t>
      </w:r>
      <w:r w:rsidRPr="002B1487">
        <w:t xml:space="preserve"> reserves the right to refer for prosecution any violations of this Standard.</w:t>
      </w:r>
    </w:p>
    <w:p w:rsidR="00321778" w:rsidRDefault="00321778" w:rsidP="00321778">
      <w:pPr>
        <w:pStyle w:val="Heading2"/>
      </w:pPr>
      <w:r>
        <w:t>Standard</w:t>
      </w:r>
      <w:r w:rsidRPr="002311A6">
        <w:t xml:space="preserve"> Statements</w:t>
      </w:r>
    </w:p>
    <w:p w:rsidR="00321778" w:rsidRPr="002B1487" w:rsidRDefault="00321778" w:rsidP="00321778">
      <w:pPr>
        <w:pStyle w:val="Heading3"/>
        <w:numPr>
          <w:ilvl w:val="0"/>
          <w:numId w:val="12"/>
        </w:numPr>
      </w:pPr>
      <w:bookmarkStart w:id="11" w:name="_Toc296554620"/>
      <w:r w:rsidRPr="002B1487">
        <w:t>General</w:t>
      </w:r>
      <w:bookmarkEnd w:id="11"/>
      <w:r w:rsidRPr="002B1487">
        <w:t xml:space="preserve"> </w:t>
      </w:r>
    </w:p>
    <w:p w:rsidR="00321778" w:rsidRPr="002B1487" w:rsidRDefault="00321778" w:rsidP="00321778">
      <w:pPr>
        <w:pStyle w:val="NormalDS"/>
        <w:numPr>
          <w:ilvl w:val="1"/>
          <w:numId w:val="12"/>
        </w:numPr>
      </w:pPr>
      <w:r w:rsidRPr="002B1487">
        <w:t xml:space="preserve">All </w:t>
      </w:r>
      <w:r>
        <w:t>Alight</w:t>
      </w:r>
      <w:r w:rsidRPr="002B1487">
        <w:t xml:space="preserve"> colleagues and contractors are responsible for the protection of data that has been entrusted to their care, and to adhere to the Data Security Classification Standard. </w:t>
      </w:r>
    </w:p>
    <w:p w:rsidR="00321778" w:rsidRPr="002B1487" w:rsidRDefault="00321778" w:rsidP="00321778">
      <w:pPr>
        <w:pStyle w:val="NormalDS"/>
        <w:numPr>
          <w:ilvl w:val="1"/>
          <w:numId w:val="12"/>
        </w:numPr>
      </w:pPr>
      <w:r w:rsidRPr="002B1487">
        <w:t xml:space="preserve">All </w:t>
      </w:r>
      <w:r>
        <w:t>Alight</w:t>
      </w:r>
      <w:r w:rsidRPr="002B1487">
        <w:t xml:space="preserve"> data must be handled based on the assigned classification level. </w:t>
      </w:r>
    </w:p>
    <w:p w:rsidR="00321778" w:rsidRPr="002B1487" w:rsidRDefault="00321778" w:rsidP="00321778">
      <w:pPr>
        <w:pStyle w:val="NormalDS"/>
        <w:numPr>
          <w:ilvl w:val="1"/>
          <w:numId w:val="12"/>
        </w:numPr>
      </w:pPr>
      <w:r w:rsidRPr="002B1487">
        <w:t xml:space="preserve">All </w:t>
      </w:r>
      <w:r>
        <w:t>Alight</w:t>
      </w:r>
      <w:r w:rsidRPr="002B1487">
        <w:t xml:space="preserve"> data must be assigned a custodian who is responsible for data across its entire lifecycle as defined by the Global Information Governance Policy.</w:t>
      </w:r>
    </w:p>
    <w:p w:rsidR="00321778" w:rsidRPr="002B1487" w:rsidRDefault="00321778" w:rsidP="00321778">
      <w:pPr>
        <w:pStyle w:val="Heading3"/>
        <w:numPr>
          <w:ilvl w:val="0"/>
          <w:numId w:val="12"/>
        </w:numPr>
      </w:pPr>
      <w:r w:rsidRPr="002B1487">
        <w:lastRenderedPageBreak/>
        <w:t>Classifying Data</w:t>
      </w:r>
    </w:p>
    <w:p w:rsidR="00321778" w:rsidRPr="002B1487" w:rsidRDefault="00321778" w:rsidP="00321778">
      <w:pPr>
        <w:pStyle w:val="NormalDS"/>
        <w:numPr>
          <w:ilvl w:val="1"/>
          <w:numId w:val="12"/>
        </w:numPr>
      </w:pPr>
      <w:r w:rsidRPr="002B1487">
        <w:t xml:space="preserve">All data generated by or for </w:t>
      </w:r>
      <w:r>
        <w:t>Alight</w:t>
      </w:r>
      <w:r w:rsidRPr="002B1487">
        <w:t xml:space="preserve">, in whatever form (hard copy, written, verbal, or electronic) must be classified according to the level of confidentiality, sensitivity, value, and criticality.  The classification of </w:t>
      </w:r>
      <w:proofErr w:type="gramStart"/>
      <w:r>
        <w:t>Alight</w:t>
      </w:r>
      <w:proofErr w:type="gramEnd"/>
      <w:r w:rsidRPr="002B1487">
        <w:t xml:space="preserve"> data is essential to ensuring that the appropriate security controls are in place to safeguard </w:t>
      </w:r>
      <w:r>
        <w:t>Alight</w:t>
      </w:r>
      <w:r w:rsidRPr="002B1487">
        <w:t>’s data assets.</w:t>
      </w:r>
    </w:p>
    <w:p w:rsidR="00321778" w:rsidRPr="002B1487" w:rsidRDefault="00321778" w:rsidP="00321778">
      <w:pPr>
        <w:pStyle w:val="NormalDS"/>
        <w:numPr>
          <w:ilvl w:val="1"/>
          <w:numId w:val="12"/>
        </w:numPr>
      </w:pPr>
      <w:r w:rsidRPr="002B1487">
        <w:t xml:space="preserve">The default classification for unmarked </w:t>
      </w:r>
      <w:proofErr w:type="gramStart"/>
      <w:r>
        <w:t>Alight</w:t>
      </w:r>
      <w:proofErr w:type="gramEnd"/>
      <w:r w:rsidRPr="002B1487">
        <w:t xml:space="preserve"> data that does not include personal information is Moderate Business Impact (MBI).</w:t>
      </w:r>
    </w:p>
    <w:p w:rsidR="00321778" w:rsidRPr="002B1487" w:rsidRDefault="00321778" w:rsidP="00321778">
      <w:pPr>
        <w:pStyle w:val="NormalDS"/>
        <w:numPr>
          <w:ilvl w:val="1"/>
          <w:numId w:val="12"/>
        </w:numPr>
      </w:pPr>
      <w:r w:rsidRPr="002B1487">
        <w:t xml:space="preserve">The default classification for </w:t>
      </w:r>
      <w:proofErr w:type="gramStart"/>
      <w:r>
        <w:t>Alight</w:t>
      </w:r>
      <w:proofErr w:type="gramEnd"/>
      <w:r w:rsidRPr="002B1487">
        <w:t xml:space="preserve"> data which contains personal information is High Business Impact (HBI).</w:t>
      </w:r>
    </w:p>
    <w:p w:rsidR="00321778" w:rsidRPr="002B1487" w:rsidRDefault="00321778" w:rsidP="00321778">
      <w:pPr>
        <w:pStyle w:val="NormalDS"/>
        <w:numPr>
          <w:ilvl w:val="1"/>
          <w:numId w:val="12"/>
        </w:numPr>
      </w:pPr>
      <w:r w:rsidRPr="002B1487">
        <w:t>The data owners are responsible for assigning the classification of data, reviewing it, and ensuring it is kept up to date and at the appropriate classification.  Data owners may delegate authority, but not their responsibility.</w:t>
      </w:r>
    </w:p>
    <w:p w:rsidR="00321778" w:rsidRPr="002B1487" w:rsidRDefault="00321778" w:rsidP="00321778">
      <w:pPr>
        <w:pStyle w:val="NormalDS"/>
        <w:numPr>
          <w:ilvl w:val="1"/>
          <w:numId w:val="12"/>
        </w:numPr>
      </w:pPr>
      <w:r>
        <w:t>Alight</w:t>
      </w:r>
      <w:r w:rsidRPr="002B1487">
        <w:t xml:space="preserve"> requires all data assets, whether generated internally or externally, to be categorized into one of the following four data classifications (listed in order from highest to lowest level of confidentiality/business impact): </w:t>
      </w:r>
    </w:p>
    <w:p w:rsidR="00321778" w:rsidRPr="002B1487" w:rsidRDefault="00321778" w:rsidP="00321778">
      <w:pPr>
        <w:pStyle w:val="NormalDS"/>
        <w:numPr>
          <w:ilvl w:val="2"/>
          <w:numId w:val="12"/>
        </w:numPr>
      </w:pPr>
      <w:r w:rsidRPr="002B1487">
        <w:t xml:space="preserve">Highly Confidential / High Business Impact (HBI): This classification category must be assigned to data assets where unauthorized disclosure could cause severe or catastrophic loss to </w:t>
      </w:r>
      <w:r>
        <w:t>Alight</w:t>
      </w:r>
      <w:r w:rsidRPr="002B1487">
        <w:t xml:space="preserve">, the data asset owner, or relying parties.  </w:t>
      </w:r>
    </w:p>
    <w:p w:rsidR="00321778" w:rsidRPr="002B1487" w:rsidRDefault="00321778" w:rsidP="00321778">
      <w:pPr>
        <w:pStyle w:val="NormalDS"/>
        <w:numPr>
          <w:ilvl w:val="2"/>
          <w:numId w:val="12"/>
        </w:numPr>
      </w:pPr>
      <w:r w:rsidRPr="002B1487">
        <w:t xml:space="preserve">Confidential / Moderate Business Impact (MBI): This classification category must be assigned to data assets where unauthorized disclosure could cause serious material loss to </w:t>
      </w:r>
      <w:r>
        <w:t>Alight</w:t>
      </w:r>
      <w:r w:rsidRPr="002B1487">
        <w:t xml:space="preserve">, the data asset owner, or relying parties.  </w:t>
      </w:r>
    </w:p>
    <w:p w:rsidR="00321778" w:rsidRPr="002B1487" w:rsidRDefault="00321778" w:rsidP="00321778">
      <w:pPr>
        <w:pStyle w:val="NormalDS"/>
        <w:numPr>
          <w:ilvl w:val="2"/>
          <w:numId w:val="12"/>
        </w:numPr>
      </w:pPr>
      <w:r w:rsidRPr="002B1487">
        <w:t xml:space="preserve">Internal / Low Business Impact (LBI): This classification category must be assigned to data assets where unauthorized disclosure could result in limited or no material loss to </w:t>
      </w:r>
      <w:r>
        <w:t>Alight</w:t>
      </w:r>
      <w:r w:rsidRPr="002B1487">
        <w:t>, the data asset owner, or relying parties.</w:t>
      </w:r>
    </w:p>
    <w:p w:rsidR="00321778" w:rsidRPr="002B1487" w:rsidRDefault="00321778" w:rsidP="00321778">
      <w:pPr>
        <w:pStyle w:val="NormalDS"/>
        <w:numPr>
          <w:ilvl w:val="2"/>
          <w:numId w:val="12"/>
        </w:numPr>
      </w:pPr>
      <w:r w:rsidRPr="002B1487">
        <w:t xml:space="preserve">Public / No Business Impact (NBI): This classification category must be assigned to data assets that are unrelated to the </w:t>
      </w:r>
      <w:proofErr w:type="gramStart"/>
      <w:r>
        <w:t>Alight</w:t>
      </w:r>
      <w:proofErr w:type="gramEnd"/>
      <w:r w:rsidRPr="002B1487">
        <w:t xml:space="preserve"> business or have been officially released by </w:t>
      </w:r>
      <w:r>
        <w:t>Alight</w:t>
      </w:r>
      <w:r w:rsidRPr="002B1487">
        <w:t xml:space="preserve"> for widespread public disclosure. The disclosure of this data would not provide a business or competitive advantage.   </w:t>
      </w:r>
    </w:p>
    <w:p w:rsidR="00321778" w:rsidRPr="002B1487" w:rsidRDefault="00321778" w:rsidP="00321778">
      <w:pPr>
        <w:pStyle w:val="Heading3"/>
        <w:numPr>
          <w:ilvl w:val="0"/>
          <w:numId w:val="12"/>
        </w:numPr>
      </w:pPr>
      <w:bookmarkStart w:id="12" w:name="_Toc296554622"/>
      <w:r w:rsidRPr="002B1487">
        <w:t>Multiple Classifications</w:t>
      </w:r>
      <w:bookmarkEnd w:id="12"/>
    </w:p>
    <w:p w:rsidR="00321778" w:rsidRPr="002B1487" w:rsidRDefault="00321778" w:rsidP="00321778">
      <w:pPr>
        <w:pStyle w:val="NormalDS"/>
        <w:numPr>
          <w:ilvl w:val="1"/>
          <w:numId w:val="12"/>
        </w:numPr>
      </w:pPr>
      <w:r w:rsidRPr="002B1487">
        <w:t>When data of multiple classifications is combined, the resulting collection of data must be classified at the highest level classification applied to any data asset in the collection.</w:t>
      </w:r>
    </w:p>
    <w:p w:rsidR="00321778" w:rsidRPr="002B1487" w:rsidRDefault="00321778" w:rsidP="00321778">
      <w:pPr>
        <w:pStyle w:val="Heading3"/>
        <w:numPr>
          <w:ilvl w:val="0"/>
          <w:numId w:val="12"/>
        </w:numPr>
      </w:pPr>
      <w:bookmarkStart w:id="13" w:name="_Toc19347414"/>
      <w:bookmarkStart w:id="14" w:name="_Toc225057618"/>
      <w:bookmarkStart w:id="15" w:name="_Toc296554624"/>
      <w:r w:rsidRPr="002B1487">
        <w:t>Need-to-Know</w:t>
      </w:r>
      <w:bookmarkEnd w:id="13"/>
      <w:r w:rsidRPr="002B1487">
        <w:t xml:space="preserve"> / Need-to-Use</w:t>
      </w:r>
      <w:bookmarkEnd w:id="14"/>
      <w:bookmarkEnd w:id="15"/>
    </w:p>
    <w:p w:rsidR="00321778" w:rsidRPr="002B1487" w:rsidRDefault="00321778" w:rsidP="00321778">
      <w:pPr>
        <w:pStyle w:val="NormalDS"/>
        <w:numPr>
          <w:ilvl w:val="1"/>
          <w:numId w:val="12"/>
        </w:numPr>
      </w:pPr>
      <w:r w:rsidRPr="002B1487">
        <w:t xml:space="preserve">Access to data classified as HBI, MBI, or LBI must only be granted to </w:t>
      </w:r>
      <w:proofErr w:type="gramStart"/>
      <w:r w:rsidRPr="002B1487">
        <w:t>authorized</w:t>
      </w:r>
      <w:proofErr w:type="gramEnd"/>
      <w:r w:rsidRPr="002B1487">
        <w:t xml:space="preserve"> users with a legitimate business need-to-know or the need-to-use basis.  </w:t>
      </w:r>
    </w:p>
    <w:p w:rsidR="00321778" w:rsidRPr="002B1487" w:rsidRDefault="00321778" w:rsidP="00321778">
      <w:pPr>
        <w:pStyle w:val="NormalDS"/>
        <w:numPr>
          <w:ilvl w:val="1"/>
          <w:numId w:val="12"/>
        </w:numPr>
      </w:pPr>
      <w:r>
        <w:lastRenderedPageBreak/>
        <w:t>Alight</w:t>
      </w:r>
      <w:r w:rsidRPr="002B1487">
        <w:t xml:space="preserve"> colleagues must not attempt to access HBI or MBI data unless they have been granted access rights by the relevant data owner or custodian.</w:t>
      </w:r>
    </w:p>
    <w:p w:rsidR="00321778" w:rsidRPr="002B1487" w:rsidRDefault="00321778" w:rsidP="00321778">
      <w:pPr>
        <w:pStyle w:val="NormalDS"/>
        <w:numPr>
          <w:ilvl w:val="1"/>
          <w:numId w:val="12"/>
        </w:numPr>
      </w:pPr>
      <w:r>
        <w:t>Alight</w:t>
      </w:r>
      <w:r w:rsidRPr="002B1487">
        <w:t xml:space="preserve"> data must be used only for the business purposes expressly authorized by the data owner or custodian.  </w:t>
      </w:r>
    </w:p>
    <w:p w:rsidR="00321778" w:rsidRPr="002B1487" w:rsidRDefault="00321778" w:rsidP="00321778">
      <w:pPr>
        <w:pStyle w:val="Heading3"/>
        <w:numPr>
          <w:ilvl w:val="0"/>
          <w:numId w:val="12"/>
        </w:numPr>
      </w:pPr>
      <w:bookmarkStart w:id="16" w:name="_Toc296554625"/>
      <w:r w:rsidRPr="002B1487">
        <w:t xml:space="preserve">Data </w:t>
      </w:r>
      <w:bookmarkEnd w:id="16"/>
      <w:r w:rsidRPr="002B1487">
        <w:t>Labeling</w:t>
      </w:r>
    </w:p>
    <w:p w:rsidR="00321778" w:rsidRPr="002B1487" w:rsidRDefault="00321778" w:rsidP="00321778">
      <w:pPr>
        <w:pStyle w:val="NormalDS"/>
        <w:numPr>
          <w:ilvl w:val="1"/>
          <w:numId w:val="12"/>
        </w:numPr>
      </w:pPr>
      <w:r w:rsidRPr="002B1487">
        <w:t xml:space="preserve">All data leaving </w:t>
      </w:r>
      <w:r>
        <w:t>Alight</w:t>
      </w:r>
      <w:r w:rsidRPr="002B1487">
        <w:t xml:space="preserve">’s custody must be classified and labeled prior to leaving </w:t>
      </w:r>
      <w:r>
        <w:t>Alight</w:t>
      </w:r>
      <w:r w:rsidRPr="002B1487">
        <w:t xml:space="preserve">’s custody.  </w:t>
      </w:r>
    </w:p>
    <w:p w:rsidR="00321778" w:rsidRPr="002B1487" w:rsidRDefault="00321778" w:rsidP="00321778">
      <w:pPr>
        <w:pStyle w:val="NormalDS"/>
        <w:numPr>
          <w:ilvl w:val="1"/>
          <w:numId w:val="12"/>
        </w:numPr>
      </w:pPr>
      <w:r>
        <w:t>Alight</w:t>
      </w:r>
      <w:r w:rsidRPr="002B1487">
        <w:t>’s Data (hardcopy or electronic) and media containing data must be clearly labeled so that all users are aware of its ownership and classification.</w:t>
      </w:r>
    </w:p>
    <w:p w:rsidR="00321778" w:rsidRPr="002B1487" w:rsidRDefault="00321778" w:rsidP="00321778">
      <w:pPr>
        <w:pStyle w:val="NormalDS"/>
        <w:numPr>
          <w:ilvl w:val="1"/>
          <w:numId w:val="12"/>
        </w:numPr>
      </w:pPr>
      <w:r w:rsidRPr="002B1487">
        <w:t xml:space="preserve">Document authors are responsible for labeling data with the appropriate classification. </w:t>
      </w:r>
    </w:p>
    <w:p w:rsidR="00321778" w:rsidRPr="002B1487" w:rsidRDefault="00321778" w:rsidP="00321778">
      <w:pPr>
        <w:pStyle w:val="NormalDS"/>
        <w:numPr>
          <w:ilvl w:val="1"/>
          <w:numId w:val="12"/>
        </w:numPr>
      </w:pPr>
      <w:r w:rsidRPr="002B1487">
        <w:t>Where applicable, corporate document templates must be used that already include the appropriate classification markings.</w:t>
      </w:r>
    </w:p>
    <w:p w:rsidR="00321778" w:rsidRPr="002B1487" w:rsidRDefault="00321778" w:rsidP="00321778">
      <w:pPr>
        <w:pStyle w:val="Heading3"/>
        <w:numPr>
          <w:ilvl w:val="0"/>
          <w:numId w:val="12"/>
        </w:numPr>
      </w:pPr>
      <w:r w:rsidRPr="002B1487">
        <w:t>Data Loss Prevention</w:t>
      </w:r>
    </w:p>
    <w:p w:rsidR="00321778" w:rsidRPr="002B1487" w:rsidRDefault="00321778" w:rsidP="00321778">
      <w:pPr>
        <w:pStyle w:val="NormalDS"/>
        <w:numPr>
          <w:ilvl w:val="1"/>
          <w:numId w:val="12"/>
        </w:numPr>
      </w:pPr>
      <w:r w:rsidRPr="002B1487">
        <w:t xml:space="preserve">Data that is classified as HBI and/or MBI that leaves </w:t>
      </w:r>
      <w:r>
        <w:t>Alight</w:t>
      </w:r>
      <w:r w:rsidRPr="002B1487">
        <w:t xml:space="preserve">’s custody must be monitored by a data loss prevention tool.  </w:t>
      </w:r>
    </w:p>
    <w:p w:rsidR="00321778" w:rsidRPr="002B1487" w:rsidRDefault="00321778" w:rsidP="00321778">
      <w:pPr>
        <w:pStyle w:val="NormalDS"/>
        <w:numPr>
          <w:ilvl w:val="1"/>
          <w:numId w:val="12"/>
        </w:numPr>
      </w:pPr>
      <w:r w:rsidRPr="002B1487">
        <w:t xml:space="preserve">Data that is classified as HBI and/or MBI that can be identified thru a data loss prevention content inspection process must be prevented from leaving </w:t>
      </w:r>
      <w:r>
        <w:t>Alight</w:t>
      </w:r>
      <w:r w:rsidRPr="002B1487">
        <w:t>’s custody unencrypted.</w:t>
      </w:r>
    </w:p>
    <w:p w:rsidR="00321778" w:rsidRPr="002B1487" w:rsidRDefault="00321778" w:rsidP="00321778">
      <w:pPr>
        <w:pStyle w:val="NormalDS"/>
        <w:numPr>
          <w:ilvl w:val="1"/>
          <w:numId w:val="12"/>
        </w:numPr>
      </w:pPr>
      <w:r w:rsidRPr="002B1487">
        <w:t xml:space="preserve">Data loss prevention alerts must be reviewed by a representative of the data owner and all violations of data loss prevention policies must be reviewed by a business unit incident response leader. </w:t>
      </w:r>
    </w:p>
    <w:p w:rsidR="00321778" w:rsidRPr="002B1487" w:rsidRDefault="00321778" w:rsidP="00321778">
      <w:pPr>
        <w:pStyle w:val="NormalDS"/>
        <w:numPr>
          <w:ilvl w:val="1"/>
          <w:numId w:val="12"/>
        </w:numPr>
      </w:pPr>
      <w:r w:rsidRPr="002B1487">
        <w:t xml:space="preserve">All data loss prevention alerts that the incident response leader may suspect as malicious activity must be reported to the </w:t>
      </w:r>
      <w:hyperlink r:id="rId10" w:history="1">
        <w:r w:rsidRPr="00D71F83">
          <w:rPr>
            <w:rStyle w:val="Hyperlink"/>
          </w:rPr>
          <w:t>Global.EOC.Mailbox@Aon.com</w:t>
        </w:r>
      </w:hyperlink>
      <w:r w:rsidRPr="002B1487">
        <w:t xml:space="preserve"> for further investigation.   </w:t>
      </w:r>
    </w:p>
    <w:p w:rsidR="00321778" w:rsidRPr="002B1487" w:rsidRDefault="00321778" w:rsidP="00321778">
      <w:pPr>
        <w:pStyle w:val="Heading3"/>
        <w:numPr>
          <w:ilvl w:val="0"/>
          <w:numId w:val="12"/>
        </w:numPr>
      </w:pPr>
      <w:bookmarkStart w:id="17" w:name="_Toc296554626"/>
      <w:r w:rsidRPr="002B1487">
        <w:t xml:space="preserve">Destruction of </w:t>
      </w:r>
      <w:bookmarkEnd w:id="17"/>
      <w:r w:rsidRPr="002B1487">
        <w:t>Data and Media</w:t>
      </w:r>
    </w:p>
    <w:p w:rsidR="00321778" w:rsidRPr="002B1487" w:rsidRDefault="00321778" w:rsidP="00321778">
      <w:pPr>
        <w:pStyle w:val="NormalDS"/>
        <w:numPr>
          <w:ilvl w:val="1"/>
          <w:numId w:val="12"/>
        </w:numPr>
      </w:pPr>
      <w:r w:rsidRPr="002B1487">
        <w:t xml:space="preserve">Data classified as HBI, MBI or LBI that is no longer useful or needed, must be disposed of following </w:t>
      </w:r>
      <w:r>
        <w:t>Alight</w:t>
      </w:r>
      <w:r w:rsidRPr="002B1487">
        <w:t xml:space="preserve">’s data disposal standards.   Please refer to the Data Destruction Standard document for specifics.   </w:t>
      </w:r>
    </w:p>
    <w:p w:rsidR="00321778" w:rsidRPr="002B1487" w:rsidRDefault="00321778" w:rsidP="00321778">
      <w:pPr>
        <w:pStyle w:val="Heading3"/>
        <w:numPr>
          <w:ilvl w:val="0"/>
          <w:numId w:val="12"/>
        </w:numPr>
      </w:pPr>
      <w:bookmarkStart w:id="18" w:name="_Toc296554621"/>
      <w:r w:rsidRPr="002B1487">
        <w:t>Classification Framework</w:t>
      </w:r>
      <w:bookmarkEnd w:id="18"/>
    </w:p>
    <w:p w:rsidR="00321778" w:rsidRPr="002B1487" w:rsidRDefault="00321778" w:rsidP="00321778">
      <w:pPr>
        <w:pStyle w:val="NormalDS"/>
        <w:numPr>
          <w:ilvl w:val="1"/>
          <w:numId w:val="12"/>
        </w:numPr>
      </w:pPr>
      <w:r w:rsidRPr="002B1487">
        <w:t xml:space="preserve">The table below outlines the criticality and impact to </w:t>
      </w:r>
      <w:r>
        <w:t>Alight</w:t>
      </w:r>
      <w:r w:rsidRPr="002B1487">
        <w:t xml:space="preserve"> if data is not handled with the appropriate level of care.</w:t>
      </w:r>
    </w:p>
    <w:tbl>
      <w:tblPr>
        <w:tblW w:w="9798" w:type="dxa"/>
        <w:tblInd w:w="108" w:type="dxa"/>
        <w:tblLayout w:type="fixed"/>
        <w:tblLook w:val="0000" w:firstRow="0" w:lastRow="0" w:firstColumn="0" w:lastColumn="0" w:noHBand="0" w:noVBand="0"/>
      </w:tblPr>
      <w:tblGrid>
        <w:gridCol w:w="1537"/>
        <w:gridCol w:w="950"/>
        <w:gridCol w:w="1039"/>
        <w:gridCol w:w="994"/>
        <w:gridCol w:w="1360"/>
        <w:gridCol w:w="934"/>
        <w:gridCol w:w="1085"/>
        <w:gridCol w:w="814"/>
        <w:gridCol w:w="1085"/>
      </w:tblGrid>
      <w:tr w:rsidR="00321778" w:rsidRPr="00F822F1" w:rsidTr="00315EFC">
        <w:trPr>
          <w:trHeight w:val="371"/>
          <w:tblHeader/>
        </w:trPr>
        <w:tc>
          <w:tcPr>
            <w:tcW w:w="1537"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rPr>
              <w:lastRenderedPageBreak/>
              <w:t>Criteria</w:t>
            </w:r>
          </w:p>
        </w:tc>
        <w:tc>
          <w:tcPr>
            <w:tcW w:w="950" w:type="dxa"/>
            <w:tcBorders>
              <w:top w:val="single" w:sz="6" w:space="0" w:color="000000"/>
              <w:left w:val="single" w:sz="6" w:space="0" w:color="000000"/>
              <w:bottom w:val="single" w:sz="6" w:space="0" w:color="000000"/>
              <w:right w:val="single" w:sz="6" w:space="0" w:color="000000"/>
            </w:tcBorders>
            <w:shd w:val="clear" w:color="auto" w:fill="FF0000"/>
            <w:vAlign w:val="center"/>
          </w:tcPr>
          <w:p w:rsidR="00321778" w:rsidRPr="002B1487" w:rsidRDefault="00321778" w:rsidP="00315EFC">
            <w:pPr>
              <w:pStyle w:val="NormalDS"/>
              <w:rPr>
                <w:b/>
                <w:sz w:val="24"/>
                <w:szCs w:val="24"/>
              </w:rPr>
            </w:pPr>
            <w:r w:rsidRPr="002B1487">
              <w:rPr>
                <w:b/>
                <w:sz w:val="24"/>
                <w:szCs w:val="24"/>
              </w:rPr>
              <w:t xml:space="preserve">HBI - </w:t>
            </w:r>
            <w:r w:rsidRPr="00BB2BFB">
              <w:rPr>
                <w:b/>
                <w:sz w:val="18"/>
              </w:rPr>
              <w:t>RED</w:t>
            </w:r>
          </w:p>
        </w:tc>
        <w:tc>
          <w:tcPr>
            <w:tcW w:w="1039"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sz w:val="24"/>
                <w:szCs w:val="24"/>
              </w:rPr>
              <w:t xml:space="preserve">High </w:t>
            </w:r>
            <w:r w:rsidRPr="002B1487">
              <w:rPr>
                <w:b/>
              </w:rPr>
              <w:t>Business Impact</w:t>
            </w:r>
          </w:p>
        </w:tc>
        <w:tc>
          <w:tcPr>
            <w:tcW w:w="994"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321778" w:rsidRPr="002B1487" w:rsidRDefault="00321778" w:rsidP="00315EFC">
            <w:pPr>
              <w:pStyle w:val="NormalDS"/>
              <w:rPr>
                <w:b/>
                <w:sz w:val="24"/>
                <w:szCs w:val="24"/>
              </w:rPr>
            </w:pPr>
            <w:r w:rsidRPr="002B1487">
              <w:rPr>
                <w:b/>
                <w:sz w:val="24"/>
                <w:szCs w:val="24"/>
              </w:rPr>
              <w:t xml:space="preserve">MBI - </w:t>
            </w:r>
            <w:r w:rsidRPr="002161BD">
              <w:rPr>
                <w:b/>
                <w:sz w:val="18"/>
              </w:rPr>
              <w:t>YELLOW</w:t>
            </w:r>
          </w:p>
        </w:tc>
        <w:tc>
          <w:tcPr>
            <w:tcW w:w="1360"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sz w:val="24"/>
                <w:szCs w:val="24"/>
              </w:rPr>
              <w:t xml:space="preserve">Moderate </w:t>
            </w:r>
            <w:r w:rsidRPr="002B1487">
              <w:rPr>
                <w:b/>
              </w:rPr>
              <w:t>Business Impact</w:t>
            </w:r>
          </w:p>
        </w:tc>
        <w:tc>
          <w:tcPr>
            <w:tcW w:w="934" w:type="dxa"/>
            <w:tcBorders>
              <w:top w:val="single" w:sz="6" w:space="0" w:color="000000"/>
              <w:left w:val="single" w:sz="6" w:space="0" w:color="000000"/>
              <w:bottom w:val="single" w:sz="6" w:space="0" w:color="000000"/>
              <w:right w:val="single" w:sz="6" w:space="0" w:color="000000"/>
            </w:tcBorders>
            <w:shd w:val="clear" w:color="auto" w:fill="92D050"/>
            <w:vAlign w:val="center"/>
          </w:tcPr>
          <w:p w:rsidR="00321778" w:rsidRPr="002B1487" w:rsidRDefault="00321778" w:rsidP="00315EFC">
            <w:pPr>
              <w:pStyle w:val="NormalDS"/>
              <w:rPr>
                <w:b/>
                <w:sz w:val="24"/>
                <w:szCs w:val="24"/>
              </w:rPr>
            </w:pPr>
            <w:r w:rsidRPr="002B1487">
              <w:rPr>
                <w:b/>
                <w:sz w:val="24"/>
                <w:szCs w:val="24"/>
              </w:rPr>
              <w:t xml:space="preserve">LBI - </w:t>
            </w:r>
            <w:r w:rsidRPr="00BB2BFB">
              <w:rPr>
                <w:b/>
                <w:sz w:val="18"/>
              </w:rPr>
              <w:t>GREEN</w:t>
            </w:r>
          </w:p>
        </w:tc>
        <w:tc>
          <w:tcPr>
            <w:tcW w:w="1085"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sz w:val="24"/>
                <w:szCs w:val="24"/>
              </w:rPr>
              <w:t xml:space="preserve">Low </w:t>
            </w:r>
            <w:r w:rsidRPr="002B1487">
              <w:rPr>
                <w:b/>
              </w:rPr>
              <w:t>Business Impact</w:t>
            </w:r>
          </w:p>
        </w:tc>
        <w:tc>
          <w:tcPr>
            <w:tcW w:w="814" w:type="dxa"/>
            <w:tcBorders>
              <w:top w:val="single" w:sz="6" w:space="0" w:color="000000"/>
              <w:left w:val="single" w:sz="6" w:space="0" w:color="000000"/>
              <w:bottom w:val="single" w:sz="6" w:space="0" w:color="000000"/>
              <w:right w:val="single" w:sz="6" w:space="0" w:color="000000"/>
            </w:tcBorders>
            <w:shd w:val="clear" w:color="auto" w:fill="00B0F0"/>
            <w:vAlign w:val="center"/>
          </w:tcPr>
          <w:p w:rsidR="00321778" w:rsidRPr="002B1487" w:rsidRDefault="00321778" w:rsidP="00315EFC">
            <w:pPr>
              <w:pStyle w:val="NormalDS"/>
              <w:rPr>
                <w:b/>
                <w:sz w:val="24"/>
                <w:szCs w:val="24"/>
              </w:rPr>
            </w:pPr>
            <w:r w:rsidRPr="002B1487">
              <w:rPr>
                <w:b/>
                <w:sz w:val="24"/>
                <w:szCs w:val="24"/>
              </w:rPr>
              <w:t xml:space="preserve">NBI - </w:t>
            </w:r>
            <w:r w:rsidRPr="00BB2BFB">
              <w:rPr>
                <w:b/>
                <w:sz w:val="18"/>
              </w:rPr>
              <w:t>BLUE</w:t>
            </w:r>
          </w:p>
        </w:tc>
        <w:tc>
          <w:tcPr>
            <w:tcW w:w="1085"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sz w:val="24"/>
                <w:szCs w:val="24"/>
              </w:rPr>
              <w:t>No</w:t>
            </w:r>
            <w:r w:rsidRPr="002B1487">
              <w:rPr>
                <w:b/>
              </w:rPr>
              <w:t xml:space="preserve"> Business Impact</w:t>
            </w:r>
          </w:p>
        </w:tc>
      </w:tr>
      <w:tr w:rsidR="00321778" w:rsidTr="00315EFC">
        <w:trPr>
          <w:trHeight w:val="975"/>
        </w:trPr>
        <w:tc>
          <w:tcPr>
            <w:tcW w:w="153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High-level definition </w:t>
            </w:r>
          </w:p>
        </w:tc>
        <w:tc>
          <w:tcPr>
            <w:tcW w:w="198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Highly confidential </w:t>
            </w:r>
            <w:r>
              <w:rPr>
                <w:sz w:val="16"/>
                <w:szCs w:val="16"/>
              </w:rPr>
              <w:t>data</w:t>
            </w:r>
            <w:r w:rsidRPr="00F822F1">
              <w:rPr>
                <w:sz w:val="16"/>
                <w:szCs w:val="16"/>
              </w:rPr>
              <w:t xml:space="preserve"> restricted to specifically named individuals with  a need-to know or use </w:t>
            </w:r>
          </w:p>
        </w:tc>
        <w:tc>
          <w:tcPr>
            <w:tcW w:w="2354"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Confidential </w:t>
            </w:r>
            <w:r>
              <w:rPr>
                <w:sz w:val="16"/>
                <w:szCs w:val="16"/>
              </w:rPr>
              <w:t>data</w:t>
            </w:r>
            <w:r w:rsidRPr="00F822F1">
              <w:rPr>
                <w:sz w:val="16"/>
                <w:szCs w:val="16"/>
              </w:rPr>
              <w:t xml:space="preserve"> restricted to small groups (e.g., project team) of people with a need-to know or use </w:t>
            </w:r>
          </w:p>
        </w:tc>
        <w:tc>
          <w:tcPr>
            <w:tcW w:w="201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General company </w:t>
            </w:r>
            <w:r>
              <w:rPr>
                <w:sz w:val="16"/>
                <w:szCs w:val="16"/>
              </w:rPr>
              <w:t>data</w:t>
            </w:r>
            <w:r w:rsidRPr="00F822F1">
              <w:rPr>
                <w:sz w:val="16"/>
                <w:szCs w:val="16"/>
              </w:rPr>
              <w:t xml:space="preserve"> intended for use by colleagues when conducting company business </w:t>
            </w:r>
          </w:p>
        </w:tc>
        <w:tc>
          <w:tcPr>
            <w:tcW w:w="189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Data</w:t>
            </w:r>
            <w:r w:rsidRPr="00F822F1">
              <w:rPr>
                <w:sz w:val="16"/>
                <w:szCs w:val="16"/>
              </w:rPr>
              <w:t xml:space="preserve"> for widespread public disclosure </w:t>
            </w:r>
          </w:p>
        </w:tc>
      </w:tr>
      <w:tr w:rsidR="00321778" w:rsidTr="00315EFC">
        <w:trPr>
          <w:trHeight w:val="476"/>
        </w:trPr>
        <w:tc>
          <w:tcPr>
            <w:tcW w:w="153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BB2BFB">
              <w:rPr>
                <w:b/>
                <w:sz w:val="18"/>
              </w:rPr>
              <w:t xml:space="preserve">Confidentiality </w:t>
            </w:r>
          </w:p>
        </w:tc>
        <w:tc>
          <w:tcPr>
            <w:tcW w:w="198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High</w:t>
            </w:r>
            <w:r>
              <w:rPr>
                <w:sz w:val="16"/>
                <w:szCs w:val="16"/>
              </w:rPr>
              <w:t>ly</w:t>
            </w:r>
            <w:r w:rsidRPr="00F822F1">
              <w:rPr>
                <w:sz w:val="16"/>
                <w:szCs w:val="16"/>
              </w:rPr>
              <w:t xml:space="preserve"> confidential</w:t>
            </w:r>
          </w:p>
        </w:tc>
        <w:tc>
          <w:tcPr>
            <w:tcW w:w="2354"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 xml:space="preserve">Moderately </w:t>
            </w:r>
            <w:r w:rsidRPr="00F822F1">
              <w:rPr>
                <w:sz w:val="16"/>
                <w:szCs w:val="16"/>
              </w:rPr>
              <w:t xml:space="preserve">confidential </w:t>
            </w:r>
          </w:p>
        </w:tc>
        <w:tc>
          <w:tcPr>
            <w:tcW w:w="201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Low confidentiality </w:t>
            </w:r>
          </w:p>
        </w:tc>
        <w:tc>
          <w:tcPr>
            <w:tcW w:w="189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No confidentiality </w:t>
            </w:r>
          </w:p>
        </w:tc>
      </w:tr>
      <w:tr w:rsidR="00321778" w:rsidTr="00315EFC">
        <w:trPr>
          <w:trHeight w:val="793"/>
        </w:trPr>
        <w:tc>
          <w:tcPr>
            <w:tcW w:w="153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Disclosure impact </w:t>
            </w:r>
          </w:p>
        </w:tc>
        <w:tc>
          <w:tcPr>
            <w:tcW w:w="198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Severe or catastrophic material loss if </w:t>
            </w:r>
            <w:r>
              <w:rPr>
                <w:sz w:val="16"/>
                <w:szCs w:val="16"/>
              </w:rPr>
              <w:t>data</w:t>
            </w:r>
            <w:r w:rsidRPr="00F822F1">
              <w:rPr>
                <w:sz w:val="16"/>
                <w:szCs w:val="16"/>
              </w:rPr>
              <w:t xml:space="preserve"> disclosed </w:t>
            </w:r>
          </w:p>
        </w:tc>
        <w:tc>
          <w:tcPr>
            <w:tcW w:w="2354"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Moderate damage if </w:t>
            </w:r>
            <w:r>
              <w:rPr>
                <w:sz w:val="16"/>
                <w:szCs w:val="16"/>
              </w:rPr>
              <w:t>data</w:t>
            </w:r>
            <w:r w:rsidRPr="00F822F1">
              <w:rPr>
                <w:sz w:val="16"/>
                <w:szCs w:val="16"/>
              </w:rPr>
              <w:t xml:space="preserve"> disclosed </w:t>
            </w:r>
          </w:p>
        </w:tc>
        <w:tc>
          <w:tcPr>
            <w:tcW w:w="201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Some damage if </w:t>
            </w:r>
            <w:r>
              <w:rPr>
                <w:sz w:val="16"/>
                <w:szCs w:val="16"/>
              </w:rPr>
              <w:t>data</w:t>
            </w:r>
            <w:r w:rsidRPr="00F822F1">
              <w:rPr>
                <w:sz w:val="16"/>
                <w:szCs w:val="16"/>
              </w:rPr>
              <w:t xml:space="preserve"> disclosed </w:t>
            </w:r>
          </w:p>
        </w:tc>
        <w:tc>
          <w:tcPr>
            <w:tcW w:w="189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N</w:t>
            </w:r>
            <w:r w:rsidRPr="00F822F1">
              <w:rPr>
                <w:sz w:val="16"/>
                <w:szCs w:val="16"/>
              </w:rPr>
              <w:t xml:space="preserve">o damage if </w:t>
            </w:r>
            <w:r>
              <w:rPr>
                <w:sz w:val="16"/>
                <w:szCs w:val="16"/>
              </w:rPr>
              <w:t>data</w:t>
            </w:r>
            <w:r w:rsidRPr="00F822F1">
              <w:rPr>
                <w:sz w:val="16"/>
                <w:szCs w:val="16"/>
              </w:rPr>
              <w:t xml:space="preserve"> disclosed </w:t>
            </w:r>
          </w:p>
        </w:tc>
      </w:tr>
      <w:tr w:rsidR="00321778" w:rsidTr="00315EFC">
        <w:trPr>
          <w:trHeight w:val="479"/>
        </w:trPr>
        <w:tc>
          <w:tcPr>
            <w:tcW w:w="153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Data value </w:t>
            </w:r>
          </w:p>
        </w:tc>
        <w:tc>
          <w:tcPr>
            <w:tcW w:w="198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High value </w:t>
            </w:r>
            <w:r>
              <w:rPr>
                <w:sz w:val="16"/>
                <w:szCs w:val="16"/>
              </w:rPr>
              <w:t>data</w:t>
            </w:r>
            <w:r w:rsidRPr="00F822F1">
              <w:rPr>
                <w:sz w:val="16"/>
                <w:szCs w:val="16"/>
              </w:rPr>
              <w:t xml:space="preserve"> </w:t>
            </w:r>
          </w:p>
        </w:tc>
        <w:tc>
          <w:tcPr>
            <w:tcW w:w="2354"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 xml:space="preserve">Moderate </w:t>
            </w:r>
            <w:r w:rsidRPr="00F822F1">
              <w:rPr>
                <w:sz w:val="16"/>
                <w:szCs w:val="16"/>
              </w:rPr>
              <w:t xml:space="preserve">to high value </w:t>
            </w:r>
            <w:r>
              <w:rPr>
                <w:sz w:val="16"/>
                <w:szCs w:val="16"/>
              </w:rPr>
              <w:t>data</w:t>
            </w:r>
            <w:r w:rsidRPr="00F822F1">
              <w:rPr>
                <w:sz w:val="16"/>
                <w:szCs w:val="16"/>
              </w:rPr>
              <w:t xml:space="preserve"> </w:t>
            </w:r>
          </w:p>
        </w:tc>
        <w:tc>
          <w:tcPr>
            <w:tcW w:w="201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Low to </w:t>
            </w:r>
            <w:r>
              <w:rPr>
                <w:sz w:val="16"/>
                <w:szCs w:val="16"/>
              </w:rPr>
              <w:t>moderate</w:t>
            </w:r>
            <w:r w:rsidRPr="00F822F1">
              <w:rPr>
                <w:sz w:val="16"/>
                <w:szCs w:val="16"/>
              </w:rPr>
              <w:t xml:space="preserve"> value </w:t>
            </w:r>
            <w:r>
              <w:rPr>
                <w:sz w:val="16"/>
                <w:szCs w:val="16"/>
              </w:rPr>
              <w:t>data</w:t>
            </w:r>
            <w:r w:rsidRPr="00F822F1">
              <w:rPr>
                <w:sz w:val="16"/>
                <w:szCs w:val="16"/>
              </w:rPr>
              <w:t xml:space="preserve"> </w:t>
            </w:r>
          </w:p>
        </w:tc>
        <w:tc>
          <w:tcPr>
            <w:tcW w:w="1899"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Low value </w:t>
            </w:r>
            <w:r>
              <w:rPr>
                <w:sz w:val="16"/>
                <w:szCs w:val="16"/>
              </w:rPr>
              <w:t>data</w:t>
            </w:r>
            <w:r w:rsidRPr="00F822F1">
              <w:rPr>
                <w:sz w:val="16"/>
                <w:szCs w:val="16"/>
              </w:rPr>
              <w:t xml:space="preserve"> </w:t>
            </w:r>
          </w:p>
        </w:tc>
      </w:tr>
      <w:tr w:rsidR="00321778" w:rsidTr="00315EFC">
        <w:trPr>
          <w:cantSplit/>
          <w:trHeight w:val="3292"/>
        </w:trPr>
        <w:tc>
          <w:tcPr>
            <w:tcW w:w="1537" w:type="dxa"/>
            <w:tcBorders>
              <w:top w:val="single" w:sz="6" w:space="0" w:color="000000"/>
              <w:left w:val="single" w:sz="6" w:space="0" w:color="000000"/>
              <w:bottom w:val="single" w:sz="4" w:space="0" w:color="auto"/>
              <w:right w:val="single" w:sz="6" w:space="0" w:color="000000"/>
            </w:tcBorders>
            <w:shd w:val="clear" w:color="auto" w:fill="C0C0C0"/>
            <w:vAlign w:val="center"/>
          </w:tcPr>
          <w:p w:rsidR="00321778" w:rsidRPr="002B1487" w:rsidRDefault="00321778" w:rsidP="00315EFC">
            <w:pPr>
              <w:pStyle w:val="NormalDS"/>
              <w:rPr>
                <w:b/>
              </w:rPr>
            </w:pPr>
            <w:r w:rsidRPr="002B1487">
              <w:rPr>
                <w:b/>
              </w:rPr>
              <w:t>Data Examples</w:t>
            </w:r>
          </w:p>
          <w:p w:rsidR="00321778" w:rsidRPr="002B1487" w:rsidRDefault="00321778" w:rsidP="00315EFC">
            <w:pPr>
              <w:pStyle w:val="NormalDS"/>
              <w:rPr>
                <w:b/>
              </w:rPr>
            </w:pPr>
          </w:p>
          <w:p w:rsidR="00321778" w:rsidRPr="002B1487" w:rsidRDefault="00321778" w:rsidP="00315EFC">
            <w:pPr>
              <w:pStyle w:val="NormalDS"/>
              <w:rPr>
                <w:b/>
                <w:sz w:val="16"/>
                <w:szCs w:val="16"/>
              </w:rPr>
            </w:pPr>
            <w:r w:rsidRPr="002B1487">
              <w:rPr>
                <w:b/>
                <w:sz w:val="16"/>
                <w:szCs w:val="16"/>
              </w:rPr>
              <w:t>Please note: this is not an exhaustive list. They are intended to help guide the classification of data.</w:t>
            </w:r>
          </w:p>
        </w:tc>
        <w:tc>
          <w:tcPr>
            <w:tcW w:w="1989" w:type="dxa"/>
            <w:gridSpan w:val="2"/>
            <w:tcBorders>
              <w:top w:val="single" w:sz="6" w:space="0" w:color="000000"/>
              <w:left w:val="single" w:sz="6" w:space="0" w:color="000000"/>
              <w:bottom w:val="single" w:sz="4" w:space="0" w:color="auto"/>
              <w:right w:val="single" w:sz="6" w:space="0" w:color="000000"/>
            </w:tcBorders>
            <w:vAlign w:val="center"/>
          </w:tcPr>
          <w:p w:rsidR="00321778" w:rsidRDefault="00321778" w:rsidP="00315EFC">
            <w:pPr>
              <w:pStyle w:val="NormalDS"/>
              <w:rPr>
                <w:sz w:val="16"/>
                <w:szCs w:val="16"/>
              </w:rPr>
            </w:pPr>
            <w:r>
              <w:rPr>
                <w:sz w:val="16"/>
                <w:szCs w:val="16"/>
              </w:rPr>
              <w:t>- Client Lists</w:t>
            </w:r>
          </w:p>
          <w:p w:rsidR="00321778" w:rsidRDefault="00321778" w:rsidP="00315EFC">
            <w:pPr>
              <w:pStyle w:val="NormalDS"/>
              <w:rPr>
                <w:sz w:val="16"/>
                <w:szCs w:val="16"/>
              </w:rPr>
            </w:pPr>
            <w:r>
              <w:rPr>
                <w:sz w:val="16"/>
                <w:szCs w:val="16"/>
              </w:rPr>
              <w:t>- Personnel records</w:t>
            </w:r>
          </w:p>
          <w:p w:rsidR="00321778" w:rsidRDefault="00321778" w:rsidP="00315EFC">
            <w:pPr>
              <w:pStyle w:val="NormalDS"/>
              <w:rPr>
                <w:sz w:val="16"/>
                <w:szCs w:val="16"/>
              </w:rPr>
            </w:pPr>
            <w:r>
              <w:rPr>
                <w:sz w:val="16"/>
                <w:szCs w:val="16"/>
              </w:rPr>
              <w:t>- Social Security Numbers</w:t>
            </w:r>
          </w:p>
          <w:p w:rsidR="00321778" w:rsidRDefault="00321778" w:rsidP="00315EFC">
            <w:pPr>
              <w:pStyle w:val="NormalDS"/>
              <w:rPr>
                <w:sz w:val="16"/>
                <w:szCs w:val="16"/>
              </w:rPr>
            </w:pPr>
            <w:r>
              <w:rPr>
                <w:sz w:val="16"/>
                <w:szCs w:val="16"/>
              </w:rPr>
              <w:t>- Financial Account Numbers</w:t>
            </w:r>
          </w:p>
          <w:p w:rsidR="00321778" w:rsidRDefault="00321778" w:rsidP="00315EFC">
            <w:pPr>
              <w:pStyle w:val="NormalDS"/>
              <w:rPr>
                <w:sz w:val="16"/>
                <w:szCs w:val="16"/>
              </w:rPr>
            </w:pPr>
            <w:r>
              <w:rPr>
                <w:sz w:val="16"/>
                <w:szCs w:val="16"/>
              </w:rPr>
              <w:t>- Credit Card Numbers</w:t>
            </w:r>
          </w:p>
          <w:p w:rsidR="00321778" w:rsidRDefault="00321778" w:rsidP="00315EFC">
            <w:pPr>
              <w:pStyle w:val="NormalDS"/>
              <w:rPr>
                <w:sz w:val="16"/>
                <w:szCs w:val="16"/>
              </w:rPr>
            </w:pPr>
            <w:r>
              <w:rPr>
                <w:sz w:val="16"/>
                <w:szCs w:val="16"/>
              </w:rPr>
              <w:t>- National Insurance Numbers</w:t>
            </w:r>
          </w:p>
          <w:p w:rsidR="00321778" w:rsidRDefault="00321778" w:rsidP="00315EFC">
            <w:pPr>
              <w:pStyle w:val="NormalDS"/>
              <w:rPr>
                <w:sz w:val="16"/>
                <w:szCs w:val="16"/>
              </w:rPr>
            </w:pPr>
            <w:r>
              <w:rPr>
                <w:sz w:val="16"/>
                <w:szCs w:val="16"/>
              </w:rPr>
              <w:t>- Medial &amp; Claims Data</w:t>
            </w:r>
          </w:p>
          <w:p w:rsidR="00321778" w:rsidRDefault="00321778" w:rsidP="00315EFC">
            <w:pPr>
              <w:pStyle w:val="NormalDS"/>
              <w:rPr>
                <w:sz w:val="16"/>
                <w:szCs w:val="16"/>
              </w:rPr>
            </w:pPr>
            <w:r>
              <w:rPr>
                <w:sz w:val="16"/>
                <w:szCs w:val="16"/>
              </w:rPr>
              <w:t>- Litigation related Data</w:t>
            </w:r>
          </w:p>
          <w:p w:rsidR="00321778" w:rsidRDefault="00321778" w:rsidP="00315EFC">
            <w:pPr>
              <w:pStyle w:val="NormalDS"/>
              <w:rPr>
                <w:sz w:val="16"/>
                <w:szCs w:val="16"/>
              </w:rPr>
            </w:pPr>
            <w:r>
              <w:rPr>
                <w:sz w:val="16"/>
                <w:szCs w:val="16"/>
              </w:rPr>
              <w:t>- Regulated Data</w:t>
            </w:r>
          </w:p>
          <w:p w:rsidR="00321778" w:rsidRDefault="00321778" w:rsidP="00315EFC">
            <w:pPr>
              <w:pStyle w:val="NormalDS"/>
              <w:rPr>
                <w:sz w:val="16"/>
                <w:szCs w:val="16"/>
              </w:rPr>
            </w:pPr>
            <w:r>
              <w:rPr>
                <w:sz w:val="16"/>
                <w:szCs w:val="16"/>
              </w:rPr>
              <w:t>- Password &amp; Passphrases</w:t>
            </w:r>
          </w:p>
          <w:p w:rsidR="00321778" w:rsidRDefault="00321778" w:rsidP="00315EFC">
            <w:pPr>
              <w:pStyle w:val="NormalDS"/>
              <w:rPr>
                <w:sz w:val="16"/>
                <w:szCs w:val="16"/>
              </w:rPr>
            </w:pPr>
            <w:r>
              <w:rPr>
                <w:sz w:val="16"/>
                <w:szCs w:val="16"/>
              </w:rPr>
              <w:t>- Participant data covered under HIPAA</w:t>
            </w:r>
          </w:p>
          <w:p w:rsidR="00321778" w:rsidRPr="00703C3A" w:rsidRDefault="00321778" w:rsidP="00315EFC">
            <w:pPr>
              <w:pStyle w:val="NormalDS"/>
              <w:rPr>
                <w:sz w:val="16"/>
                <w:szCs w:val="16"/>
              </w:rPr>
            </w:pPr>
            <w:r>
              <w:rPr>
                <w:sz w:val="16"/>
                <w:szCs w:val="16"/>
              </w:rPr>
              <w:t>- Full Date of Birth</w:t>
            </w:r>
          </w:p>
        </w:tc>
        <w:tc>
          <w:tcPr>
            <w:tcW w:w="2354" w:type="dxa"/>
            <w:gridSpan w:val="2"/>
            <w:tcBorders>
              <w:top w:val="single" w:sz="6" w:space="0" w:color="000000"/>
              <w:left w:val="single" w:sz="6" w:space="0" w:color="000000"/>
              <w:bottom w:val="single" w:sz="4" w:space="0" w:color="auto"/>
              <w:right w:val="single" w:sz="6" w:space="0" w:color="000000"/>
            </w:tcBorders>
            <w:vAlign w:val="center"/>
          </w:tcPr>
          <w:p w:rsidR="00321778" w:rsidRDefault="00321778" w:rsidP="00315EFC">
            <w:pPr>
              <w:pStyle w:val="NormalDS"/>
              <w:rPr>
                <w:sz w:val="16"/>
                <w:szCs w:val="16"/>
              </w:rPr>
            </w:pPr>
            <w:r>
              <w:rPr>
                <w:sz w:val="16"/>
                <w:szCs w:val="16"/>
              </w:rPr>
              <w:t>- Client Data</w:t>
            </w:r>
          </w:p>
          <w:p w:rsidR="00321778" w:rsidRDefault="00321778" w:rsidP="00315EFC">
            <w:pPr>
              <w:pStyle w:val="NormalDS"/>
              <w:rPr>
                <w:sz w:val="16"/>
                <w:szCs w:val="16"/>
              </w:rPr>
            </w:pPr>
            <w:r>
              <w:rPr>
                <w:sz w:val="16"/>
                <w:szCs w:val="16"/>
              </w:rPr>
              <w:t>- Account Numbers</w:t>
            </w:r>
          </w:p>
          <w:p w:rsidR="00321778" w:rsidRDefault="00321778" w:rsidP="00315EFC">
            <w:pPr>
              <w:pStyle w:val="NormalDS"/>
              <w:rPr>
                <w:sz w:val="16"/>
                <w:szCs w:val="16"/>
              </w:rPr>
            </w:pPr>
            <w:r>
              <w:rPr>
                <w:sz w:val="16"/>
                <w:szCs w:val="16"/>
              </w:rPr>
              <w:t>- Mailing Lists</w:t>
            </w:r>
          </w:p>
          <w:p w:rsidR="00321778" w:rsidRDefault="00321778" w:rsidP="00315EFC">
            <w:pPr>
              <w:pStyle w:val="NormalDS"/>
              <w:rPr>
                <w:sz w:val="16"/>
                <w:szCs w:val="16"/>
              </w:rPr>
            </w:pPr>
            <w:r>
              <w:rPr>
                <w:sz w:val="16"/>
                <w:szCs w:val="16"/>
              </w:rPr>
              <w:t>- Financial Reports &amp; Transactions</w:t>
            </w:r>
          </w:p>
          <w:p w:rsidR="00321778" w:rsidRDefault="00321778" w:rsidP="00315EFC">
            <w:pPr>
              <w:pStyle w:val="NormalDS"/>
              <w:rPr>
                <w:sz w:val="16"/>
                <w:szCs w:val="16"/>
              </w:rPr>
            </w:pPr>
            <w:r>
              <w:rPr>
                <w:sz w:val="16"/>
                <w:szCs w:val="16"/>
              </w:rPr>
              <w:t>- Proprietary Processes</w:t>
            </w:r>
          </w:p>
          <w:p w:rsidR="00321778" w:rsidRPr="00703C3A" w:rsidRDefault="00321778" w:rsidP="00315EFC">
            <w:pPr>
              <w:pStyle w:val="NormalDS"/>
              <w:rPr>
                <w:sz w:val="16"/>
                <w:szCs w:val="16"/>
              </w:rPr>
            </w:pPr>
            <w:r>
              <w:rPr>
                <w:sz w:val="16"/>
                <w:szCs w:val="16"/>
              </w:rPr>
              <w:t>- Data under NDA</w:t>
            </w:r>
          </w:p>
        </w:tc>
        <w:tc>
          <w:tcPr>
            <w:tcW w:w="2019" w:type="dxa"/>
            <w:gridSpan w:val="2"/>
            <w:tcBorders>
              <w:top w:val="single" w:sz="6" w:space="0" w:color="000000"/>
              <w:left w:val="single" w:sz="6" w:space="0" w:color="000000"/>
              <w:bottom w:val="single" w:sz="4" w:space="0" w:color="auto"/>
              <w:right w:val="single" w:sz="6" w:space="0" w:color="000000"/>
            </w:tcBorders>
            <w:vAlign w:val="center"/>
          </w:tcPr>
          <w:p w:rsidR="00321778" w:rsidRDefault="00321778" w:rsidP="00315EFC">
            <w:pPr>
              <w:pStyle w:val="NormalDS"/>
              <w:rPr>
                <w:sz w:val="16"/>
                <w:szCs w:val="16"/>
              </w:rPr>
            </w:pPr>
            <w:r>
              <w:rPr>
                <w:sz w:val="16"/>
                <w:szCs w:val="16"/>
              </w:rPr>
              <w:t xml:space="preserve">- ke.aon.com </w:t>
            </w:r>
          </w:p>
          <w:p w:rsidR="00321778" w:rsidRDefault="00321778" w:rsidP="00315EFC">
            <w:pPr>
              <w:pStyle w:val="NormalDS"/>
              <w:rPr>
                <w:sz w:val="16"/>
                <w:szCs w:val="16"/>
              </w:rPr>
            </w:pPr>
            <w:r>
              <w:rPr>
                <w:sz w:val="16"/>
                <w:szCs w:val="16"/>
              </w:rPr>
              <w:t>- General Internal Memos</w:t>
            </w:r>
          </w:p>
          <w:p w:rsidR="00321778" w:rsidRDefault="00321778" w:rsidP="00315EFC">
            <w:pPr>
              <w:pStyle w:val="NormalDS"/>
              <w:rPr>
                <w:sz w:val="16"/>
                <w:szCs w:val="16"/>
              </w:rPr>
            </w:pPr>
            <w:r>
              <w:rPr>
                <w:sz w:val="16"/>
                <w:szCs w:val="16"/>
              </w:rPr>
              <w:t>- Training Materials</w:t>
            </w:r>
          </w:p>
          <w:p w:rsidR="00321778" w:rsidRDefault="00321778" w:rsidP="00315EFC">
            <w:pPr>
              <w:pStyle w:val="NormalDS"/>
              <w:rPr>
                <w:sz w:val="16"/>
                <w:szCs w:val="16"/>
              </w:rPr>
            </w:pPr>
            <w:r>
              <w:rPr>
                <w:sz w:val="16"/>
                <w:szCs w:val="16"/>
              </w:rPr>
              <w:t>- Policies, Standards and Procedures</w:t>
            </w:r>
          </w:p>
          <w:p w:rsidR="00321778" w:rsidRPr="00703C3A" w:rsidRDefault="00321778" w:rsidP="00315EFC">
            <w:pPr>
              <w:pStyle w:val="NormalDS"/>
              <w:rPr>
                <w:sz w:val="16"/>
                <w:szCs w:val="16"/>
              </w:rPr>
            </w:pPr>
            <w:r>
              <w:rPr>
                <w:sz w:val="16"/>
                <w:szCs w:val="16"/>
              </w:rPr>
              <w:t>- Alight Phone &amp; Address Books</w:t>
            </w:r>
          </w:p>
        </w:tc>
        <w:tc>
          <w:tcPr>
            <w:tcW w:w="1899" w:type="dxa"/>
            <w:gridSpan w:val="2"/>
            <w:tcBorders>
              <w:top w:val="single" w:sz="6" w:space="0" w:color="000000"/>
              <w:left w:val="single" w:sz="6" w:space="0" w:color="000000"/>
              <w:bottom w:val="single" w:sz="4" w:space="0" w:color="auto"/>
              <w:right w:val="single" w:sz="6" w:space="0" w:color="000000"/>
            </w:tcBorders>
            <w:vAlign w:val="center"/>
          </w:tcPr>
          <w:p w:rsidR="00321778" w:rsidRDefault="00321778" w:rsidP="00315EFC">
            <w:pPr>
              <w:pStyle w:val="NormalDS"/>
              <w:rPr>
                <w:sz w:val="16"/>
                <w:szCs w:val="16"/>
              </w:rPr>
            </w:pPr>
            <w:r>
              <w:rPr>
                <w:sz w:val="16"/>
                <w:szCs w:val="16"/>
              </w:rPr>
              <w:t xml:space="preserve">- </w:t>
            </w:r>
            <w:hyperlink r:id="rId11" w:history="1">
              <w:r w:rsidRPr="00D71F83">
                <w:rPr>
                  <w:rStyle w:val="Hyperlink"/>
                  <w:sz w:val="16"/>
                  <w:szCs w:val="16"/>
                </w:rPr>
                <w:t>www.aon.com</w:t>
              </w:r>
            </w:hyperlink>
          </w:p>
          <w:p w:rsidR="00321778" w:rsidRDefault="00321778" w:rsidP="00315EFC">
            <w:pPr>
              <w:pStyle w:val="NormalDS"/>
              <w:rPr>
                <w:sz w:val="16"/>
                <w:szCs w:val="16"/>
              </w:rPr>
            </w:pPr>
            <w:r>
              <w:rPr>
                <w:sz w:val="16"/>
                <w:szCs w:val="16"/>
              </w:rPr>
              <w:t>- Marketing Brochures</w:t>
            </w:r>
          </w:p>
          <w:p w:rsidR="00321778" w:rsidRDefault="00321778" w:rsidP="00315EFC">
            <w:pPr>
              <w:pStyle w:val="NormalDS"/>
              <w:rPr>
                <w:sz w:val="16"/>
                <w:szCs w:val="16"/>
              </w:rPr>
            </w:pPr>
            <w:r>
              <w:rPr>
                <w:sz w:val="16"/>
                <w:szCs w:val="16"/>
              </w:rPr>
              <w:t>- Advertising Media</w:t>
            </w:r>
          </w:p>
          <w:p w:rsidR="00321778" w:rsidRDefault="00321778" w:rsidP="00315EFC">
            <w:pPr>
              <w:pStyle w:val="NormalDS"/>
              <w:rPr>
                <w:sz w:val="16"/>
                <w:szCs w:val="16"/>
              </w:rPr>
            </w:pPr>
            <w:r>
              <w:rPr>
                <w:sz w:val="16"/>
                <w:szCs w:val="16"/>
              </w:rPr>
              <w:t>- Annual Report</w:t>
            </w:r>
          </w:p>
          <w:p w:rsidR="00321778" w:rsidRDefault="00321778" w:rsidP="00315EFC">
            <w:pPr>
              <w:pStyle w:val="NormalDS"/>
              <w:rPr>
                <w:sz w:val="16"/>
                <w:szCs w:val="16"/>
              </w:rPr>
            </w:pPr>
            <w:r>
              <w:rPr>
                <w:sz w:val="16"/>
                <w:szCs w:val="16"/>
              </w:rPr>
              <w:t>- 10K Report</w:t>
            </w:r>
          </w:p>
          <w:p w:rsidR="00321778" w:rsidRDefault="00321778" w:rsidP="00315EFC">
            <w:pPr>
              <w:pStyle w:val="NormalDS"/>
              <w:rPr>
                <w:sz w:val="16"/>
                <w:szCs w:val="16"/>
              </w:rPr>
            </w:pPr>
            <w:r>
              <w:rPr>
                <w:sz w:val="16"/>
                <w:szCs w:val="16"/>
              </w:rPr>
              <w:t>- Product Brochures</w:t>
            </w:r>
          </w:p>
          <w:p w:rsidR="00321778" w:rsidRPr="00703C3A" w:rsidRDefault="00321778" w:rsidP="00315EFC">
            <w:pPr>
              <w:pStyle w:val="NormalDS"/>
              <w:rPr>
                <w:sz w:val="16"/>
                <w:szCs w:val="16"/>
              </w:rPr>
            </w:pPr>
            <w:r>
              <w:rPr>
                <w:sz w:val="16"/>
                <w:szCs w:val="16"/>
              </w:rPr>
              <w:t>- Press Releases</w:t>
            </w:r>
          </w:p>
        </w:tc>
      </w:tr>
    </w:tbl>
    <w:p w:rsidR="00321778" w:rsidRPr="008C4666" w:rsidRDefault="00321778" w:rsidP="00321778">
      <w:pPr>
        <w:pStyle w:val="NormalDS"/>
        <w:rPr>
          <w:rFonts w:cs="Arial"/>
        </w:rPr>
      </w:pPr>
      <w:r w:rsidRPr="008C4666">
        <w:rPr>
          <w:rFonts w:cs="Arial"/>
        </w:rPr>
        <w:t>Handling Standards</w:t>
      </w:r>
    </w:p>
    <w:p w:rsidR="00321778" w:rsidRPr="002B1487" w:rsidRDefault="00321778" w:rsidP="00321778">
      <w:pPr>
        <w:pStyle w:val="NormalDS"/>
      </w:pPr>
      <w:r w:rsidRPr="002B1487">
        <w:t>The table below defines how data will be handled based on the classification level assigned to it.</w:t>
      </w:r>
    </w:p>
    <w:tbl>
      <w:tblPr>
        <w:tblW w:w="9783" w:type="dxa"/>
        <w:tblInd w:w="108" w:type="dxa"/>
        <w:tblLayout w:type="fixed"/>
        <w:tblLook w:val="0000" w:firstRow="0" w:lastRow="0" w:firstColumn="0" w:lastColumn="0" w:noHBand="0" w:noVBand="0"/>
      </w:tblPr>
      <w:tblGrid>
        <w:gridCol w:w="1440"/>
        <w:gridCol w:w="990"/>
        <w:gridCol w:w="1170"/>
        <w:gridCol w:w="990"/>
        <w:gridCol w:w="1323"/>
        <w:gridCol w:w="27"/>
        <w:gridCol w:w="873"/>
        <w:gridCol w:w="1080"/>
        <w:gridCol w:w="810"/>
        <w:gridCol w:w="1080"/>
      </w:tblGrid>
      <w:tr w:rsidR="00321778" w:rsidRPr="00F822F1" w:rsidTr="00315EFC">
        <w:trPr>
          <w:trHeight w:val="260"/>
          <w:tblHeader/>
        </w:trPr>
        <w:tc>
          <w:tcPr>
            <w:tcW w:w="1440"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rPr>
              <w:lastRenderedPageBreak/>
              <w:t>Description</w:t>
            </w:r>
          </w:p>
        </w:tc>
        <w:tc>
          <w:tcPr>
            <w:tcW w:w="990" w:type="dxa"/>
            <w:tcBorders>
              <w:top w:val="single" w:sz="6" w:space="0" w:color="000000"/>
              <w:left w:val="single" w:sz="6" w:space="0" w:color="000000"/>
              <w:bottom w:val="single" w:sz="6" w:space="0" w:color="000000"/>
              <w:right w:val="single" w:sz="6" w:space="0" w:color="000000"/>
            </w:tcBorders>
            <w:shd w:val="clear" w:color="auto" w:fill="FF0000"/>
            <w:vAlign w:val="center"/>
          </w:tcPr>
          <w:p w:rsidR="00321778" w:rsidRPr="002B1487" w:rsidRDefault="00321778" w:rsidP="00315EFC">
            <w:pPr>
              <w:pStyle w:val="NormalDS"/>
              <w:rPr>
                <w:b/>
                <w:sz w:val="24"/>
                <w:szCs w:val="24"/>
              </w:rPr>
            </w:pPr>
            <w:r w:rsidRPr="002B1487">
              <w:rPr>
                <w:b/>
                <w:sz w:val="24"/>
                <w:szCs w:val="24"/>
              </w:rPr>
              <w:t xml:space="preserve">HBI - </w:t>
            </w:r>
            <w:r w:rsidRPr="00BB2BFB">
              <w:rPr>
                <w:b/>
                <w:sz w:val="18"/>
              </w:rPr>
              <w:t>RED</w:t>
            </w:r>
          </w:p>
        </w:tc>
        <w:tc>
          <w:tcPr>
            <w:tcW w:w="1170"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sz w:val="24"/>
                <w:szCs w:val="24"/>
              </w:rPr>
              <w:t xml:space="preserve">High </w:t>
            </w:r>
            <w:r w:rsidRPr="002B1487">
              <w:rPr>
                <w:b/>
              </w:rPr>
              <w:t>Business Impact</w:t>
            </w:r>
          </w:p>
        </w:tc>
        <w:tc>
          <w:tcPr>
            <w:tcW w:w="990" w:type="dxa"/>
            <w:tcBorders>
              <w:top w:val="single" w:sz="6" w:space="0" w:color="000000"/>
              <w:left w:val="single" w:sz="6" w:space="0" w:color="000000"/>
              <w:bottom w:val="single" w:sz="6" w:space="0" w:color="000000"/>
              <w:right w:val="single" w:sz="6" w:space="0" w:color="000000"/>
            </w:tcBorders>
            <w:shd w:val="clear" w:color="auto" w:fill="FFFF00"/>
            <w:vAlign w:val="center"/>
          </w:tcPr>
          <w:p w:rsidR="00321778" w:rsidRPr="002B1487" w:rsidRDefault="00321778" w:rsidP="00315EFC">
            <w:pPr>
              <w:pStyle w:val="NormalDS"/>
              <w:rPr>
                <w:b/>
                <w:sz w:val="24"/>
                <w:szCs w:val="24"/>
              </w:rPr>
            </w:pPr>
            <w:r w:rsidRPr="002B1487">
              <w:rPr>
                <w:b/>
                <w:sz w:val="24"/>
                <w:szCs w:val="24"/>
              </w:rPr>
              <w:t xml:space="preserve">MBI - </w:t>
            </w:r>
            <w:r w:rsidRPr="00BB2BFB">
              <w:rPr>
                <w:b/>
                <w:sz w:val="18"/>
              </w:rPr>
              <w:t>YELLOW</w:t>
            </w:r>
          </w:p>
        </w:tc>
        <w:tc>
          <w:tcPr>
            <w:tcW w:w="1350" w:type="dxa"/>
            <w:gridSpan w:val="2"/>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sz w:val="24"/>
                <w:szCs w:val="24"/>
              </w:rPr>
              <w:t xml:space="preserve">Moderate </w:t>
            </w:r>
            <w:r w:rsidRPr="002B1487">
              <w:rPr>
                <w:b/>
              </w:rPr>
              <w:t>Business Impact</w:t>
            </w:r>
          </w:p>
        </w:tc>
        <w:tc>
          <w:tcPr>
            <w:tcW w:w="873" w:type="dxa"/>
            <w:tcBorders>
              <w:top w:val="single" w:sz="6" w:space="0" w:color="000000"/>
              <w:left w:val="single" w:sz="6" w:space="0" w:color="000000"/>
              <w:bottom w:val="single" w:sz="6" w:space="0" w:color="000000"/>
              <w:right w:val="single" w:sz="6" w:space="0" w:color="000000"/>
            </w:tcBorders>
            <w:shd w:val="clear" w:color="auto" w:fill="92D050"/>
            <w:vAlign w:val="center"/>
          </w:tcPr>
          <w:p w:rsidR="00321778" w:rsidRPr="002B1487" w:rsidRDefault="00321778" w:rsidP="00315EFC">
            <w:pPr>
              <w:pStyle w:val="NormalDS"/>
              <w:rPr>
                <w:b/>
                <w:sz w:val="24"/>
                <w:szCs w:val="24"/>
              </w:rPr>
            </w:pPr>
            <w:r w:rsidRPr="002B1487">
              <w:rPr>
                <w:b/>
                <w:sz w:val="24"/>
                <w:szCs w:val="24"/>
              </w:rPr>
              <w:t xml:space="preserve">LBI - </w:t>
            </w:r>
            <w:r w:rsidRPr="00BB2BFB">
              <w:rPr>
                <w:b/>
                <w:sz w:val="18"/>
              </w:rPr>
              <w:t>GREEN</w:t>
            </w:r>
          </w:p>
        </w:tc>
        <w:tc>
          <w:tcPr>
            <w:tcW w:w="1080"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sz w:val="24"/>
                <w:szCs w:val="24"/>
              </w:rPr>
              <w:t xml:space="preserve">Low </w:t>
            </w:r>
            <w:r w:rsidRPr="002B1487">
              <w:rPr>
                <w:b/>
              </w:rPr>
              <w:t>Business Impact</w:t>
            </w:r>
          </w:p>
        </w:tc>
        <w:tc>
          <w:tcPr>
            <w:tcW w:w="810" w:type="dxa"/>
            <w:tcBorders>
              <w:top w:val="single" w:sz="6" w:space="0" w:color="000000"/>
              <w:left w:val="single" w:sz="6" w:space="0" w:color="000000"/>
              <w:bottom w:val="single" w:sz="6" w:space="0" w:color="000000"/>
              <w:right w:val="single" w:sz="6" w:space="0" w:color="000000"/>
            </w:tcBorders>
            <w:shd w:val="clear" w:color="auto" w:fill="00B0F0"/>
            <w:vAlign w:val="center"/>
          </w:tcPr>
          <w:p w:rsidR="00321778" w:rsidRPr="002B1487" w:rsidRDefault="00321778" w:rsidP="00315EFC">
            <w:pPr>
              <w:pStyle w:val="NormalDS"/>
              <w:rPr>
                <w:b/>
                <w:sz w:val="24"/>
                <w:szCs w:val="24"/>
              </w:rPr>
            </w:pPr>
            <w:r w:rsidRPr="002B1487">
              <w:rPr>
                <w:b/>
                <w:sz w:val="24"/>
                <w:szCs w:val="24"/>
              </w:rPr>
              <w:t xml:space="preserve">NBI - </w:t>
            </w:r>
            <w:r w:rsidRPr="00BB2BFB">
              <w:rPr>
                <w:b/>
                <w:sz w:val="18"/>
              </w:rPr>
              <w:t>BLUE</w:t>
            </w:r>
          </w:p>
        </w:tc>
        <w:tc>
          <w:tcPr>
            <w:tcW w:w="1080" w:type="dxa"/>
            <w:tcBorders>
              <w:top w:val="single" w:sz="6" w:space="0" w:color="000000"/>
              <w:left w:val="single" w:sz="6" w:space="0" w:color="000000"/>
              <w:bottom w:val="single" w:sz="6" w:space="0" w:color="000000"/>
              <w:right w:val="single" w:sz="6" w:space="0" w:color="000000"/>
            </w:tcBorders>
            <w:vAlign w:val="center"/>
          </w:tcPr>
          <w:p w:rsidR="00321778" w:rsidRPr="002B1487" w:rsidRDefault="00321778" w:rsidP="00315EFC">
            <w:pPr>
              <w:pStyle w:val="NormalDS"/>
              <w:rPr>
                <w:b/>
              </w:rPr>
            </w:pPr>
            <w:r w:rsidRPr="002B1487">
              <w:rPr>
                <w:b/>
                <w:sz w:val="24"/>
                <w:szCs w:val="24"/>
              </w:rPr>
              <w:t>No</w:t>
            </w:r>
            <w:r w:rsidRPr="002B1487">
              <w:rPr>
                <w:b/>
              </w:rPr>
              <w:t xml:space="preserve"> Business Impact</w:t>
            </w:r>
          </w:p>
        </w:tc>
      </w:tr>
      <w:tr w:rsidR="00321778" w:rsidTr="00315EFC">
        <w:trPr>
          <w:trHeight w:val="897"/>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Access Request</w:t>
            </w:r>
          </w:p>
        </w:tc>
        <w:tc>
          <w:tcPr>
            <w:tcW w:w="216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Access request must be </w:t>
            </w:r>
            <w:r>
              <w:rPr>
                <w:sz w:val="16"/>
                <w:szCs w:val="16"/>
              </w:rPr>
              <w:t xml:space="preserve">documented and </w:t>
            </w:r>
            <w:r w:rsidRPr="00F822F1">
              <w:rPr>
                <w:sz w:val="16"/>
                <w:szCs w:val="16"/>
              </w:rPr>
              <w:t>managed in a centralized repository</w:t>
            </w:r>
            <w:r>
              <w:rPr>
                <w:sz w:val="16"/>
                <w:szCs w:val="16"/>
              </w:rPr>
              <w:t xml:space="preserve"> (either local, regional or global)</w:t>
            </w:r>
          </w:p>
        </w:tc>
        <w:tc>
          <w:tcPr>
            <w:tcW w:w="2340" w:type="dxa"/>
            <w:gridSpan w:val="3"/>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Access request must be </w:t>
            </w:r>
            <w:r>
              <w:rPr>
                <w:sz w:val="16"/>
                <w:szCs w:val="16"/>
              </w:rPr>
              <w:t xml:space="preserve">documented and </w:t>
            </w:r>
            <w:r w:rsidRPr="00F822F1">
              <w:rPr>
                <w:sz w:val="16"/>
                <w:szCs w:val="16"/>
              </w:rPr>
              <w:t>managed in a centralized repository</w:t>
            </w:r>
            <w:r>
              <w:rPr>
                <w:sz w:val="16"/>
                <w:szCs w:val="16"/>
              </w:rPr>
              <w:t xml:space="preserve"> (either local, regional or global)</w:t>
            </w:r>
            <w:r w:rsidRPr="00F822F1">
              <w:rPr>
                <w:sz w:val="16"/>
                <w:szCs w:val="16"/>
              </w:rPr>
              <w:t>.</w:t>
            </w:r>
          </w:p>
        </w:tc>
        <w:tc>
          <w:tcPr>
            <w:tcW w:w="1953"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Access request must be documented.</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No special precautions necessary.</w:t>
            </w:r>
          </w:p>
        </w:tc>
      </w:tr>
      <w:tr w:rsidR="00321778" w:rsidTr="00315EFC">
        <w:trPr>
          <w:trHeight w:val="897"/>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Access Review</w:t>
            </w:r>
          </w:p>
        </w:tc>
        <w:tc>
          <w:tcPr>
            <w:tcW w:w="216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Data access must be reviewed by data owner quarterly </w:t>
            </w:r>
            <w:r>
              <w:rPr>
                <w:sz w:val="16"/>
                <w:szCs w:val="16"/>
              </w:rPr>
              <w:t>with the review documented</w:t>
            </w:r>
          </w:p>
        </w:tc>
        <w:tc>
          <w:tcPr>
            <w:tcW w:w="2340" w:type="dxa"/>
            <w:gridSpan w:val="3"/>
            <w:tcBorders>
              <w:top w:val="single" w:sz="6" w:space="0" w:color="000000"/>
              <w:left w:val="single" w:sz="6" w:space="0" w:color="000000"/>
              <w:bottom w:val="single" w:sz="6" w:space="0" w:color="000000"/>
              <w:right w:val="single" w:sz="6" w:space="0" w:color="000000"/>
            </w:tcBorders>
            <w:vAlign w:val="center"/>
          </w:tcPr>
          <w:p w:rsidR="00321778" w:rsidRPr="00091346" w:rsidRDefault="00321778" w:rsidP="00315EFC">
            <w:pPr>
              <w:pStyle w:val="NormalDS"/>
              <w:rPr>
                <w:b/>
                <w:sz w:val="16"/>
                <w:szCs w:val="16"/>
              </w:rPr>
            </w:pPr>
            <w:r w:rsidRPr="00F822F1">
              <w:rPr>
                <w:sz w:val="16"/>
                <w:szCs w:val="16"/>
              </w:rPr>
              <w:t xml:space="preserve">Data access must be reviewed by data owner quarterly </w:t>
            </w:r>
            <w:r>
              <w:rPr>
                <w:sz w:val="16"/>
                <w:szCs w:val="16"/>
              </w:rPr>
              <w:t>with the review documented</w:t>
            </w:r>
          </w:p>
        </w:tc>
        <w:tc>
          <w:tcPr>
            <w:tcW w:w="1953"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Data access must be reviewed by data owner </w:t>
            </w:r>
            <w:r>
              <w:rPr>
                <w:sz w:val="16"/>
                <w:szCs w:val="16"/>
              </w:rPr>
              <w:t>annually with the review documented</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No special </w:t>
            </w:r>
            <w:r>
              <w:rPr>
                <w:sz w:val="16"/>
                <w:szCs w:val="16"/>
              </w:rPr>
              <w:t xml:space="preserve">review </w:t>
            </w:r>
            <w:r w:rsidRPr="00F822F1">
              <w:rPr>
                <w:sz w:val="16"/>
                <w:szCs w:val="16"/>
              </w:rPr>
              <w:t>necessary</w:t>
            </w:r>
          </w:p>
        </w:tc>
      </w:tr>
      <w:tr w:rsidR="00321778" w:rsidTr="00315EFC">
        <w:trPr>
          <w:trHeight w:val="897"/>
        </w:trPr>
        <w:tc>
          <w:tcPr>
            <w:tcW w:w="1440" w:type="dxa"/>
            <w:tcBorders>
              <w:top w:val="single" w:sz="6" w:space="0" w:color="000000"/>
              <w:left w:val="single" w:sz="6" w:space="0" w:color="000000"/>
              <w:bottom w:val="single" w:sz="6" w:space="0" w:color="000000"/>
              <w:right w:val="single" w:sz="6" w:space="0" w:color="000000"/>
            </w:tcBorders>
            <w:shd w:val="clear" w:color="auto" w:fill="C0C0C0"/>
          </w:tcPr>
          <w:p w:rsidR="00321778" w:rsidRPr="002B1487" w:rsidRDefault="00321778" w:rsidP="00315EFC">
            <w:pPr>
              <w:pStyle w:val="NormalDS"/>
              <w:rPr>
                <w:b/>
              </w:rPr>
            </w:pPr>
            <w:r w:rsidRPr="002B1487">
              <w:rPr>
                <w:b/>
              </w:rPr>
              <w:t xml:space="preserve">Internal Sharing (Which </w:t>
            </w:r>
            <w:r>
              <w:rPr>
                <w:b/>
              </w:rPr>
              <w:t>Alight</w:t>
            </w:r>
            <w:r w:rsidRPr="002B1487">
              <w:rPr>
                <w:b/>
              </w:rPr>
              <w:t xml:space="preserve"> Workers Can Have Access) </w:t>
            </w:r>
          </w:p>
        </w:tc>
        <w:tc>
          <w:tcPr>
            <w:tcW w:w="216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Access restricted to authorized </w:t>
            </w:r>
            <w:r w:rsidRPr="00F822F1">
              <w:rPr>
                <w:bCs/>
                <w:sz w:val="16"/>
                <w:szCs w:val="16"/>
              </w:rPr>
              <w:t>individuals</w:t>
            </w:r>
            <w:r w:rsidRPr="00F822F1">
              <w:rPr>
                <w:sz w:val="16"/>
                <w:szCs w:val="16"/>
              </w:rPr>
              <w:t xml:space="preserve"> by name on a need-to-know or use basis</w:t>
            </w:r>
          </w:p>
        </w:tc>
        <w:tc>
          <w:tcPr>
            <w:tcW w:w="2340" w:type="dxa"/>
            <w:gridSpan w:val="3"/>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Access restricted to authorized </w:t>
            </w:r>
            <w:r w:rsidRPr="00F822F1">
              <w:rPr>
                <w:bCs/>
                <w:sz w:val="16"/>
                <w:szCs w:val="16"/>
              </w:rPr>
              <w:t>groups</w:t>
            </w:r>
            <w:r w:rsidRPr="00F822F1">
              <w:rPr>
                <w:sz w:val="16"/>
                <w:szCs w:val="16"/>
              </w:rPr>
              <w:t xml:space="preserve"> (e.g., project team) on a need-to know or use basis</w:t>
            </w:r>
          </w:p>
        </w:tc>
        <w:tc>
          <w:tcPr>
            <w:tcW w:w="1953"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Unrestricted access within </w:t>
            </w:r>
            <w:r>
              <w:rPr>
                <w:sz w:val="16"/>
                <w:szCs w:val="16"/>
              </w:rPr>
              <w:t>Alight</w:t>
            </w:r>
            <w:r w:rsidRPr="00F822F1">
              <w:rPr>
                <w:sz w:val="16"/>
                <w:szCs w:val="16"/>
              </w:rPr>
              <w:t xml:space="preserve"> – available to any employee or contracted staff. Not to be shared with the public.</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Share with anyone. No restrictions.</w:t>
            </w:r>
          </w:p>
        </w:tc>
      </w:tr>
      <w:tr w:rsidR="00321778" w:rsidTr="00315EFC">
        <w:trPr>
          <w:trHeight w:val="2537"/>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External Sharing:</w:t>
            </w:r>
          </w:p>
          <w:p w:rsidR="00321778" w:rsidRPr="002B1487" w:rsidRDefault="00321778" w:rsidP="00315EFC">
            <w:pPr>
              <w:pStyle w:val="NormalDS"/>
              <w:rPr>
                <w:b/>
              </w:rPr>
            </w:pPr>
            <w:r w:rsidRPr="002B1487">
              <w:rPr>
                <w:b/>
                <w:sz w:val="16"/>
                <w:szCs w:val="16"/>
              </w:rPr>
              <w:t>Which non-</w:t>
            </w:r>
            <w:r>
              <w:rPr>
                <w:b/>
                <w:sz w:val="16"/>
                <w:szCs w:val="16"/>
              </w:rPr>
              <w:t>Alight</w:t>
            </w:r>
            <w:r w:rsidRPr="002B1487">
              <w:rPr>
                <w:b/>
                <w:sz w:val="16"/>
                <w:szCs w:val="16"/>
              </w:rPr>
              <w:t xml:space="preserve"> entities can have access</w:t>
            </w:r>
          </w:p>
        </w:tc>
        <w:tc>
          <w:tcPr>
            <w:tcW w:w="216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 xml:space="preserve">Scope of access granted </w:t>
            </w:r>
            <w:r w:rsidRPr="00F822F1">
              <w:rPr>
                <w:sz w:val="16"/>
                <w:szCs w:val="16"/>
              </w:rPr>
              <w:t xml:space="preserve">to </w:t>
            </w:r>
            <w:proofErr w:type="gramStart"/>
            <w:r w:rsidRPr="00F822F1">
              <w:rPr>
                <w:sz w:val="16"/>
                <w:szCs w:val="16"/>
              </w:rPr>
              <w:t>authorized</w:t>
            </w:r>
            <w:proofErr w:type="gramEnd"/>
            <w:r w:rsidRPr="00F822F1">
              <w:rPr>
                <w:sz w:val="16"/>
                <w:szCs w:val="16"/>
              </w:rPr>
              <w:t xml:space="preserve"> </w:t>
            </w:r>
            <w:r>
              <w:rPr>
                <w:sz w:val="16"/>
                <w:szCs w:val="16"/>
              </w:rPr>
              <w:t>3</w:t>
            </w:r>
            <w:r w:rsidRPr="007041A7">
              <w:rPr>
                <w:sz w:val="16"/>
                <w:szCs w:val="16"/>
                <w:vertAlign w:val="superscript"/>
              </w:rPr>
              <w:t>rd</w:t>
            </w:r>
            <w:r>
              <w:rPr>
                <w:sz w:val="16"/>
                <w:szCs w:val="16"/>
              </w:rPr>
              <w:t xml:space="preserve"> parties must be </w:t>
            </w:r>
            <w:r w:rsidRPr="00F822F1">
              <w:rPr>
                <w:sz w:val="16"/>
                <w:szCs w:val="16"/>
              </w:rPr>
              <w:t xml:space="preserve">on a need-to-know basis. </w:t>
            </w:r>
            <w:r>
              <w:rPr>
                <w:sz w:val="16"/>
                <w:szCs w:val="16"/>
              </w:rPr>
              <w:t>Data</w:t>
            </w:r>
            <w:r w:rsidRPr="00F822F1">
              <w:rPr>
                <w:sz w:val="16"/>
                <w:szCs w:val="16"/>
              </w:rPr>
              <w:t xml:space="preserve"> owner must approve. </w:t>
            </w:r>
            <w:r>
              <w:rPr>
                <w:sz w:val="16"/>
                <w:szCs w:val="16"/>
              </w:rPr>
              <w:t xml:space="preserve">An NDA MUST </w:t>
            </w:r>
            <w:proofErr w:type="gramStart"/>
            <w:r>
              <w:rPr>
                <w:sz w:val="16"/>
                <w:szCs w:val="16"/>
              </w:rPr>
              <w:t>be</w:t>
            </w:r>
            <w:proofErr w:type="gramEnd"/>
            <w:r>
              <w:rPr>
                <w:sz w:val="16"/>
                <w:szCs w:val="16"/>
              </w:rPr>
              <w:t xml:space="preserve"> in place. </w:t>
            </w:r>
            <w:r w:rsidRPr="00F822F1">
              <w:rPr>
                <w:i/>
                <w:iCs/>
                <w:sz w:val="16"/>
                <w:szCs w:val="16"/>
              </w:rPr>
              <w:t xml:space="preserve">Verify that documented permission from the </w:t>
            </w:r>
            <w:r>
              <w:rPr>
                <w:i/>
                <w:iCs/>
                <w:sz w:val="16"/>
                <w:szCs w:val="16"/>
              </w:rPr>
              <w:t xml:space="preserve">applicable </w:t>
            </w:r>
            <w:proofErr w:type="gramStart"/>
            <w:r w:rsidRPr="00F822F1">
              <w:rPr>
                <w:i/>
                <w:iCs/>
                <w:sz w:val="16"/>
                <w:szCs w:val="16"/>
              </w:rPr>
              <w:t>client</w:t>
            </w:r>
            <w:r>
              <w:rPr>
                <w:i/>
                <w:iCs/>
                <w:sz w:val="16"/>
                <w:szCs w:val="16"/>
              </w:rPr>
              <w:t xml:space="preserve">s </w:t>
            </w:r>
            <w:r w:rsidRPr="00F822F1">
              <w:rPr>
                <w:i/>
                <w:iCs/>
                <w:sz w:val="16"/>
                <w:szCs w:val="16"/>
              </w:rPr>
              <w:t xml:space="preserve"> has</w:t>
            </w:r>
            <w:proofErr w:type="gramEnd"/>
            <w:r w:rsidRPr="00F822F1">
              <w:rPr>
                <w:i/>
                <w:iCs/>
                <w:sz w:val="16"/>
                <w:szCs w:val="16"/>
              </w:rPr>
              <w:t xml:space="preserve"> been provided, when appropriate.</w:t>
            </w:r>
          </w:p>
        </w:tc>
        <w:tc>
          <w:tcPr>
            <w:tcW w:w="4293" w:type="dxa"/>
            <w:gridSpan w:val="5"/>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Disclose to </w:t>
            </w:r>
            <w:proofErr w:type="gramStart"/>
            <w:r w:rsidRPr="00F822F1">
              <w:rPr>
                <w:sz w:val="16"/>
                <w:szCs w:val="16"/>
              </w:rPr>
              <w:t>authorized</w:t>
            </w:r>
            <w:proofErr w:type="gramEnd"/>
            <w:r w:rsidRPr="00F822F1">
              <w:rPr>
                <w:sz w:val="16"/>
                <w:szCs w:val="16"/>
              </w:rPr>
              <w:t xml:space="preserve"> business partners only on a need-to know basis and with a signed non-disclosure agreement. </w:t>
            </w:r>
            <w:r>
              <w:rPr>
                <w:sz w:val="16"/>
                <w:szCs w:val="16"/>
              </w:rPr>
              <w:t>Data</w:t>
            </w:r>
            <w:r w:rsidRPr="00F822F1">
              <w:rPr>
                <w:sz w:val="16"/>
                <w:szCs w:val="16"/>
              </w:rPr>
              <w:t xml:space="preserve"> owner must approve.</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Share with anyone. No restrictions.</w:t>
            </w:r>
          </w:p>
        </w:tc>
      </w:tr>
      <w:tr w:rsidR="00321778" w:rsidTr="00315EFC">
        <w:trPr>
          <w:trHeight w:val="1075"/>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Storage </w:t>
            </w:r>
          </w:p>
        </w:tc>
        <w:tc>
          <w:tcPr>
            <w:tcW w:w="4473" w:type="dxa"/>
            <w:gridSpan w:val="4"/>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Data</w:t>
            </w:r>
            <w:r w:rsidRPr="00F822F1">
              <w:rPr>
                <w:sz w:val="16"/>
                <w:szCs w:val="16"/>
              </w:rPr>
              <w:t xml:space="preserve"> must be in your control. Move all restrictive and confidential </w:t>
            </w:r>
            <w:r>
              <w:rPr>
                <w:sz w:val="16"/>
                <w:szCs w:val="16"/>
              </w:rPr>
              <w:t>data</w:t>
            </w:r>
            <w:r w:rsidRPr="00F822F1">
              <w:rPr>
                <w:sz w:val="16"/>
                <w:szCs w:val="16"/>
              </w:rPr>
              <w:t xml:space="preserve"> from your work area into a secure location at the end of each workday. Cryptographic protection may be required for the storage of electronic </w:t>
            </w:r>
            <w:r>
              <w:rPr>
                <w:sz w:val="16"/>
                <w:szCs w:val="16"/>
              </w:rPr>
              <w:t>data</w:t>
            </w:r>
            <w:r w:rsidRPr="00F822F1">
              <w:rPr>
                <w:sz w:val="16"/>
                <w:szCs w:val="16"/>
              </w:rPr>
              <w:t>.</w:t>
            </w:r>
          </w:p>
        </w:tc>
        <w:tc>
          <w:tcPr>
            <w:tcW w:w="1980" w:type="dxa"/>
            <w:gridSpan w:val="3"/>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Take reasonable precautions to restrict access to electronic and hard copy data.</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No special precautions necessary.</w:t>
            </w:r>
          </w:p>
        </w:tc>
      </w:tr>
      <w:tr w:rsidR="00321778" w:rsidTr="00315EFC">
        <w:trPr>
          <w:trHeight w:val="1782"/>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Copying and printing </w:t>
            </w:r>
          </w:p>
        </w:tc>
        <w:tc>
          <w:tcPr>
            <w:tcW w:w="216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U</w:t>
            </w:r>
            <w:r w:rsidRPr="00F822F1">
              <w:rPr>
                <w:sz w:val="16"/>
                <w:szCs w:val="16"/>
              </w:rPr>
              <w:t xml:space="preserve">sers must use secure printing or print to their own local printer. Printers </w:t>
            </w:r>
            <w:r>
              <w:rPr>
                <w:sz w:val="16"/>
                <w:szCs w:val="16"/>
              </w:rPr>
              <w:t xml:space="preserve">and copiers </w:t>
            </w:r>
            <w:r w:rsidRPr="00F822F1">
              <w:rPr>
                <w:sz w:val="16"/>
                <w:szCs w:val="16"/>
              </w:rPr>
              <w:t xml:space="preserve">must not be left unattended when </w:t>
            </w:r>
            <w:r>
              <w:rPr>
                <w:sz w:val="16"/>
                <w:szCs w:val="16"/>
              </w:rPr>
              <w:t>HBI</w:t>
            </w:r>
            <w:r w:rsidRPr="00F822F1">
              <w:rPr>
                <w:sz w:val="16"/>
                <w:szCs w:val="16"/>
              </w:rPr>
              <w:t xml:space="preserve"> </w:t>
            </w:r>
            <w:r>
              <w:rPr>
                <w:sz w:val="16"/>
                <w:szCs w:val="16"/>
              </w:rPr>
              <w:t>data</w:t>
            </w:r>
            <w:r w:rsidRPr="00F822F1">
              <w:rPr>
                <w:sz w:val="16"/>
                <w:szCs w:val="16"/>
              </w:rPr>
              <w:t xml:space="preserve"> is </w:t>
            </w:r>
            <w:proofErr w:type="gramStart"/>
            <w:r w:rsidRPr="00F822F1">
              <w:rPr>
                <w:sz w:val="16"/>
                <w:szCs w:val="16"/>
              </w:rPr>
              <w:t>printed</w:t>
            </w:r>
            <w:r>
              <w:rPr>
                <w:sz w:val="16"/>
                <w:szCs w:val="16"/>
              </w:rPr>
              <w:t>/copied</w:t>
            </w:r>
            <w:proofErr w:type="gramEnd"/>
            <w:r w:rsidRPr="00F822F1">
              <w:rPr>
                <w:sz w:val="16"/>
                <w:szCs w:val="16"/>
              </w:rPr>
              <w:t xml:space="preserve"> or will soon be printed</w:t>
            </w:r>
            <w:r>
              <w:rPr>
                <w:sz w:val="16"/>
                <w:szCs w:val="16"/>
              </w:rPr>
              <w:t>/copied</w:t>
            </w:r>
            <w:r w:rsidRPr="00F822F1">
              <w:rPr>
                <w:sz w:val="16"/>
                <w:szCs w:val="16"/>
              </w:rPr>
              <w:t>.</w:t>
            </w:r>
            <w:r>
              <w:rPr>
                <w:sz w:val="16"/>
                <w:szCs w:val="16"/>
              </w:rPr>
              <w:t xml:space="preserve"> Take reasonable precautions to restrict unauthorized access to copies.</w:t>
            </w:r>
          </w:p>
        </w:tc>
        <w:tc>
          <w:tcPr>
            <w:tcW w:w="2313"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I</w:t>
            </w:r>
            <w:r w:rsidRPr="00F822F1">
              <w:rPr>
                <w:sz w:val="16"/>
                <w:szCs w:val="16"/>
              </w:rPr>
              <w:t>n-house printing</w:t>
            </w:r>
            <w:r>
              <w:rPr>
                <w:sz w:val="16"/>
                <w:szCs w:val="16"/>
              </w:rPr>
              <w:t>/copying</w:t>
            </w:r>
            <w:r w:rsidRPr="00F822F1">
              <w:rPr>
                <w:sz w:val="16"/>
                <w:szCs w:val="16"/>
              </w:rPr>
              <w:t xml:space="preserve"> is preferred. Destroy spoilage, overruns, </w:t>
            </w:r>
            <w:proofErr w:type="gramStart"/>
            <w:r w:rsidRPr="00F822F1">
              <w:rPr>
                <w:sz w:val="16"/>
                <w:szCs w:val="16"/>
              </w:rPr>
              <w:t>etc</w:t>
            </w:r>
            <w:proofErr w:type="gramEnd"/>
            <w:r>
              <w:rPr>
                <w:sz w:val="16"/>
                <w:szCs w:val="16"/>
              </w:rPr>
              <w:t>. take reasonable precautions to restrict unauthorized access to copies.</w:t>
            </w:r>
          </w:p>
        </w:tc>
        <w:tc>
          <w:tcPr>
            <w:tcW w:w="1980" w:type="dxa"/>
            <w:gridSpan w:val="3"/>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Take reasonable precautions to restrict </w:t>
            </w:r>
            <w:r>
              <w:rPr>
                <w:sz w:val="16"/>
                <w:szCs w:val="16"/>
              </w:rPr>
              <w:t xml:space="preserve">unauthorized </w:t>
            </w:r>
            <w:r w:rsidRPr="00F822F1">
              <w:rPr>
                <w:sz w:val="16"/>
                <w:szCs w:val="16"/>
              </w:rPr>
              <w:t>access to copies.</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No special precautions necessary.</w:t>
            </w:r>
          </w:p>
        </w:tc>
      </w:tr>
      <w:tr w:rsidR="00321778" w:rsidTr="00315EFC">
        <w:trPr>
          <w:trHeight w:val="1427"/>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lastRenderedPageBreak/>
              <w:t xml:space="preserve">Disposal </w:t>
            </w:r>
          </w:p>
        </w:tc>
        <w:tc>
          <w:tcPr>
            <w:tcW w:w="4473" w:type="dxa"/>
            <w:gridSpan w:val="4"/>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Dispose in accordance with the Record Retention Policy. Destroy electronic </w:t>
            </w:r>
            <w:r>
              <w:rPr>
                <w:sz w:val="16"/>
                <w:szCs w:val="16"/>
              </w:rPr>
              <w:t>data</w:t>
            </w:r>
            <w:r w:rsidRPr="00F822F1">
              <w:rPr>
                <w:sz w:val="16"/>
                <w:szCs w:val="16"/>
              </w:rPr>
              <w:t xml:space="preserve"> by </w:t>
            </w:r>
            <w:r>
              <w:rPr>
                <w:sz w:val="16"/>
                <w:szCs w:val="16"/>
              </w:rPr>
              <w:t xml:space="preserve">completely </w:t>
            </w:r>
            <w:r w:rsidRPr="00F822F1">
              <w:rPr>
                <w:sz w:val="16"/>
                <w:szCs w:val="16"/>
              </w:rPr>
              <w:t>overwriting or by physically destroying media.</w:t>
            </w:r>
            <w:r>
              <w:rPr>
                <w:sz w:val="16"/>
                <w:szCs w:val="16"/>
              </w:rPr>
              <w:t xml:space="preserve"> </w:t>
            </w:r>
            <w:r w:rsidRPr="00F822F1">
              <w:rPr>
                <w:sz w:val="16"/>
                <w:szCs w:val="16"/>
              </w:rPr>
              <w:t xml:space="preserve">Paper and CDs must be shredded with a crosscut shredder or stored in locked security trash </w:t>
            </w:r>
            <w:r>
              <w:rPr>
                <w:sz w:val="16"/>
                <w:szCs w:val="16"/>
              </w:rPr>
              <w:t>containers for secure shredding. If offsite, return to Alight for disposal.</w:t>
            </w:r>
          </w:p>
        </w:tc>
        <w:tc>
          <w:tcPr>
            <w:tcW w:w="1980" w:type="dxa"/>
            <w:gridSpan w:val="3"/>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 xml:space="preserve">Dispose in accordance with the Record Retention Policy. Delete electronic </w:t>
            </w:r>
            <w:r>
              <w:rPr>
                <w:sz w:val="16"/>
                <w:szCs w:val="16"/>
              </w:rPr>
              <w:t>data</w:t>
            </w:r>
            <w:r w:rsidRPr="00F822F1">
              <w:rPr>
                <w:sz w:val="16"/>
                <w:szCs w:val="16"/>
              </w:rPr>
              <w:t>. Paper and CDs must be shredded with a crosscut shredder or stored in locked security trash containers for secure shredding.</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No special precautions necessary.</w:t>
            </w:r>
          </w:p>
        </w:tc>
      </w:tr>
      <w:tr w:rsidR="00321778" w:rsidTr="00315EFC">
        <w:trPr>
          <w:trHeight w:val="545"/>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Encryption inside </w:t>
            </w:r>
            <w:r>
              <w:rPr>
                <w:b/>
              </w:rPr>
              <w:t>Alight</w:t>
            </w:r>
            <w:r w:rsidRPr="002B1487">
              <w:rPr>
                <w:b/>
              </w:rPr>
              <w:t xml:space="preserve"> </w:t>
            </w:r>
          </w:p>
        </w:tc>
        <w:tc>
          <w:tcPr>
            <w:tcW w:w="4473" w:type="dxa"/>
            <w:gridSpan w:val="4"/>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If data must be encrypted in order to meet specific statutory, regulatory, and/or client requirements, only u</w:t>
            </w:r>
            <w:r w:rsidRPr="00F822F1">
              <w:rPr>
                <w:sz w:val="16"/>
                <w:szCs w:val="16"/>
              </w:rPr>
              <w:t xml:space="preserve">se </w:t>
            </w:r>
            <w:r>
              <w:rPr>
                <w:sz w:val="16"/>
                <w:szCs w:val="16"/>
              </w:rPr>
              <w:t xml:space="preserve">encryption </w:t>
            </w:r>
            <w:r w:rsidRPr="00F822F1">
              <w:rPr>
                <w:sz w:val="16"/>
                <w:szCs w:val="16"/>
              </w:rPr>
              <w:t xml:space="preserve">solution </w:t>
            </w:r>
            <w:r>
              <w:rPr>
                <w:sz w:val="16"/>
                <w:szCs w:val="16"/>
              </w:rPr>
              <w:t xml:space="preserve">that meets solutions in the encryption standard </w:t>
            </w:r>
            <w:r w:rsidRPr="00F822F1">
              <w:rPr>
                <w:sz w:val="16"/>
                <w:szCs w:val="16"/>
              </w:rPr>
              <w:t xml:space="preserve">to encrypt </w:t>
            </w:r>
            <w:r>
              <w:rPr>
                <w:sz w:val="16"/>
                <w:szCs w:val="16"/>
              </w:rPr>
              <w:t xml:space="preserve">data </w:t>
            </w:r>
            <w:r w:rsidRPr="00F822F1">
              <w:rPr>
                <w:sz w:val="16"/>
                <w:szCs w:val="16"/>
              </w:rPr>
              <w:t>in motion and</w:t>
            </w:r>
            <w:r>
              <w:rPr>
                <w:sz w:val="16"/>
                <w:szCs w:val="16"/>
              </w:rPr>
              <w:t xml:space="preserve">, when applicable, </w:t>
            </w:r>
            <w:r w:rsidRPr="00F822F1">
              <w:rPr>
                <w:sz w:val="16"/>
                <w:szCs w:val="16"/>
              </w:rPr>
              <w:t>at rest.</w:t>
            </w:r>
            <w:r>
              <w:rPr>
                <w:sz w:val="16"/>
                <w:szCs w:val="16"/>
              </w:rPr>
              <w:t xml:space="preserve">   Please refer to Alight’s Encryption Standard for more information.  </w:t>
            </w:r>
          </w:p>
        </w:tc>
        <w:tc>
          <w:tcPr>
            <w:tcW w:w="3870" w:type="dxa"/>
            <w:gridSpan w:val="5"/>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No special precautions necessary.</w:t>
            </w:r>
          </w:p>
        </w:tc>
      </w:tr>
      <w:tr w:rsidR="00321778" w:rsidTr="00315EFC">
        <w:trPr>
          <w:trHeight w:val="545"/>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Encryption outside </w:t>
            </w:r>
            <w:r>
              <w:rPr>
                <w:b/>
              </w:rPr>
              <w:t>Alight</w:t>
            </w:r>
            <w:r w:rsidRPr="002B1487">
              <w:rPr>
                <w:b/>
              </w:rPr>
              <w:t xml:space="preserve"> </w:t>
            </w:r>
          </w:p>
        </w:tc>
        <w:tc>
          <w:tcPr>
            <w:tcW w:w="6453" w:type="dxa"/>
            <w:gridSpan w:val="7"/>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Data must be encrypted in a manner that meets or exceeds Alight’s Encryption Standard to</w:t>
            </w:r>
            <w:r w:rsidRPr="00F822F1">
              <w:rPr>
                <w:sz w:val="16"/>
                <w:szCs w:val="16"/>
              </w:rPr>
              <w:t xml:space="preserve"> encrypt </w:t>
            </w:r>
            <w:r>
              <w:rPr>
                <w:sz w:val="16"/>
                <w:szCs w:val="16"/>
              </w:rPr>
              <w:t xml:space="preserve">data </w:t>
            </w:r>
            <w:r w:rsidRPr="00F822F1">
              <w:rPr>
                <w:sz w:val="16"/>
                <w:szCs w:val="16"/>
              </w:rPr>
              <w:t>in motion and</w:t>
            </w:r>
            <w:r>
              <w:rPr>
                <w:sz w:val="16"/>
                <w:szCs w:val="16"/>
              </w:rPr>
              <w:t xml:space="preserve">, where applicable, </w:t>
            </w:r>
            <w:r w:rsidRPr="00F822F1">
              <w:rPr>
                <w:sz w:val="16"/>
                <w:szCs w:val="16"/>
              </w:rPr>
              <w:t>at rest</w:t>
            </w:r>
            <w:r>
              <w:rPr>
                <w:sz w:val="16"/>
                <w:szCs w:val="16"/>
              </w:rPr>
              <w:t>.  Alight data MUST ALWAYS be encrypted when resident on mobile devices.</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No special precautions necessary.</w:t>
            </w:r>
          </w:p>
        </w:tc>
      </w:tr>
      <w:tr w:rsidR="00321778" w:rsidTr="00315EFC">
        <w:trPr>
          <w:trHeight w:val="1250"/>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E-mail </w:t>
            </w:r>
          </w:p>
        </w:tc>
        <w:tc>
          <w:tcPr>
            <w:tcW w:w="4473" w:type="dxa"/>
            <w:gridSpan w:val="4"/>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Always use secure email solution approved by Alight’s Security Team when sending outside of Alight. Do not send to recipient and email address you are not familiar with. Only send/forward to individuals authorized by data owner to access data</w:t>
            </w:r>
            <w:r w:rsidRPr="00F822F1">
              <w:rPr>
                <w:sz w:val="16"/>
                <w:szCs w:val="16"/>
              </w:rPr>
              <w:t>.</w:t>
            </w:r>
          </w:p>
        </w:tc>
        <w:tc>
          <w:tcPr>
            <w:tcW w:w="1980" w:type="dxa"/>
            <w:gridSpan w:val="3"/>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Pr>
                <w:sz w:val="16"/>
                <w:szCs w:val="16"/>
              </w:rPr>
              <w:t>Always use secure email solution approved by Alight’s Security Team when sending outside of Alight.</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F822F1" w:rsidRDefault="00321778" w:rsidP="00315EFC">
            <w:pPr>
              <w:pStyle w:val="NormalDS"/>
              <w:rPr>
                <w:sz w:val="16"/>
                <w:szCs w:val="16"/>
              </w:rPr>
            </w:pPr>
            <w:r w:rsidRPr="00F822F1">
              <w:rPr>
                <w:sz w:val="16"/>
                <w:szCs w:val="16"/>
              </w:rPr>
              <w:t>No special precautions necessary.</w:t>
            </w:r>
          </w:p>
        </w:tc>
      </w:tr>
      <w:tr w:rsidR="00321778" w:rsidTr="00315EFC">
        <w:trPr>
          <w:trHeight w:val="1605"/>
        </w:trPr>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 xml:space="preserve">Fax </w:t>
            </w:r>
          </w:p>
        </w:tc>
        <w:tc>
          <w:tcPr>
            <w:tcW w:w="4473" w:type="dxa"/>
            <w:gridSpan w:val="4"/>
            <w:tcBorders>
              <w:top w:val="single" w:sz="6" w:space="0" w:color="000000"/>
              <w:left w:val="single" w:sz="6" w:space="0" w:color="000000"/>
              <w:bottom w:val="single" w:sz="6" w:space="0" w:color="000000"/>
              <w:right w:val="single" w:sz="6" w:space="0" w:color="000000"/>
            </w:tcBorders>
            <w:vAlign w:val="center"/>
          </w:tcPr>
          <w:p w:rsidR="00321778" w:rsidRPr="00D34BB5" w:rsidRDefault="00321778" w:rsidP="00315EFC">
            <w:pPr>
              <w:pStyle w:val="NormalDS"/>
              <w:rPr>
                <w:sz w:val="16"/>
                <w:szCs w:val="16"/>
              </w:rPr>
            </w:pPr>
            <w:r>
              <w:rPr>
                <w:sz w:val="16"/>
                <w:szCs w:val="16"/>
              </w:rPr>
              <w:t>The authorized Alight s</w:t>
            </w:r>
            <w:r w:rsidRPr="00D34BB5">
              <w:rPr>
                <w:sz w:val="16"/>
                <w:szCs w:val="16"/>
              </w:rPr>
              <w:t>ender</w:t>
            </w:r>
            <w:r>
              <w:rPr>
                <w:sz w:val="16"/>
                <w:szCs w:val="16"/>
              </w:rPr>
              <w:t>/</w:t>
            </w:r>
            <w:r w:rsidRPr="00D34BB5">
              <w:rPr>
                <w:sz w:val="16"/>
                <w:szCs w:val="16"/>
              </w:rPr>
              <w:t xml:space="preserve">receiver must be at the fax machine until the transmission is complete. </w:t>
            </w:r>
            <w:r>
              <w:rPr>
                <w:sz w:val="16"/>
                <w:szCs w:val="16"/>
              </w:rPr>
              <w:t>Alight sender/r</w:t>
            </w:r>
            <w:r w:rsidRPr="00D34BB5">
              <w:rPr>
                <w:sz w:val="16"/>
                <w:szCs w:val="16"/>
              </w:rPr>
              <w:t>eceiver</w:t>
            </w:r>
            <w:r>
              <w:rPr>
                <w:sz w:val="16"/>
                <w:szCs w:val="16"/>
              </w:rPr>
              <w:t xml:space="preserve"> </w:t>
            </w:r>
            <w:r w:rsidRPr="00D34BB5">
              <w:rPr>
                <w:sz w:val="16"/>
                <w:szCs w:val="16"/>
              </w:rPr>
              <w:t>must immediately confirm receipt of fax.</w:t>
            </w:r>
            <w:r>
              <w:rPr>
                <w:sz w:val="16"/>
                <w:szCs w:val="16"/>
              </w:rPr>
              <w:t xml:space="preserve"> Always have data owner approval to fax, remove documents from fax machine when complete, and verify correct number before faxing.</w:t>
            </w:r>
          </w:p>
        </w:tc>
        <w:tc>
          <w:tcPr>
            <w:tcW w:w="1980" w:type="dxa"/>
            <w:gridSpan w:val="3"/>
            <w:tcBorders>
              <w:top w:val="single" w:sz="6" w:space="0" w:color="000000"/>
              <w:left w:val="single" w:sz="6" w:space="0" w:color="000000"/>
              <w:bottom w:val="single" w:sz="6" w:space="0" w:color="000000"/>
              <w:right w:val="single" w:sz="6" w:space="0" w:color="000000"/>
            </w:tcBorders>
            <w:vAlign w:val="center"/>
          </w:tcPr>
          <w:p w:rsidR="00321778" w:rsidRPr="00D34BB5" w:rsidRDefault="00321778" w:rsidP="00315EFC">
            <w:pPr>
              <w:pStyle w:val="NormalDS"/>
              <w:rPr>
                <w:sz w:val="16"/>
                <w:szCs w:val="16"/>
              </w:rPr>
            </w:pPr>
            <w:r w:rsidRPr="00D34BB5">
              <w:rPr>
                <w:sz w:val="16"/>
                <w:szCs w:val="16"/>
              </w:rPr>
              <w:t>Take reasonable precautions to prevent unauthorized disclosure. Verify correct fax number before sending. Attach fax cover sheet.</w:t>
            </w:r>
          </w:p>
        </w:tc>
        <w:tc>
          <w:tcPr>
            <w:tcW w:w="1890" w:type="dxa"/>
            <w:gridSpan w:val="2"/>
            <w:tcBorders>
              <w:top w:val="single" w:sz="6" w:space="0" w:color="000000"/>
              <w:left w:val="single" w:sz="6" w:space="0" w:color="000000"/>
              <w:bottom w:val="single" w:sz="6" w:space="0" w:color="000000"/>
              <w:right w:val="single" w:sz="6" w:space="0" w:color="000000"/>
            </w:tcBorders>
            <w:vAlign w:val="center"/>
          </w:tcPr>
          <w:p w:rsidR="00321778" w:rsidRPr="00D34BB5" w:rsidRDefault="00321778" w:rsidP="00315EFC">
            <w:pPr>
              <w:pStyle w:val="NormalDS"/>
              <w:rPr>
                <w:sz w:val="16"/>
                <w:szCs w:val="16"/>
              </w:rPr>
            </w:pPr>
            <w:r w:rsidRPr="00D34BB5">
              <w:rPr>
                <w:sz w:val="16"/>
                <w:szCs w:val="16"/>
              </w:rPr>
              <w:t>No special precautions necessary</w:t>
            </w:r>
            <w:r>
              <w:rPr>
                <w:sz w:val="16"/>
                <w:szCs w:val="16"/>
              </w:rPr>
              <w:t>.</w:t>
            </w:r>
          </w:p>
        </w:tc>
      </w:tr>
      <w:tr w:rsidR="00321778" w:rsidTr="00315EFC">
        <w:trPr>
          <w:trHeight w:val="222"/>
        </w:trPr>
        <w:tc>
          <w:tcPr>
            <w:tcW w:w="1440" w:type="dxa"/>
            <w:tcBorders>
              <w:top w:val="single" w:sz="6" w:space="0" w:color="000000"/>
              <w:left w:val="single" w:sz="6" w:space="0" w:color="000000"/>
              <w:bottom w:val="single" w:sz="2" w:space="0" w:color="000000"/>
              <w:right w:val="single" w:sz="6" w:space="0" w:color="000000"/>
            </w:tcBorders>
            <w:shd w:val="clear" w:color="auto" w:fill="C0C0C0"/>
            <w:vAlign w:val="center"/>
          </w:tcPr>
          <w:p w:rsidR="00321778" w:rsidRPr="002B1487" w:rsidRDefault="00321778" w:rsidP="00315EFC">
            <w:pPr>
              <w:pStyle w:val="NormalDS"/>
              <w:rPr>
                <w:b/>
              </w:rPr>
            </w:pPr>
            <w:r w:rsidRPr="002B1487">
              <w:rPr>
                <w:b/>
              </w:rPr>
              <w:t>Electronic File Transfer</w:t>
            </w:r>
          </w:p>
          <w:p w:rsidR="00321778" w:rsidRPr="002B1487" w:rsidRDefault="00321778" w:rsidP="00315EFC">
            <w:pPr>
              <w:pStyle w:val="NormalDS"/>
              <w:rPr>
                <w:b/>
                <w:sz w:val="16"/>
                <w:szCs w:val="16"/>
              </w:rPr>
            </w:pPr>
            <w:r w:rsidRPr="002B1487">
              <w:rPr>
                <w:b/>
                <w:sz w:val="16"/>
                <w:szCs w:val="16"/>
              </w:rPr>
              <w:t>An example would be ftp</w:t>
            </w:r>
          </w:p>
        </w:tc>
        <w:tc>
          <w:tcPr>
            <w:tcW w:w="6453" w:type="dxa"/>
            <w:gridSpan w:val="7"/>
            <w:tcBorders>
              <w:top w:val="single" w:sz="6" w:space="0" w:color="000000"/>
              <w:left w:val="single" w:sz="6" w:space="0" w:color="000000"/>
              <w:bottom w:val="single" w:sz="2" w:space="0" w:color="000000"/>
              <w:right w:val="single" w:sz="6" w:space="0" w:color="000000"/>
            </w:tcBorders>
            <w:vAlign w:val="center"/>
          </w:tcPr>
          <w:p w:rsidR="00321778" w:rsidRPr="00D34BB5" w:rsidRDefault="00321778" w:rsidP="00315EFC">
            <w:pPr>
              <w:pStyle w:val="NormalDS"/>
            </w:pPr>
            <w:r>
              <w:rPr>
                <w:sz w:val="16"/>
                <w:szCs w:val="16"/>
              </w:rPr>
              <w:t>Always use secure transmission solution approved by Alight’s Security Team when sending/receiving data outside of Alight. Do not send to destination you are not familiar with. Only transmit to destinations authorized by data owner.</w:t>
            </w:r>
          </w:p>
        </w:tc>
        <w:tc>
          <w:tcPr>
            <w:tcW w:w="1890" w:type="dxa"/>
            <w:gridSpan w:val="2"/>
            <w:tcBorders>
              <w:top w:val="single" w:sz="6" w:space="0" w:color="000000"/>
              <w:left w:val="single" w:sz="6" w:space="0" w:color="000000"/>
              <w:bottom w:val="single" w:sz="2" w:space="0" w:color="000000"/>
              <w:right w:val="single" w:sz="6" w:space="0" w:color="000000"/>
            </w:tcBorders>
            <w:vAlign w:val="center"/>
          </w:tcPr>
          <w:p w:rsidR="00321778" w:rsidRPr="00D34BB5" w:rsidRDefault="00321778" w:rsidP="00315EFC">
            <w:pPr>
              <w:pStyle w:val="NormalDS"/>
              <w:rPr>
                <w:sz w:val="16"/>
                <w:szCs w:val="16"/>
              </w:rPr>
            </w:pPr>
            <w:r w:rsidRPr="00D34BB5">
              <w:rPr>
                <w:sz w:val="16"/>
                <w:szCs w:val="16"/>
              </w:rPr>
              <w:t>No special precautions necessary</w:t>
            </w:r>
            <w:r>
              <w:rPr>
                <w:sz w:val="16"/>
                <w:szCs w:val="16"/>
              </w:rPr>
              <w:t>.</w:t>
            </w:r>
          </w:p>
        </w:tc>
      </w:tr>
    </w:tbl>
    <w:p w:rsidR="00321778" w:rsidRDefault="00321778" w:rsidP="00321778">
      <w:pPr>
        <w:pStyle w:val="NormalDS"/>
        <w:rPr>
          <w:rFonts w:cs="Arial"/>
        </w:rPr>
      </w:pPr>
    </w:p>
    <w:p w:rsidR="00321778" w:rsidRPr="00942C7B" w:rsidRDefault="00321778" w:rsidP="00321778">
      <w:pPr>
        <w:pStyle w:val="Heading3"/>
        <w:numPr>
          <w:ilvl w:val="0"/>
          <w:numId w:val="13"/>
        </w:numPr>
      </w:pPr>
      <w:r w:rsidRPr="00942C7B">
        <w:lastRenderedPageBreak/>
        <w:t>Auditing Requirements</w:t>
      </w:r>
    </w:p>
    <w:p w:rsidR="00321778" w:rsidRPr="002B1487" w:rsidRDefault="00321778" w:rsidP="00321778">
      <w:pPr>
        <w:pStyle w:val="NormalDS"/>
        <w:numPr>
          <w:ilvl w:val="1"/>
          <w:numId w:val="13"/>
        </w:numPr>
      </w:pPr>
      <w:r w:rsidRPr="002B1487">
        <w:t xml:space="preserve">At a minimum, auditing requirements for data access events for HBI, MBI, and LBI data include: </w:t>
      </w:r>
    </w:p>
    <w:p w:rsidR="00321778" w:rsidRPr="002B1487" w:rsidRDefault="00321778" w:rsidP="00321778">
      <w:pPr>
        <w:pStyle w:val="NormalDS"/>
        <w:numPr>
          <w:ilvl w:val="2"/>
          <w:numId w:val="13"/>
        </w:numPr>
      </w:pPr>
      <w:r w:rsidRPr="002B1487">
        <w:t>Identify events which require audit trails.</w:t>
      </w:r>
    </w:p>
    <w:p w:rsidR="00321778" w:rsidRPr="002B1487" w:rsidRDefault="00321778" w:rsidP="00321778">
      <w:pPr>
        <w:pStyle w:val="NormalDS"/>
        <w:numPr>
          <w:ilvl w:val="2"/>
          <w:numId w:val="13"/>
        </w:numPr>
      </w:pPr>
      <w:r w:rsidRPr="002B1487">
        <w:t>Identify events which require auditing, including frequency.</w:t>
      </w:r>
    </w:p>
    <w:p w:rsidR="00321778" w:rsidRPr="002B1487" w:rsidRDefault="00321778" w:rsidP="00321778">
      <w:pPr>
        <w:pStyle w:val="NormalDS"/>
        <w:numPr>
          <w:ilvl w:val="2"/>
          <w:numId w:val="13"/>
        </w:numPr>
      </w:pPr>
      <w:r w:rsidRPr="002B1487">
        <w:t>Generation of audit record data.</w:t>
      </w:r>
    </w:p>
    <w:p w:rsidR="00321778" w:rsidRPr="002B1487" w:rsidRDefault="00321778" w:rsidP="00321778">
      <w:pPr>
        <w:pStyle w:val="NormalDS"/>
        <w:numPr>
          <w:ilvl w:val="2"/>
          <w:numId w:val="13"/>
        </w:numPr>
      </w:pPr>
      <w:r w:rsidRPr="002B1487">
        <w:t>Provide sufficient audit record storage capacity.</w:t>
      </w:r>
    </w:p>
    <w:p w:rsidR="00321778" w:rsidRPr="002B1487" w:rsidRDefault="00321778" w:rsidP="00321778">
      <w:pPr>
        <w:pStyle w:val="NormalDS"/>
        <w:numPr>
          <w:ilvl w:val="2"/>
          <w:numId w:val="13"/>
        </w:numPr>
      </w:pPr>
      <w:r w:rsidRPr="002B1487">
        <w:t>Respond to audit processing failures.</w:t>
      </w:r>
    </w:p>
    <w:p w:rsidR="00321778" w:rsidRPr="002B1487" w:rsidRDefault="00321778" w:rsidP="00321778">
      <w:pPr>
        <w:pStyle w:val="NormalDS"/>
        <w:numPr>
          <w:ilvl w:val="2"/>
          <w:numId w:val="13"/>
        </w:numPr>
      </w:pPr>
      <w:r w:rsidRPr="002B1487">
        <w:t>Perform regular reviews and analysis of audit records for suspicious activities.</w:t>
      </w:r>
    </w:p>
    <w:p w:rsidR="00321778" w:rsidRPr="002B1487" w:rsidRDefault="00321778" w:rsidP="00321778">
      <w:pPr>
        <w:pStyle w:val="NormalDS"/>
        <w:numPr>
          <w:ilvl w:val="2"/>
          <w:numId w:val="13"/>
        </w:numPr>
      </w:pPr>
      <w:r w:rsidRPr="002B1487">
        <w:t>Identify the dates and times of usage.</w:t>
      </w:r>
    </w:p>
    <w:p w:rsidR="00321778" w:rsidRPr="002B1487" w:rsidRDefault="00321778" w:rsidP="00321778">
      <w:pPr>
        <w:pStyle w:val="NormalDS"/>
        <w:numPr>
          <w:ilvl w:val="2"/>
          <w:numId w:val="13"/>
        </w:numPr>
      </w:pPr>
      <w:r w:rsidRPr="002B1487">
        <w:t>Protect audit data from unauthorized access.</w:t>
      </w:r>
    </w:p>
    <w:p w:rsidR="00321778" w:rsidRPr="002B1487" w:rsidRDefault="00321778" w:rsidP="00321778">
      <w:pPr>
        <w:pStyle w:val="NormalDS"/>
        <w:numPr>
          <w:ilvl w:val="2"/>
          <w:numId w:val="13"/>
        </w:numPr>
      </w:pPr>
      <w:r w:rsidRPr="002B1487">
        <w:t>Associate a specific individual with a particular activity or event.</w:t>
      </w:r>
    </w:p>
    <w:p w:rsidR="00321778" w:rsidRDefault="00321778" w:rsidP="00321778">
      <w:pPr>
        <w:pStyle w:val="Heading2"/>
      </w:pPr>
      <w:bookmarkStart w:id="19" w:name="_Toc306014654"/>
      <w:r w:rsidRPr="002311A6">
        <w:t>References</w:t>
      </w:r>
      <w:bookmarkEnd w:id="19"/>
      <w:r>
        <w:t xml:space="preserve"> and Mandates</w:t>
      </w:r>
    </w:p>
    <w:p w:rsidR="00321778" w:rsidRPr="002B1487" w:rsidRDefault="00321778" w:rsidP="00321778">
      <w:pPr>
        <w:pStyle w:val="NormalDS"/>
        <w:numPr>
          <w:ilvl w:val="0"/>
          <w:numId w:val="11"/>
        </w:numPr>
        <w:rPr>
          <w:rStyle w:val="AonBodyCopyChar"/>
        </w:rPr>
      </w:pPr>
      <w:r w:rsidRPr="002B1487">
        <w:rPr>
          <w:rStyle w:val="AonBodyCopyChar"/>
        </w:rPr>
        <w:t>None</w:t>
      </w:r>
    </w:p>
    <w:p w:rsidR="00321778" w:rsidRPr="00EE255B" w:rsidRDefault="00321778" w:rsidP="00321778">
      <w:pPr>
        <w:pStyle w:val="Heading2"/>
      </w:pPr>
      <w:r w:rsidRPr="007E6914">
        <w:t>Legal Conflicts</w:t>
      </w:r>
      <w:r w:rsidRPr="00EE255B">
        <w:t xml:space="preserve"> </w:t>
      </w:r>
    </w:p>
    <w:p w:rsidR="00321778" w:rsidRPr="002B1487" w:rsidRDefault="00321778" w:rsidP="00321778">
      <w:pPr>
        <w:pStyle w:val="NormalDS"/>
      </w:pPr>
      <w:r>
        <w:t>Alight</w:t>
      </w:r>
      <w:r w:rsidRPr="002B1487">
        <w:t>’s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321778" w:rsidRDefault="00321778" w:rsidP="00321778">
      <w:pPr>
        <w:pStyle w:val="NormalDS"/>
      </w:pPr>
      <w:r>
        <w:t>Alight</w:t>
      </w:r>
      <w:r w:rsidRPr="002B1487">
        <w:t xml:space="preserve">’s Security Policies and Standards may be supplemented by other policies or standards of </w:t>
      </w:r>
      <w:r>
        <w:t>Alight</w:t>
      </w:r>
      <w:r w:rsidRPr="002B1487">
        <w:t xml:space="preserve">.  In the case of a conflict or ambiguity, the more specific provisions of any such policy or standard of </w:t>
      </w:r>
      <w:r>
        <w:t>Alight</w:t>
      </w:r>
      <w:r w:rsidRPr="002B1487">
        <w:t xml:space="preserve"> shall take precedence over the more general provisions contained in </w:t>
      </w:r>
      <w:r>
        <w:t>Alight</w:t>
      </w:r>
      <w:r w:rsidRPr="002B1487">
        <w:t xml:space="preserve">’s Security Policies and Standards. </w:t>
      </w:r>
    </w:p>
    <w:p w:rsidR="00321778" w:rsidRPr="002311A6" w:rsidRDefault="00321778" w:rsidP="00321778">
      <w:pPr>
        <w:pStyle w:val="Heading1"/>
        <w:spacing w:before="0" w:after="240"/>
      </w:pPr>
      <w:bookmarkStart w:id="20" w:name="_Toc302573443"/>
      <w:bookmarkStart w:id="21" w:name="_Toc303782832"/>
      <w:bookmarkStart w:id="22" w:name="_Toc436822799"/>
      <w:r w:rsidRPr="002311A6">
        <w:lastRenderedPageBreak/>
        <w:t>Document Control Information</w:t>
      </w:r>
      <w:bookmarkEnd w:id="20"/>
      <w:bookmarkEnd w:id="21"/>
      <w:bookmarkEnd w:id="22"/>
    </w:p>
    <w:p w:rsidR="00321778" w:rsidRPr="00274338" w:rsidRDefault="00321778" w:rsidP="00321778">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321778" w:rsidRPr="00274338" w:rsidTr="00315EFC">
        <w:trPr>
          <w:cantSplit/>
        </w:trPr>
        <w:tc>
          <w:tcPr>
            <w:tcW w:w="3355" w:type="dxa"/>
            <w:tcBorders>
              <w:top w:val="nil"/>
              <w:bottom w:val="single" w:sz="12" w:space="0" w:color="808080" w:themeColor="background1" w:themeShade="80"/>
            </w:tcBorders>
            <w:shd w:val="clear" w:color="auto" w:fill="auto"/>
            <w:vAlign w:val="bottom"/>
          </w:tcPr>
          <w:p w:rsidR="00321778" w:rsidRPr="00274338" w:rsidRDefault="00321778" w:rsidP="00315EFC">
            <w:pPr>
              <w:pStyle w:val="TableColumnHead"/>
            </w:pPr>
          </w:p>
        </w:tc>
        <w:tc>
          <w:tcPr>
            <w:tcW w:w="6210" w:type="dxa"/>
            <w:tcBorders>
              <w:top w:val="nil"/>
              <w:bottom w:val="single" w:sz="12" w:space="0" w:color="808080" w:themeColor="background1" w:themeShade="80"/>
            </w:tcBorders>
            <w:shd w:val="clear" w:color="auto" w:fill="auto"/>
            <w:vAlign w:val="bottom"/>
          </w:tcPr>
          <w:p w:rsidR="00321778" w:rsidRPr="00274338" w:rsidRDefault="00321778" w:rsidP="00315EFC">
            <w:pPr>
              <w:pStyle w:val="TableColumnHead"/>
            </w:pPr>
          </w:p>
        </w:tc>
      </w:tr>
      <w:tr w:rsidR="00321778" w:rsidRPr="00274338" w:rsidTr="00315EFC">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321778" w:rsidRPr="00274338" w:rsidRDefault="00321778" w:rsidP="00315EFC">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321778" w:rsidRPr="00274338" w:rsidRDefault="006F4EA8" w:rsidP="00315EFC">
            <w:pPr>
              <w:pStyle w:val="Bullet4Table"/>
              <w:numPr>
                <w:ilvl w:val="0"/>
                <w:numId w:val="0"/>
              </w:numPr>
            </w:pPr>
            <w:hyperlink r:id="rId12" w:history="1">
              <w:r w:rsidR="00321778" w:rsidRPr="00B213EB">
                <w:t>Data</w:t>
              </w:r>
            </w:hyperlink>
            <w:r w:rsidR="00321778" w:rsidRPr="00B213EB">
              <w:rPr>
                <w:rFonts w:cs="Arial"/>
              </w:rPr>
              <w:t xml:space="preserve"> Protection &amp; Governance</w:t>
            </w:r>
            <w:r w:rsidR="00321778">
              <w:rPr>
                <w:rFonts w:cs="Arial"/>
              </w:rPr>
              <w:t xml:space="preserve"> </w:t>
            </w:r>
            <w:r w:rsidR="00321778" w:rsidRPr="007A6AF7">
              <w:rPr>
                <w:rFonts w:cs="Arial"/>
                <w:szCs w:val="18"/>
              </w:rPr>
              <w:t xml:space="preserve">| </w:t>
            </w:r>
            <w:hyperlink r:id="rId13" w:history="1">
              <w:r w:rsidR="00321778" w:rsidRPr="007A6AF7">
                <w:rPr>
                  <w:rStyle w:val="Hyperlink"/>
                  <w:rFonts w:cs="Arial"/>
                  <w:szCs w:val="18"/>
                </w:rPr>
                <w:t>Information.Governance@aon.com</w:t>
              </w:r>
            </w:hyperlink>
          </w:p>
        </w:tc>
      </w:tr>
      <w:tr w:rsidR="00321778"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21778" w:rsidRPr="00274338" w:rsidRDefault="00321778" w:rsidP="00315EFC">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21778" w:rsidRPr="00274338" w:rsidRDefault="00321778" w:rsidP="00315EFC">
            <w:pPr>
              <w:pStyle w:val="TableCopy"/>
            </w:pPr>
            <w:r>
              <w:t>1.5</w:t>
            </w:r>
          </w:p>
        </w:tc>
      </w:tr>
      <w:tr w:rsidR="00321778"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21778" w:rsidRPr="00274338" w:rsidRDefault="00321778" w:rsidP="00315EFC">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21778" w:rsidRPr="00274338" w:rsidRDefault="00321778" w:rsidP="00315EFC">
            <w:pPr>
              <w:pStyle w:val="TableCopy"/>
            </w:pPr>
            <w:r>
              <w:t>Alight</w:t>
            </w:r>
            <w:r w:rsidRPr="009B6065">
              <w:t xml:space="preserve"> Global Security Services | </w:t>
            </w:r>
            <w:r>
              <w:t>Data Security &amp; Governance</w:t>
            </w:r>
          </w:p>
        </w:tc>
      </w:tr>
      <w:tr w:rsidR="00321778"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21778" w:rsidRPr="00274338" w:rsidRDefault="00321778" w:rsidP="00315EFC">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21778" w:rsidRPr="00274338" w:rsidRDefault="00321778" w:rsidP="00315EFC">
            <w:pPr>
              <w:pStyle w:val="TableCopy"/>
            </w:pPr>
            <w:r>
              <w:t>Alight</w:t>
            </w:r>
            <w:r w:rsidRPr="009B6065">
              <w:t xml:space="preserve"> Global Security Services | </w:t>
            </w:r>
            <w:r>
              <w:t>Data Security &amp; Governance</w:t>
            </w:r>
          </w:p>
        </w:tc>
      </w:tr>
      <w:tr w:rsidR="00321778"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Jim Hartley</w:t>
            </w:r>
            <w:r w:rsidRPr="009B6065">
              <w:t xml:space="preserve">, Chief </w:t>
            </w:r>
            <w:r>
              <w:t xml:space="preserve">Information </w:t>
            </w:r>
            <w:r w:rsidRPr="009B6065">
              <w:t>Security Officer</w:t>
            </w:r>
          </w:p>
        </w:tc>
      </w:tr>
      <w:tr w:rsidR="00321778"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May 1, 2017</w:t>
            </w:r>
          </w:p>
        </w:tc>
      </w:tr>
      <w:tr w:rsidR="00321778"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May 1, 2017</w:t>
            </w:r>
          </w:p>
        </w:tc>
      </w:tr>
      <w:tr w:rsidR="00321778"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May 1, 2011</w:t>
            </w:r>
          </w:p>
        </w:tc>
      </w:tr>
      <w:tr w:rsidR="00321778"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321778" w:rsidRDefault="00321778" w:rsidP="00315EFC">
            <w:pPr>
              <w:pStyle w:val="TableCopy"/>
            </w:pPr>
            <w:r w:rsidRPr="009B6065">
              <w:t>General Internal – Low Business Impact (Green)</w:t>
            </w:r>
          </w:p>
        </w:tc>
      </w:tr>
    </w:tbl>
    <w:p w:rsidR="00321778" w:rsidRDefault="00321778" w:rsidP="00321778"/>
    <w:p w:rsidR="00321778" w:rsidRPr="002311A6" w:rsidRDefault="00321778" w:rsidP="00321778">
      <w:pPr>
        <w:pStyle w:val="Heading1"/>
        <w:spacing w:after="240"/>
      </w:pPr>
      <w:r w:rsidRPr="002311A6">
        <w:lastRenderedPageBreak/>
        <w:t>Revision History</w:t>
      </w:r>
    </w:p>
    <w:p w:rsidR="00321778" w:rsidRPr="00274338" w:rsidRDefault="00321778" w:rsidP="00321778">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321778" w:rsidRPr="00274338" w:rsidTr="00315EFC">
        <w:trPr>
          <w:cantSplit/>
        </w:trPr>
        <w:tc>
          <w:tcPr>
            <w:tcW w:w="1646" w:type="dxa"/>
            <w:tcBorders>
              <w:top w:val="nil"/>
              <w:bottom w:val="single" w:sz="12" w:space="0" w:color="808080" w:themeColor="background1" w:themeShade="80"/>
            </w:tcBorders>
            <w:shd w:val="clear" w:color="auto" w:fill="auto"/>
            <w:vAlign w:val="bottom"/>
          </w:tcPr>
          <w:p w:rsidR="00321778" w:rsidRPr="00274338" w:rsidRDefault="00321778" w:rsidP="00315EFC">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321778" w:rsidRPr="00274338" w:rsidRDefault="00321778" w:rsidP="00315EFC">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321778" w:rsidRPr="00274338" w:rsidRDefault="00321778" w:rsidP="00315EFC">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321778" w:rsidRDefault="00321778" w:rsidP="00315EFC">
            <w:pPr>
              <w:pStyle w:val="TableColumnHead"/>
            </w:pPr>
            <w:r>
              <w:t>Change Summary</w:t>
            </w:r>
          </w:p>
        </w:tc>
      </w:tr>
      <w:tr w:rsidR="00321778" w:rsidRPr="00274338" w:rsidTr="00315EFC">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 xml:space="preserve">2012 </w:t>
            </w:r>
            <w:r>
              <w:rPr>
                <w:sz w:val="18"/>
                <w:szCs w:val="18"/>
              </w:rPr>
              <w:t>July</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321778" w:rsidRPr="0034197E" w:rsidRDefault="00321778" w:rsidP="00315EFC">
            <w:pPr>
              <w:pStyle w:val="NormalDS"/>
              <w:rPr>
                <w:sz w:val="18"/>
              </w:rPr>
            </w:pPr>
            <w:r w:rsidRPr="0034197E">
              <w:rPr>
                <w:sz w:val="18"/>
              </w:rPr>
              <w:t>Restructured policy due to Aon Hewitt acquisition</w:t>
            </w:r>
          </w:p>
        </w:tc>
      </w:tr>
      <w:tr w:rsidR="00321778"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321778" w:rsidRPr="00EF55D6" w:rsidRDefault="00321778" w:rsidP="00315EFC">
            <w:pPr>
              <w:pStyle w:val="NormalDS"/>
              <w:rPr>
                <w:sz w:val="18"/>
              </w:rPr>
            </w:pPr>
            <w:r w:rsidRPr="00EF55D6">
              <w:rPr>
                <w:sz w:val="18"/>
              </w:rPr>
              <w:t>Reviewed and validated</w:t>
            </w:r>
          </w:p>
        </w:tc>
      </w:tr>
      <w:tr w:rsidR="00321778"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321778" w:rsidRPr="00EF55D6" w:rsidRDefault="00321778" w:rsidP="00315EFC">
            <w:pPr>
              <w:pStyle w:val="NormalDS"/>
              <w:rPr>
                <w:sz w:val="18"/>
              </w:rPr>
            </w:pPr>
            <w:r w:rsidRPr="00EF55D6">
              <w:rPr>
                <w:sz w:val="18"/>
              </w:rPr>
              <w:t>Reviewed and validated</w:t>
            </w:r>
          </w:p>
        </w:tc>
      </w:tr>
      <w:tr w:rsidR="00321778"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321778" w:rsidRPr="00EF55D6" w:rsidRDefault="00321778" w:rsidP="00315EFC">
            <w:pPr>
              <w:pStyle w:val="NormalDS"/>
              <w:rPr>
                <w:sz w:val="18"/>
              </w:rPr>
            </w:pPr>
            <w:r w:rsidRPr="00EF55D6">
              <w:rPr>
                <w:sz w:val="18"/>
              </w:rPr>
              <w:t>Reviewed and validated</w:t>
            </w:r>
          </w:p>
          <w:p w:rsidR="00321778" w:rsidRPr="00EF55D6" w:rsidRDefault="00321778" w:rsidP="00315EFC">
            <w:pPr>
              <w:pStyle w:val="NormalDS"/>
              <w:rPr>
                <w:sz w:val="18"/>
              </w:rPr>
            </w:pPr>
            <w:r w:rsidRPr="00EF55D6">
              <w:rPr>
                <w:sz w:val="18"/>
              </w:rPr>
              <w:t>Policy Owner changed from InfoSec to DPG.</w:t>
            </w:r>
          </w:p>
          <w:p w:rsidR="00321778" w:rsidRPr="00EF55D6" w:rsidRDefault="00321778" w:rsidP="00315EFC">
            <w:pPr>
              <w:pStyle w:val="NormalDS"/>
              <w:rPr>
                <w:sz w:val="18"/>
              </w:rPr>
            </w:pPr>
            <w:r w:rsidRPr="00EF55D6">
              <w:rPr>
                <w:sz w:val="18"/>
              </w:rPr>
              <w:t>Change standard name, change owner and approver.</w:t>
            </w:r>
          </w:p>
          <w:p w:rsidR="00321778" w:rsidRPr="00EF55D6" w:rsidRDefault="00321778" w:rsidP="00315EFC">
            <w:pPr>
              <w:pStyle w:val="NormalDS"/>
              <w:rPr>
                <w:sz w:val="18"/>
              </w:rPr>
            </w:pPr>
            <w:r w:rsidRPr="00EF55D6">
              <w:rPr>
                <w:sz w:val="18"/>
              </w:rPr>
              <w:t>Legal Conflicts Section Added.</w:t>
            </w:r>
          </w:p>
        </w:tc>
      </w:tr>
      <w:tr w:rsidR="00321778" w:rsidRPr="009960D6"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321778" w:rsidRPr="00EF55D6" w:rsidRDefault="00321778" w:rsidP="00315EFC">
            <w:pPr>
              <w:pStyle w:val="NormalDS"/>
              <w:rPr>
                <w:sz w:val="18"/>
              </w:rPr>
            </w:pPr>
            <w:r w:rsidRPr="00EF55D6">
              <w:rPr>
                <w:sz w:val="18"/>
              </w:rPr>
              <w:t>Reviewed and validated</w:t>
            </w:r>
          </w:p>
          <w:p w:rsidR="00321778" w:rsidRPr="00EF55D6" w:rsidRDefault="00321778" w:rsidP="00315EFC">
            <w:pPr>
              <w:pStyle w:val="NormalDS"/>
              <w:rPr>
                <w:sz w:val="18"/>
              </w:rPr>
            </w:pPr>
            <w:r w:rsidRPr="00EF55D6">
              <w:rPr>
                <w:sz w:val="18"/>
              </w:rPr>
              <w:t>Changed name of standard. Disambiguate this aspect of data classification from other forms of classification such as record classification.</w:t>
            </w:r>
          </w:p>
          <w:p w:rsidR="00321778" w:rsidRPr="00EF55D6" w:rsidRDefault="00321778" w:rsidP="00315EFC">
            <w:pPr>
              <w:pStyle w:val="NormalDS"/>
              <w:rPr>
                <w:sz w:val="18"/>
              </w:rPr>
            </w:pPr>
            <w:r w:rsidRPr="00EF55D6">
              <w:rPr>
                <w:sz w:val="18"/>
              </w:rPr>
              <w:t>Clarified wording and replaced all instances of Security Risk Management (SRM) with Global Security Services (GSS) to reflect new organization name.</w:t>
            </w:r>
          </w:p>
        </w:tc>
      </w:tr>
      <w:tr w:rsidR="00321778"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321778" w:rsidRPr="00A92C1C" w:rsidRDefault="00321778" w:rsidP="00315EFC">
            <w:pPr>
              <w:rPr>
                <w:sz w:val="18"/>
                <w:szCs w:val="18"/>
              </w:rPr>
            </w:pPr>
            <w:r w:rsidRPr="00A92C1C">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321778" w:rsidRPr="009960D6" w:rsidRDefault="00321778" w:rsidP="00315EFC">
            <w:pPr>
              <w:pStyle w:val="NormalDS"/>
              <w:rPr>
                <w:sz w:val="18"/>
                <w:szCs w:val="18"/>
              </w:rPr>
            </w:pPr>
            <w:r w:rsidRPr="009960D6">
              <w:rPr>
                <w:sz w:val="18"/>
                <w:szCs w:val="18"/>
              </w:rPr>
              <w:t>Rebranded policy due to Aon Hewitt divestiture</w:t>
            </w:r>
          </w:p>
        </w:tc>
      </w:tr>
      <w:tr w:rsidR="00321778" w:rsidRPr="00274338" w:rsidTr="00315EFC">
        <w:trPr>
          <w:cantSplit/>
        </w:trPr>
        <w:tc>
          <w:tcPr>
            <w:tcW w:w="1646" w:type="dxa"/>
            <w:tcBorders>
              <w:top w:val="single" w:sz="4" w:space="0" w:color="808080" w:themeColor="background1" w:themeShade="80"/>
              <w:bottom w:val="nil"/>
            </w:tcBorders>
            <w:shd w:val="clear" w:color="auto" w:fill="auto"/>
          </w:tcPr>
          <w:p w:rsidR="00321778" w:rsidRDefault="00321778" w:rsidP="00315EFC">
            <w:pPr>
              <w:pStyle w:val="TableCopy"/>
            </w:pPr>
          </w:p>
        </w:tc>
        <w:tc>
          <w:tcPr>
            <w:tcW w:w="1441" w:type="dxa"/>
            <w:tcBorders>
              <w:top w:val="single" w:sz="4" w:space="0" w:color="808080" w:themeColor="background1" w:themeShade="80"/>
              <w:bottom w:val="nil"/>
            </w:tcBorders>
            <w:shd w:val="clear" w:color="auto" w:fill="auto"/>
          </w:tcPr>
          <w:p w:rsidR="00321778" w:rsidRPr="009B6065" w:rsidRDefault="00321778" w:rsidP="00315EFC">
            <w:pPr>
              <w:pStyle w:val="NormalDS"/>
            </w:pPr>
          </w:p>
        </w:tc>
        <w:tc>
          <w:tcPr>
            <w:tcW w:w="1979" w:type="dxa"/>
            <w:tcBorders>
              <w:top w:val="single" w:sz="4" w:space="0" w:color="808080" w:themeColor="background1" w:themeShade="80"/>
              <w:bottom w:val="nil"/>
            </w:tcBorders>
            <w:shd w:val="clear" w:color="auto" w:fill="auto"/>
          </w:tcPr>
          <w:p w:rsidR="00321778" w:rsidRPr="00274338" w:rsidRDefault="00321778" w:rsidP="00315EFC">
            <w:pPr>
              <w:pStyle w:val="TableCopy"/>
            </w:pPr>
          </w:p>
        </w:tc>
        <w:tc>
          <w:tcPr>
            <w:tcW w:w="2942" w:type="dxa"/>
            <w:tcBorders>
              <w:top w:val="single" w:sz="4" w:space="0" w:color="808080" w:themeColor="background1" w:themeShade="80"/>
              <w:bottom w:val="nil"/>
            </w:tcBorders>
          </w:tcPr>
          <w:p w:rsidR="00321778" w:rsidRPr="00274338" w:rsidRDefault="00321778" w:rsidP="00315EFC">
            <w:pPr>
              <w:pStyle w:val="TableCopy"/>
            </w:pPr>
          </w:p>
        </w:tc>
      </w:tr>
      <w:bookmarkEnd w:id="0"/>
      <w:bookmarkEnd w:id="1"/>
      <w:bookmarkEnd w:id="2"/>
      <w:bookmarkEnd w:id="3"/>
      <w:bookmarkEnd w:id="4"/>
      <w:bookmarkEnd w:id="5"/>
      <w:bookmarkEnd w:id="6"/>
      <w:bookmarkEnd w:id="7"/>
      <w:bookmarkEnd w:id="8"/>
      <w:bookmarkEnd w:id="9"/>
    </w:tbl>
    <w:p w:rsidR="00321778" w:rsidRPr="00E75EA9" w:rsidRDefault="00321778" w:rsidP="00321778">
      <w:pPr>
        <w:pStyle w:val="NormalDS"/>
      </w:pPr>
    </w:p>
    <w:sectPr w:rsidR="00321778" w:rsidRPr="00E75EA9" w:rsidSect="00075357">
      <w:footerReference w:type="default" r:id="rId14"/>
      <w:footerReference w:type="first" r:id="rId15"/>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EA8" w:rsidRDefault="006F4EA8" w:rsidP="005B402B">
      <w:r>
        <w:separator/>
      </w:r>
    </w:p>
  </w:endnote>
  <w:endnote w:type="continuationSeparator" w:id="0">
    <w:p w:rsidR="006F4EA8" w:rsidRDefault="006F4EA8"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7F26C7">
      <w:t xml:space="preserve">100.01 </w:t>
    </w:r>
    <w:r w:rsidR="003C734C">
      <w:t>Data Security Classification Standard</w:t>
    </w:r>
    <w:r>
      <w:tab/>
    </w:r>
    <w:r>
      <w:fldChar w:fldCharType="begin"/>
    </w:r>
    <w:r>
      <w:instrText xml:space="preserve"> PAGE   \* MERGEFORMAT </w:instrText>
    </w:r>
    <w:r>
      <w:fldChar w:fldCharType="separate"/>
    </w:r>
    <w:r w:rsidR="005F1FB2">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EA8" w:rsidRDefault="006F4EA8" w:rsidP="005B402B">
      <w:r>
        <w:separator/>
      </w:r>
    </w:p>
  </w:footnote>
  <w:footnote w:type="continuationSeparator" w:id="0">
    <w:p w:rsidR="006F4EA8" w:rsidRDefault="006F4EA8"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4AC81173"/>
    <w:multiLevelType w:val="multilevel"/>
    <w:tmpl w:val="B3C4D8B2"/>
    <w:numStyleLink w:val="AonList"/>
  </w:abstractNum>
  <w:abstractNum w:abstractNumId="7">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9"/>
  </w:num>
  <w:num w:numId="5">
    <w:abstractNumId w:val="10"/>
  </w:num>
  <w:num w:numId="6">
    <w:abstractNumId w:val="3"/>
  </w:num>
  <w:num w:numId="7">
    <w:abstractNumId w:val="0"/>
  </w:num>
  <w:num w:numId="8">
    <w:abstractNumId w:val="6"/>
  </w:num>
  <w:num w:numId="9">
    <w:abstractNumId w:val="5"/>
  </w:num>
  <w:num w:numId="10">
    <w:abstractNumId w:val="1"/>
  </w:num>
  <w:num w:numId="11">
    <w:abstractNumId w:val="1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61C38"/>
    <w:rsid w:val="00193FB9"/>
    <w:rsid w:val="001D01D4"/>
    <w:rsid w:val="00207AC9"/>
    <w:rsid w:val="00230498"/>
    <w:rsid w:val="00234A8F"/>
    <w:rsid w:val="00243AAD"/>
    <w:rsid w:val="0026509A"/>
    <w:rsid w:val="00274338"/>
    <w:rsid w:val="002757BF"/>
    <w:rsid w:val="00295CD8"/>
    <w:rsid w:val="002C43A9"/>
    <w:rsid w:val="00321778"/>
    <w:rsid w:val="003641B4"/>
    <w:rsid w:val="003B4445"/>
    <w:rsid w:val="003C734C"/>
    <w:rsid w:val="003D11EF"/>
    <w:rsid w:val="004A6699"/>
    <w:rsid w:val="004C19C5"/>
    <w:rsid w:val="004F6723"/>
    <w:rsid w:val="00572B9B"/>
    <w:rsid w:val="0058699E"/>
    <w:rsid w:val="00596FE5"/>
    <w:rsid w:val="005B402B"/>
    <w:rsid w:val="005D6101"/>
    <w:rsid w:val="005F1FB2"/>
    <w:rsid w:val="00631213"/>
    <w:rsid w:val="0064411E"/>
    <w:rsid w:val="00657BDB"/>
    <w:rsid w:val="00666F6C"/>
    <w:rsid w:val="006F2AD3"/>
    <w:rsid w:val="006F4EA8"/>
    <w:rsid w:val="007372A8"/>
    <w:rsid w:val="0074779E"/>
    <w:rsid w:val="007B6C0D"/>
    <w:rsid w:val="007C6FAF"/>
    <w:rsid w:val="007F26C7"/>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rmation.Governance@aon.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on.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Global.EOC.Mailbox@Aon.com" TargetMode="Externa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file:///D:/Profiles/dgochena/Fishnet/2010/AON/Deliverables/Policy_Standard%20content/InformationSecurityTerms&amp;Definitions.ht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F626E-2B43-40EA-BDA2-6A63C2C8D606}">
  <ds:schemaRefs>
    <ds:schemaRef ds:uri="http://schemas.openxmlformats.org/officeDocument/2006/bibliography"/>
  </ds:schemaRefs>
</ds:datastoreItem>
</file>

<file path=customXml/itemProps2.xml><?xml version="1.0" encoding="utf-8"?>
<ds:datastoreItem xmlns:ds="http://schemas.openxmlformats.org/officeDocument/2006/customXml" ds:itemID="{04AA75B2-4A7D-4E29-B2B7-041CF84CDDCC}"/>
</file>

<file path=customXml/itemProps3.xml><?xml version="1.0" encoding="utf-8"?>
<ds:datastoreItem xmlns:ds="http://schemas.openxmlformats.org/officeDocument/2006/customXml" ds:itemID="{21A2AE3F-262E-4AAE-9590-7B16861CA932}"/>
</file>

<file path=customXml/itemProps4.xml><?xml version="1.0" encoding="utf-8"?>
<ds:datastoreItem xmlns:ds="http://schemas.openxmlformats.org/officeDocument/2006/customXml" ds:itemID="{9014E104-FE12-4FD0-8977-2C88CB2F8E0A}"/>
</file>

<file path=docProps/app.xml><?xml version="1.0" encoding="utf-8"?>
<Properties xmlns="http://schemas.openxmlformats.org/officeDocument/2006/extended-properties" xmlns:vt="http://schemas.openxmlformats.org/officeDocument/2006/docPropsVTypes">
  <Template>Normal.dotm</Template>
  <TotalTime>11</TotalTime>
  <Pages>9</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6</cp:revision>
  <cp:lastPrinted>2017-07-19T14:34:00Z</cp:lastPrinted>
  <dcterms:created xsi:type="dcterms:W3CDTF">2017-07-14T19:46:00Z</dcterms:created>
  <dcterms:modified xsi:type="dcterms:W3CDTF">2017-07-19T14:34:00Z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