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A06" w:rsidRDefault="00721A06" w:rsidP="00721A06">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System Data Deletion Standard</w:t>
      </w:r>
      <w:bookmarkStart w:id="10" w:name="_GoBack"/>
      <w:bookmarkEnd w:id="10"/>
    </w:p>
    <w:p w:rsidR="00721A06" w:rsidRDefault="00721A06" w:rsidP="00721A06">
      <w:pPr>
        <w:pStyle w:val="Heading2"/>
      </w:pPr>
      <w:r>
        <w:t xml:space="preserve">Related </w:t>
      </w:r>
      <w:r w:rsidRPr="002311A6">
        <w:t>P</w:t>
      </w:r>
      <w:r>
        <w:t>olicy</w:t>
      </w:r>
    </w:p>
    <w:p w:rsidR="00721A06" w:rsidRDefault="00721A06" w:rsidP="00721A06">
      <w:pPr>
        <w:pStyle w:val="NormalDS"/>
        <w:numPr>
          <w:ilvl w:val="0"/>
          <w:numId w:val="15"/>
        </w:numPr>
      </w:pPr>
      <w:r>
        <w:t>700.00 Global Information Governance Policy</w:t>
      </w:r>
      <w:bookmarkStart w:id="11" w:name="_Toc304735578"/>
    </w:p>
    <w:p w:rsidR="00721A06" w:rsidRPr="00947BE0" w:rsidRDefault="00721A06" w:rsidP="00721A06">
      <w:pPr>
        <w:pStyle w:val="Heading2"/>
      </w:pPr>
      <w:r w:rsidRPr="00947BE0">
        <w:t>Purpose</w:t>
      </w:r>
    </w:p>
    <w:p w:rsidR="00721A06" w:rsidRDefault="00721A06" w:rsidP="00721A06">
      <w:pPr>
        <w:pStyle w:val="NormalDS"/>
      </w:pPr>
      <w:r>
        <w:t xml:space="preserve">This standard defines the period of time that data is stored within specific Alight systems, or portions of systems, after which the data is eligible for automated deletion. These system retention rules DO NOT change or impact retention obligations defined by Alight’s Records Retentions Schedules, statutes, regulations, or client requirements. Any data subject to retention must be stored outside of these systems in order to meet those retention obligations.  </w:t>
      </w:r>
    </w:p>
    <w:p w:rsidR="00721A06" w:rsidRPr="00947BE0" w:rsidRDefault="00721A06" w:rsidP="00721A06">
      <w:pPr>
        <w:pStyle w:val="Heading2"/>
        <w:rPr>
          <w:rStyle w:val="Heading1Char"/>
          <w:rFonts w:asciiTheme="majorHAnsi" w:hAnsiTheme="majorHAnsi"/>
          <w:b/>
          <w:bCs/>
          <w:sz w:val="32"/>
          <w:szCs w:val="26"/>
        </w:rPr>
      </w:pPr>
      <w:r w:rsidRPr="00947BE0">
        <w:rPr>
          <w:rStyle w:val="Heading1Char"/>
          <w:rFonts w:asciiTheme="majorHAnsi" w:hAnsiTheme="majorHAnsi"/>
          <w:b/>
          <w:bCs/>
          <w:sz w:val="32"/>
          <w:szCs w:val="26"/>
        </w:rPr>
        <w:t>Standard Statements</w:t>
      </w:r>
      <w:bookmarkStart w:id="12" w:name="_Hlt103157950"/>
      <w:bookmarkStart w:id="13" w:name="_Toc300653623"/>
      <w:bookmarkEnd w:id="11"/>
      <w:bookmarkEnd w:id="12"/>
    </w:p>
    <w:bookmarkEnd w:id="13"/>
    <w:p w:rsidR="00721A06" w:rsidRPr="003C0DCB" w:rsidRDefault="00721A06" w:rsidP="00721A06">
      <w:pPr>
        <w:pStyle w:val="Heading3"/>
        <w:numPr>
          <w:ilvl w:val="0"/>
          <w:numId w:val="14"/>
        </w:numPr>
      </w:pPr>
      <w:r>
        <w:t>General</w:t>
      </w:r>
    </w:p>
    <w:p w:rsidR="00721A06" w:rsidRPr="00947BE0" w:rsidRDefault="00721A06" w:rsidP="00721A06">
      <w:pPr>
        <w:pStyle w:val="NormalDS"/>
        <w:numPr>
          <w:ilvl w:val="1"/>
          <w:numId w:val="14"/>
        </w:numPr>
      </w:pPr>
      <w:r w:rsidRPr="00947BE0">
        <w:t xml:space="preserve">All </w:t>
      </w:r>
      <w:r>
        <w:t>Alight</w:t>
      </w:r>
      <w:r w:rsidRPr="00947BE0">
        <w:t xml:space="preserve"> data that must be retained to meet legal, regulatory, business or client requirements must be stored in a location or system other than the systems listed in this standard that meets the requirements of the Global Information Governance Policy and related policies and standards.</w:t>
      </w:r>
    </w:p>
    <w:p w:rsidR="00721A06" w:rsidRDefault="00721A06" w:rsidP="00721A06">
      <w:pPr>
        <w:pStyle w:val="NormalDS"/>
        <w:numPr>
          <w:ilvl w:val="1"/>
          <w:numId w:val="14"/>
        </w:numPr>
      </w:pPr>
      <w:r w:rsidRPr="00947BE0">
        <w:t xml:space="preserve">Information that is on hold must be preserved and </w:t>
      </w:r>
      <w:proofErr w:type="gramStart"/>
      <w:r w:rsidRPr="00947BE0">
        <w:t>excepted</w:t>
      </w:r>
      <w:proofErr w:type="gramEnd"/>
      <w:r w:rsidRPr="00947BE0">
        <w:t xml:space="preserve"> from any disposition activity as defined by the </w:t>
      </w:r>
      <w:r>
        <w:t>Alight</w:t>
      </w:r>
      <w:r w:rsidRPr="00947BE0">
        <w:t xml:space="preserve"> Global Information Governance Policy</w:t>
      </w:r>
      <w:r>
        <w:t xml:space="preserve">. </w:t>
      </w:r>
    </w:p>
    <w:p w:rsidR="00721A06" w:rsidRPr="00F735A6" w:rsidRDefault="00721A06" w:rsidP="00721A06">
      <w:pPr>
        <w:pStyle w:val="Heading3"/>
        <w:numPr>
          <w:ilvl w:val="0"/>
          <w:numId w:val="14"/>
        </w:numPr>
      </w:pPr>
      <w:r>
        <w:t>System-Specific Maximum Data Storage Durations</w:t>
      </w:r>
    </w:p>
    <w:p w:rsidR="00721A06" w:rsidRPr="00947BE0" w:rsidRDefault="00721A06" w:rsidP="00721A06">
      <w:pPr>
        <w:pStyle w:val="NormalDS"/>
        <w:keepNext/>
        <w:numPr>
          <w:ilvl w:val="1"/>
          <w:numId w:val="14"/>
        </w:numPr>
        <w:ind w:left="1080" w:hanging="540"/>
        <w:jc w:val="both"/>
        <w:rPr>
          <w:sz w:val="22"/>
        </w:rPr>
      </w:pPr>
      <w:proofErr w:type="spellStart"/>
      <w:r w:rsidRPr="00947BE0">
        <w:rPr>
          <w:b/>
        </w:rPr>
        <w:t>ProofPoint</w:t>
      </w:r>
      <w:proofErr w:type="spellEnd"/>
      <w:r w:rsidRPr="00947BE0">
        <w:t xml:space="preserve"> – Data is stored for 10 years from the date the data is sent from, or received by, a messaging system that is, or has been, configured to have specific content archived in </w:t>
      </w:r>
      <w:proofErr w:type="spellStart"/>
      <w:r w:rsidRPr="00947BE0">
        <w:t>ProofPoint</w:t>
      </w:r>
      <w:proofErr w:type="spellEnd"/>
      <w:r w:rsidRPr="00947BE0">
        <w:t xml:space="preserve">. </w:t>
      </w:r>
    </w:p>
    <w:p w:rsidR="00721A06" w:rsidRPr="00947BE0" w:rsidRDefault="00721A06" w:rsidP="00721A06">
      <w:pPr>
        <w:pStyle w:val="NormalDS"/>
        <w:numPr>
          <w:ilvl w:val="1"/>
          <w:numId w:val="14"/>
        </w:numPr>
        <w:rPr>
          <w:b/>
        </w:rPr>
      </w:pPr>
      <w:r w:rsidRPr="00947BE0">
        <w:rPr>
          <w:b/>
        </w:rPr>
        <w:t>Microsoft Exchange</w:t>
      </w:r>
    </w:p>
    <w:p w:rsidR="00721A06" w:rsidRDefault="00721A06" w:rsidP="00721A06">
      <w:pPr>
        <w:pStyle w:val="NormalDS"/>
        <w:numPr>
          <w:ilvl w:val="2"/>
          <w:numId w:val="14"/>
        </w:numPr>
      </w:pPr>
      <w:r>
        <w:t>Email is stored in an active colleague’s individual mailbox per the following rules:</w:t>
      </w:r>
    </w:p>
    <w:tbl>
      <w:tblPr>
        <w:tblW w:w="3509" w:type="pct"/>
        <w:tblInd w:w="2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323"/>
        <w:gridCol w:w="2589"/>
        <w:gridCol w:w="1758"/>
      </w:tblGrid>
      <w:tr w:rsidR="00721A06" w:rsidRPr="001739CA"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i/>
                <w:sz w:val="18"/>
                <w:szCs w:val="18"/>
              </w:rPr>
            </w:pPr>
            <w:r w:rsidRPr="00947BE0">
              <w:rPr>
                <w:rFonts w:asciiTheme="minorHAnsi" w:hAnsiTheme="minorHAnsi" w:cs="Cambria"/>
                <w:sz w:val="18"/>
                <w:szCs w:val="18"/>
              </w:rPr>
              <w:t>Folder</w:t>
            </w:r>
            <w:r w:rsidRPr="00947BE0">
              <w:rPr>
                <w:rFonts w:asciiTheme="minorHAnsi" w:hAnsiTheme="minorHAnsi" w:cs="Cambria"/>
                <w:sz w:val="18"/>
                <w:szCs w:val="18"/>
              </w:rPr>
              <w:tab/>
            </w:r>
          </w:p>
        </w:tc>
        <w:tc>
          <w:tcPr>
            <w:tcW w:w="4347" w:type="dxa"/>
            <w:gridSpan w:val="2"/>
            <w:shd w:val="clear" w:color="auto" w:fill="auto"/>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Rule</w:t>
            </w:r>
          </w:p>
        </w:tc>
      </w:tr>
      <w:tr w:rsidR="00721A06" w:rsidRPr="001C223C" w:rsidTr="00315EFC">
        <w:trPr>
          <w:cantSplit/>
        </w:trPr>
        <w:tc>
          <w:tcPr>
            <w:tcW w:w="2323" w:type="dxa"/>
            <w:shd w:val="clear" w:color="auto" w:fill="F2F2F2"/>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i/>
                <w:sz w:val="18"/>
                <w:szCs w:val="18"/>
              </w:rPr>
              <w:t>Applies to all subfolders of the named folder below</w:t>
            </w:r>
          </w:p>
        </w:tc>
        <w:tc>
          <w:tcPr>
            <w:tcW w:w="2589" w:type="dxa"/>
            <w:shd w:val="clear" w:color="auto" w:fill="F2F2F2"/>
          </w:tcPr>
          <w:p w:rsidR="00721A06" w:rsidRPr="00947BE0" w:rsidRDefault="00721A06" w:rsidP="00315EFC">
            <w:pPr>
              <w:pStyle w:val="NormalDS"/>
              <w:rPr>
                <w:rFonts w:asciiTheme="minorHAnsi" w:hAnsiTheme="minorHAnsi" w:cs="Cambria"/>
                <w:i/>
                <w:sz w:val="18"/>
                <w:szCs w:val="18"/>
              </w:rPr>
            </w:pPr>
            <w:r w:rsidRPr="00947BE0">
              <w:rPr>
                <w:rFonts w:asciiTheme="minorHAnsi" w:hAnsiTheme="minorHAnsi" w:cs="Cambria"/>
                <w:i/>
                <w:sz w:val="18"/>
                <w:szCs w:val="18"/>
              </w:rPr>
              <w:t>Storage Period</w:t>
            </w:r>
            <w:r w:rsidRPr="00947BE0">
              <w:rPr>
                <w:rFonts w:asciiTheme="minorHAnsi" w:hAnsiTheme="minorHAnsi" w:cs="Cambria"/>
                <w:i/>
                <w:sz w:val="18"/>
                <w:szCs w:val="18"/>
              </w:rPr>
              <w:tab/>
            </w:r>
          </w:p>
        </w:tc>
        <w:tc>
          <w:tcPr>
            <w:tcW w:w="1758" w:type="dxa"/>
            <w:shd w:val="clear" w:color="auto" w:fill="F2F2F2"/>
          </w:tcPr>
          <w:p w:rsidR="00721A06" w:rsidRPr="00947BE0" w:rsidRDefault="00721A06" w:rsidP="00315EFC">
            <w:pPr>
              <w:pStyle w:val="NormalDS"/>
              <w:rPr>
                <w:rFonts w:asciiTheme="minorHAnsi" w:hAnsiTheme="minorHAnsi" w:cs="Cambria"/>
                <w:i/>
                <w:sz w:val="18"/>
                <w:szCs w:val="18"/>
              </w:rPr>
            </w:pPr>
            <w:r w:rsidRPr="00947BE0">
              <w:rPr>
                <w:rFonts w:asciiTheme="minorHAnsi" w:hAnsiTheme="minorHAnsi" w:cs="Cambria"/>
                <w:i/>
                <w:sz w:val="18"/>
                <w:szCs w:val="18"/>
              </w:rPr>
              <w:t>Action</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lastRenderedPageBreak/>
              <w:t>Inbox</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15 months</w:t>
            </w:r>
          </w:p>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 xml:space="preserve">(rolling—based on message received date) </w:t>
            </w:r>
          </w:p>
        </w:tc>
        <w:tc>
          <w:tcPr>
            <w:tcW w:w="1758" w:type="dxa"/>
          </w:tcPr>
          <w:p w:rsidR="00721A06" w:rsidRPr="00947BE0" w:rsidRDefault="00721A06" w:rsidP="00315EFC">
            <w:pPr>
              <w:pStyle w:val="NormalDS"/>
              <w:rPr>
                <w:rFonts w:asciiTheme="minorHAnsi" w:hAnsiTheme="minorHAnsi" w:cs="Cambria"/>
                <w:sz w:val="18"/>
                <w:szCs w:val="18"/>
                <w:highlight w:val="yellow"/>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Drafts</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1 year</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 xml:space="preserve">Managed Folders / </w:t>
            </w:r>
            <w:r w:rsidRPr="00947BE0">
              <w:rPr>
                <w:rFonts w:asciiTheme="minorHAnsi" w:hAnsiTheme="minorHAnsi" w:cs="Cambria"/>
                <w:b/>
                <w:sz w:val="18"/>
                <w:szCs w:val="18"/>
              </w:rPr>
              <w:br/>
              <w:t>Old Inbox Items / Inbox</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 xml:space="preserve">1 year </w:t>
            </w:r>
          </w:p>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(rolling—based on message received date)</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Conversation History</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30 days</w:t>
            </w:r>
          </w:p>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(rolling—based on item creation date)</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Permanently delete</w:t>
            </w:r>
          </w:p>
          <w:p w:rsidR="00721A06" w:rsidRPr="00947BE0" w:rsidRDefault="00721A06" w:rsidP="00315EFC">
            <w:pPr>
              <w:pStyle w:val="NormalDS"/>
              <w:rPr>
                <w:rFonts w:asciiTheme="minorHAnsi" w:hAnsiTheme="minorHAnsi" w:cs="Cambria"/>
                <w:i/>
                <w:sz w:val="18"/>
                <w:szCs w:val="18"/>
              </w:rPr>
            </w:pPr>
            <w:r w:rsidRPr="00947BE0">
              <w:rPr>
                <w:rFonts w:asciiTheme="minorHAnsi" w:hAnsiTheme="minorHAnsi" w:cs="Cambria"/>
                <w:i/>
                <w:sz w:val="18"/>
                <w:szCs w:val="18"/>
              </w:rPr>
              <w:t>Cannot be recovered</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Deleted Items</w:t>
            </w:r>
            <w:r w:rsidRPr="00947BE0">
              <w:rPr>
                <w:rFonts w:asciiTheme="minorHAnsi" w:hAnsiTheme="minorHAnsi" w:cs="Cambria"/>
                <w:b/>
                <w:sz w:val="18"/>
                <w:szCs w:val="18"/>
                <w:vertAlign w:val="superscript"/>
              </w:rPr>
              <w:t>3</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90 days</w:t>
            </w:r>
          </w:p>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(rolling—based on received/sent/creation date)</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Sent Items</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15 months</w:t>
            </w:r>
          </w:p>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(rolling—based on received date)</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Journal</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 xml:space="preserve">15 months </w:t>
            </w:r>
          </w:p>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 xml:space="preserve">(rolling based on received/creation date) </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RSS Feeds</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30 days</w:t>
            </w:r>
          </w:p>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(rolling—based on received/creation date)</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Calendar</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2 years</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r w:rsidR="00721A06" w:rsidRPr="001C223C" w:rsidTr="00315EFC">
        <w:trPr>
          <w:cantSplit/>
        </w:trPr>
        <w:tc>
          <w:tcPr>
            <w:tcW w:w="2323" w:type="dxa"/>
            <w:shd w:val="clear" w:color="auto" w:fill="auto"/>
          </w:tcPr>
          <w:p w:rsidR="00721A06" w:rsidRPr="00947BE0" w:rsidRDefault="00721A06" w:rsidP="00315EFC">
            <w:pPr>
              <w:pStyle w:val="NormalDS"/>
              <w:rPr>
                <w:rFonts w:asciiTheme="minorHAnsi" w:hAnsiTheme="minorHAnsi" w:cs="Cambria"/>
                <w:b/>
                <w:sz w:val="18"/>
                <w:szCs w:val="18"/>
              </w:rPr>
            </w:pPr>
            <w:r w:rsidRPr="00947BE0">
              <w:rPr>
                <w:rFonts w:asciiTheme="minorHAnsi" w:hAnsiTheme="minorHAnsi" w:cs="Cambria"/>
                <w:b/>
                <w:sz w:val="18"/>
                <w:szCs w:val="18"/>
              </w:rPr>
              <w:t>Junk E-mail</w:t>
            </w:r>
            <w:r w:rsidRPr="00947BE0">
              <w:rPr>
                <w:rFonts w:asciiTheme="minorHAnsi" w:hAnsiTheme="minorHAnsi" w:cs="Cambria"/>
                <w:b/>
                <w:sz w:val="18"/>
                <w:szCs w:val="18"/>
                <w:vertAlign w:val="superscript"/>
              </w:rPr>
              <w:t>2</w:t>
            </w:r>
          </w:p>
        </w:tc>
        <w:tc>
          <w:tcPr>
            <w:tcW w:w="2589" w:type="dxa"/>
            <w:shd w:val="clear" w:color="auto" w:fill="auto"/>
          </w:tcPr>
          <w:p w:rsidR="00721A06" w:rsidRPr="00947BE0" w:rsidRDefault="00721A06" w:rsidP="00315EFC">
            <w:pPr>
              <w:pStyle w:val="NormalDS"/>
              <w:rPr>
                <w:rFonts w:asciiTheme="minorHAnsi" w:hAnsiTheme="minorHAnsi"/>
                <w:sz w:val="18"/>
                <w:szCs w:val="18"/>
              </w:rPr>
            </w:pPr>
            <w:r w:rsidRPr="00947BE0">
              <w:rPr>
                <w:rFonts w:asciiTheme="minorHAnsi" w:hAnsiTheme="minorHAnsi"/>
                <w:sz w:val="18"/>
                <w:szCs w:val="18"/>
              </w:rPr>
              <w:t>90 days</w:t>
            </w:r>
          </w:p>
        </w:tc>
        <w:tc>
          <w:tcPr>
            <w:tcW w:w="1758" w:type="dxa"/>
          </w:tcPr>
          <w:p w:rsidR="00721A06" w:rsidRPr="00947BE0" w:rsidRDefault="00721A06" w:rsidP="00315EFC">
            <w:pPr>
              <w:pStyle w:val="NormalDS"/>
              <w:rPr>
                <w:rFonts w:asciiTheme="minorHAnsi" w:hAnsiTheme="minorHAnsi" w:cs="Cambria"/>
                <w:sz w:val="18"/>
                <w:szCs w:val="18"/>
              </w:rPr>
            </w:pPr>
            <w:r w:rsidRPr="00947BE0">
              <w:rPr>
                <w:rFonts w:asciiTheme="minorHAnsi" w:hAnsiTheme="minorHAnsi" w:cs="Cambria"/>
                <w:sz w:val="18"/>
                <w:szCs w:val="18"/>
              </w:rPr>
              <w:t>Remove from mailbox</w:t>
            </w:r>
            <w:r w:rsidRPr="00947BE0">
              <w:rPr>
                <w:rFonts w:asciiTheme="minorHAnsi" w:hAnsiTheme="minorHAnsi" w:cs="Cambria"/>
                <w:sz w:val="18"/>
                <w:szCs w:val="18"/>
                <w:vertAlign w:val="superscript"/>
              </w:rPr>
              <w:t>1</w:t>
            </w:r>
          </w:p>
        </w:tc>
      </w:tr>
    </w:tbl>
    <w:p w:rsidR="00721A06" w:rsidRPr="00BC0DB3" w:rsidRDefault="00721A06" w:rsidP="00721A06">
      <w:pPr>
        <w:pStyle w:val="NormalDS"/>
        <w:rPr>
          <w:sz w:val="18"/>
          <w:szCs w:val="18"/>
        </w:rPr>
      </w:pPr>
      <w:r w:rsidRPr="00BC0DB3">
        <w:rPr>
          <w:sz w:val="18"/>
          <w:szCs w:val="18"/>
          <w:vertAlign w:val="superscript"/>
        </w:rPr>
        <w:t>1</w:t>
      </w:r>
      <w:r w:rsidRPr="00BC0DB3">
        <w:rPr>
          <w:sz w:val="18"/>
          <w:szCs w:val="18"/>
        </w:rPr>
        <w:t xml:space="preserve">All messages can be recovered for an additional 30 days after deletion, except for Conversation History. </w:t>
      </w:r>
    </w:p>
    <w:p w:rsidR="00721A06" w:rsidRPr="00BC0DB3" w:rsidRDefault="00721A06" w:rsidP="00721A06">
      <w:pPr>
        <w:pStyle w:val="NormalDS"/>
        <w:rPr>
          <w:sz w:val="18"/>
          <w:szCs w:val="18"/>
        </w:rPr>
      </w:pPr>
      <w:r w:rsidRPr="00BC0DB3">
        <w:rPr>
          <w:sz w:val="18"/>
          <w:szCs w:val="18"/>
          <w:vertAlign w:val="superscript"/>
        </w:rPr>
        <w:t>2</w:t>
      </w:r>
      <w:r w:rsidRPr="00BC0DB3">
        <w:rPr>
          <w:sz w:val="18"/>
          <w:szCs w:val="18"/>
        </w:rPr>
        <w:t>This folder has a deletion policy associated with it (i.e., Inbox, Sent, Conversation History, Drafts, etc.).</w:t>
      </w:r>
    </w:p>
    <w:p w:rsidR="00721A06" w:rsidRPr="00BC0DB3" w:rsidRDefault="00721A06" w:rsidP="00721A06">
      <w:pPr>
        <w:pStyle w:val="NormalDS"/>
        <w:rPr>
          <w:sz w:val="18"/>
          <w:szCs w:val="18"/>
        </w:rPr>
      </w:pPr>
      <w:r w:rsidRPr="00BC0DB3">
        <w:rPr>
          <w:sz w:val="18"/>
          <w:szCs w:val="18"/>
          <w:vertAlign w:val="superscript"/>
        </w:rPr>
        <w:t>3</w:t>
      </w:r>
      <w:r w:rsidRPr="00BC0DB3">
        <w:rPr>
          <w:sz w:val="18"/>
          <w:szCs w:val="18"/>
        </w:rPr>
        <w:t xml:space="preserve">Deleted Items: Messages </w:t>
      </w:r>
      <w:r>
        <w:rPr>
          <w:sz w:val="18"/>
          <w:szCs w:val="18"/>
        </w:rPr>
        <w:t>are</w:t>
      </w:r>
      <w:r w:rsidRPr="00BC0DB3">
        <w:rPr>
          <w:sz w:val="18"/>
          <w:szCs w:val="18"/>
        </w:rPr>
        <w:t xml:space="preserve"> deleted 90 days from the received/sent/created date.</w:t>
      </w:r>
    </w:p>
    <w:p w:rsidR="00721A06" w:rsidRPr="006F1545" w:rsidRDefault="00721A06" w:rsidP="00721A06">
      <w:pPr>
        <w:pStyle w:val="NormalDS"/>
      </w:pPr>
      <w:r>
        <w:tab/>
      </w:r>
      <w:r>
        <w:tab/>
      </w:r>
    </w:p>
    <w:p w:rsidR="00721A06" w:rsidRDefault="00721A06" w:rsidP="00721A06">
      <w:pPr>
        <w:pStyle w:val="NormalDS"/>
        <w:numPr>
          <w:ilvl w:val="2"/>
          <w:numId w:val="14"/>
        </w:numPr>
      </w:pPr>
      <w:r>
        <w:lastRenderedPageBreak/>
        <w:t>Data is stored in a terminated colleague’s individual mailbox for 90 days after the colleague termination date.</w:t>
      </w:r>
    </w:p>
    <w:p w:rsidR="00721A06" w:rsidRDefault="00721A06" w:rsidP="00721A06">
      <w:pPr>
        <w:pStyle w:val="NormalDS"/>
        <w:numPr>
          <w:ilvl w:val="1"/>
          <w:numId w:val="14"/>
        </w:numPr>
      </w:pPr>
      <w:r w:rsidRPr="00D24D94">
        <w:rPr>
          <w:b/>
        </w:rPr>
        <w:t>OneDrive</w:t>
      </w:r>
      <w:r>
        <w:t xml:space="preserve"> – Data is stored in an OneDrive space allocated to an individual colleague for 90 days after the colleague is terminated.</w:t>
      </w:r>
    </w:p>
    <w:p w:rsidR="00721A06" w:rsidRDefault="00721A06" w:rsidP="00721A06">
      <w:pPr>
        <w:pStyle w:val="NormalDS"/>
        <w:numPr>
          <w:ilvl w:val="1"/>
          <w:numId w:val="14"/>
        </w:numPr>
      </w:pPr>
      <w:r w:rsidRPr="00A5013C">
        <w:rPr>
          <w:b/>
        </w:rPr>
        <w:t>‘H:’ Drive</w:t>
      </w:r>
      <w:r>
        <w:t xml:space="preserve"> – Data is stored on a network drive allocated as a ‘home’ (</w:t>
      </w:r>
      <w:proofErr w:type="gramStart"/>
      <w:r>
        <w:t>‘H:</w:t>
      </w:r>
      <w:proofErr w:type="gramEnd"/>
      <w:r>
        <w:t>’) drive to an individual colleague for 90 days after the colleague is terminated.</w:t>
      </w:r>
    </w:p>
    <w:p w:rsidR="00721A06" w:rsidRPr="00160245" w:rsidRDefault="00721A06" w:rsidP="00721A06">
      <w:pPr>
        <w:pStyle w:val="NormalDS"/>
        <w:numPr>
          <w:ilvl w:val="1"/>
          <w:numId w:val="14"/>
        </w:numPr>
      </w:pPr>
      <w:r>
        <w:rPr>
          <w:b/>
        </w:rPr>
        <w:t>Lotus Notes Individual Colleague Mailboxes</w:t>
      </w:r>
    </w:p>
    <w:p w:rsidR="00721A06" w:rsidRPr="00015DEB" w:rsidRDefault="00721A06" w:rsidP="00721A06">
      <w:pPr>
        <w:pStyle w:val="NormalDS"/>
        <w:numPr>
          <w:ilvl w:val="2"/>
          <w:numId w:val="14"/>
        </w:numPr>
      </w:pPr>
      <w:r>
        <w:t xml:space="preserve">An </w:t>
      </w:r>
      <w:r w:rsidRPr="00116223">
        <w:t>Individual</w:t>
      </w:r>
      <w:r>
        <w:t xml:space="preserve"> colleague Lotus Notes mailbox</w:t>
      </w:r>
      <w:r w:rsidRPr="00116223">
        <w:t xml:space="preserve"> must meet </w:t>
      </w:r>
      <w:r>
        <w:t xml:space="preserve">all of </w:t>
      </w:r>
      <w:r w:rsidRPr="00116223">
        <w:t>the following conditions to be considered eligible for deletion:</w:t>
      </w:r>
    </w:p>
    <w:p w:rsidR="00721A06" w:rsidRPr="00116223" w:rsidRDefault="00721A06" w:rsidP="00721A06">
      <w:pPr>
        <w:pStyle w:val="NormalDS"/>
        <w:numPr>
          <w:ilvl w:val="3"/>
          <w:numId w:val="14"/>
        </w:numPr>
      </w:pPr>
      <w:r w:rsidRPr="00116223">
        <w:t xml:space="preserve">A specific colleague must have been allocated an individual colleague Lotus Notes mailbox prior to the deployment </w:t>
      </w:r>
      <w:r>
        <w:t>of Microsoft O365 BPOS Exchange.</w:t>
      </w:r>
    </w:p>
    <w:p w:rsidR="00721A06" w:rsidRPr="00015DEB" w:rsidRDefault="00721A06" w:rsidP="00721A06">
      <w:pPr>
        <w:pStyle w:val="NormalDS"/>
        <w:numPr>
          <w:ilvl w:val="3"/>
          <w:numId w:val="14"/>
        </w:numPr>
      </w:pPr>
      <w:r w:rsidRPr="00116223">
        <w:t>The specific colleague must have been allocated an individual colleague Microsoft O365 Exchange BPOS mailbox as part of the deployment of Microsoft O365 BPOS Exchange</w:t>
      </w:r>
    </w:p>
    <w:p w:rsidR="00721A06" w:rsidRPr="00116223" w:rsidRDefault="00721A06" w:rsidP="00721A06">
      <w:pPr>
        <w:pStyle w:val="NormalDS"/>
        <w:numPr>
          <w:ilvl w:val="2"/>
          <w:numId w:val="14"/>
        </w:numPr>
      </w:pPr>
      <w:r w:rsidRPr="00116223">
        <w:t>Lotus Notes individual colleague mailboxes that meet</w:t>
      </w:r>
      <w:r>
        <w:t xml:space="preserve"> </w:t>
      </w:r>
      <w:r w:rsidRPr="00116223">
        <w:t xml:space="preserve">the above </w:t>
      </w:r>
      <w:r>
        <w:t>conditions</w:t>
      </w:r>
      <w:r w:rsidRPr="00116223">
        <w:t xml:space="preserve"> are deleted 7 years after the colleague was provisioned with an individual colleague Micros</w:t>
      </w:r>
      <w:r>
        <w:t>oft O365 BPOS Exchange mailbox.</w:t>
      </w:r>
    </w:p>
    <w:p w:rsidR="00721A06" w:rsidRDefault="00721A06" w:rsidP="00721A06">
      <w:pPr>
        <w:pStyle w:val="NormalDS"/>
        <w:numPr>
          <w:ilvl w:val="2"/>
          <w:numId w:val="14"/>
        </w:numPr>
      </w:pPr>
      <w:r w:rsidRPr="00116223">
        <w:t>Active colleagues and managers of terminated collea</w:t>
      </w:r>
      <w:r>
        <w:t>gues with Lotus Notes and Micros</w:t>
      </w:r>
      <w:r w:rsidRPr="00116223">
        <w:t xml:space="preserve">oft mailboxes that meet the above </w:t>
      </w:r>
      <w:r>
        <w:t>conditions</w:t>
      </w:r>
      <w:r w:rsidRPr="00116223">
        <w:t xml:space="preserve"> </w:t>
      </w:r>
      <w:r>
        <w:t xml:space="preserve">must be </w:t>
      </w:r>
      <w:r w:rsidRPr="00116223">
        <w:t xml:space="preserve">advised of the impending deletion of the Lotus Notes mailbox at least 30 calendar days prior to the deletion taking place. </w:t>
      </w:r>
    </w:p>
    <w:p w:rsidR="00721A06" w:rsidRDefault="00721A06" w:rsidP="00721A06">
      <w:pPr>
        <w:pStyle w:val="NormalDS"/>
        <w:numPr>
          <w:ilvl w:val="2"/>
          <w:numId w:val="14"/>
        </w:numPr>
      </w:pPr>
      <w:r w:rsidRPr="00CB5319">
        <w:t xml:space="preserve">An Individual Colleague Lotus Notes mailbox allocated to a colleague that </w:t>
      </w:r>
      <w:r w:rsidRPr="00C7423B">
        <w:t>was not issued a Microsoft O365 BPOS Exchange mailbox is deleted 90 days after the colleague is terminated.</w:t>
      </w:r>
    </w:p>
    <w:p w:rsidR="00721A06" w:rsidRDefault="00721A06" w:rsidP="00721A06">
      <w:pPr>
        <w:pStyle w:val="Heading2"/>
      </w:pPr>
      <w:bookmarkStart w:id="14" w:name="_Toc158805972"/>
      <w:bookmarkStart w:id="15" w:name="_Toc289842767"/>
      <w:bookmarkStart w:id="16" w:name="_Toc301517836"/>
      <w:bookmarkStart w:id="17" w:name="_Toc304735590"/>
      <w:r>
        <w:t xml:space="preserve">References and </w:t>
      </w:r>
      <w:r w:rsidRPr="003C0DCB">
        <w:t>Mandates</w:t>
      </w:r>
      <w:bookmarkStart w:id="18" w:name="_Appendix_I"/>
      <w:bookmarkStart w:id="19" w:name="_Appendix_I_"/>
      <w:bookmarkStart w:id="20" w:name="_Toc304735593"/>
      <w:bookmarkEnd w:id="14"/>
      <w:bookmarkEnd w:id="15"/>
      <w:bookmarkEnd w:id="16"/>
      <w:bookmarkEnd w:id="17"/>
      <w:bookmarkEnd w:id="18"/>
      <w:bookmarkEnd w:id="19"/>
    </w:p>
    <w:p w:rsidR="00721A06" w:rsidRDefault="00721A06" w:rsidP="00721A06">
      <w:pPr>
        <w:pStyle w:val="NormalDS"/>
        <w:numPr>
          <w:ilvl w:val="0"/>
          <w:numId w:val="15"/>
        </w:numPr>
      </w:pPr>
      <w:r>
        <w:t>None</w:t>
      </w:r>
    </w:p>
    <w:p w:rsidR="00721A06" w:rsidRPr="00EE255B" w:rsidRDefault="00721A06" w:rsidP="00721A06">
      <w:pPr>
        <w:pStyle w:val="Heading2"/>
      </w:pPr>
      <w:r w:rsidRPr="007E6914">
        <w:t>Legal Conflicts</w:t>
      </w:r>
      <w:r w:rsidRPr="00EE255B">
        <w:t xml:space="preserve"> </w:t>
      </w:r>
    </w:p>
    <w:p w:rsidR="00721A06" w:rsidRPr="003C6EFE" w:rsidRDefault="00721A06" w:rsidP="00721A06">
      <w:pPr>
        <w:pStyle w:val="NormalDS"/>
      </w:pPr>
      <w:r>
        <w:t xml:space="preserve">Alight’s Security Policies and Standards were drafted to address the protections found in existing laws and regulations and may be amended as necessary due to law, regulation, or business requirements.  There is no intent to conflict with relevant laws or </w:t>
      </w:r>
      <w:r w:rsidRPr="003C6EFE">
        <w:t>regulations.  In the event of any conflict with relevant laws or regulations, they will control.</w:t>
      </w:r>
    </w:p>
    <w:p w:rsidR="00721A06" w:rsidRDefault="00721A06" w:rsidP="00721A06">
      <w:pPr>
        <w:pStyle w:val="NormalDS"/>
      </w:pPr>
      <w:r>
        <w:t>Alight</w:t>
      </w:r>
      <w:r w:rsidRPr="003C6EFE">
        <w:t xml:space="preserve">’s </w:t>
      </w:r>
      <w:r>
        <w:t xml:space="preserve">Security </w:t>
      </w:r>
      <w:r w:rsidRPr="003C6EFE">
        <w:t xml:space="preserve">Policies and Standards may be supplemented by other policies or standards of </w:t>
      </w:r>
      <w:r>
        <w:t>Alight</w:t>
      </w:r>
      <w:r w:rsidRPr="003C6EFE">
        <w:t xml:space="preserve">.  In the case of a conflict or ambiguity, the more specific provisions of any such policy or standard of </w:t>
      </w:r>
      <w:r>
        <w:lastRenderedPageBreak/>
        <w:t>Alight</w:t>
      </w:r>
      <w:r w:rsidRPr="003C6EFE">
        <w:t xml:space="preserve"> shall take precedence over the more general provisions contained in </w:t>
      </w:r>
      <w:r>
        <w:t xml:space="preserve">Alight’s Security </w:t>
      </w:r>
      <w:r w:rsidRPr="003C6EFE">
        <w:t>Policies and Standards.</w:t>
      </w:r>
      <w:r>
        <w:t xml:space="preserve"> </w:t>
      </w:r>
      <w:bookmarkStart w:id="21" w:name="_Toc289842768"/>
      <w:bookmarkEnd w:id="20"/>
    </w:p>
    <w:p w:rsidR="00721A06" w:rsidRPr="002311A6" w:rsidRDefault="00721A06" w:rsidP="00721A06">
      <w:pPr>
        <w:pStyle w:val="Heading2"/>
      </w:pPr>
      <w:r w:rsidRPr="002311A6">
        <w:t>Document Control Information</w:t>
      </w:r>
      <w:bookmarkEnd w:id="21"/>
    </w:p>
    <w:p w:rsidR="00721A06" w:rsidRPr="00274338" w:rsidRDefault="00721A06" w:rsidP="00721A06">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721A06" w:rsidRPr="00274338" w:rsidTr="00315EFC">
        <w:trPr>
          <w:cantSplit/>
        </w:trPr>
        <w:tc>
          <w:tcPr>
            <w:tcW w:w="3355" w:type="dxa"/>
            <w:tcBorders>
              <w:top w:val="nil"/>
              <w:bottom w:val="single" w:sz="12" w:space="0" w:color="808080" w:themeColor="background1" w:themeShade="80"/>
            </w:tcBorders>
            <w:shd w:val="clear" w:color="auto" w:fill="auto"/>
            <w:vAlign w:val="bottom"/>
          </w:tcPr>
          <w:p w:rsidR="00721A06" w:rsidRPr="00274338" w:rsidRDefault="00721A06" w:rsidP="00315EFC">
            <w:pPr>
              <w:pStyle w:val="TableColumnHead"/>
            </w:pPr>
          </w:p>
        </w:tc>
        <w:tc>
          <w:tcPr>
            <w:tcW w:w="6210" w:type="dxa"/>
            <w:tcBorders>
              <w:top w:val="nil"/>
              <w:bottom w:val="single" w:sz="12" w:space="0" w:color="808080" w:themeColor="background1" w:themeShade="80"/>
            </w:tcBorders>
            <w:shd w:val="clear" w:color="auto" w:fill="auto"/>
            <w:vAlign w:val="bottom"/>
          </w:tcPr>
          <w:p w:rsidR="00721A06" w:rsidRPr="00274338" w:rsidRDefault="00721A06" w:rsidP="00315EFC">
            <w:pPr>
              <w:pStyle w:val="TableColumnHead"/>
            </w:pPr>
          </w:p>
        </w:tc>
      </w:tr>
      <w:tr w:rsidR="00721A06" w:rsidRPr="00274338" w:rsidTr="00315EFC">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721A06" w:rsidRPr="00274338" w:rsidRDefault="00721A06" w:rsidP="00315EFC">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721A06" w:rsidRPr="00274338" w:rsidRDefault="00DC6F5B" w:rsidP="00315EFC">
            <w:pPr>
              <w:pStyle w:val="Bullet4Table"/>
              <w:numPr>
                <w:ilvl w:val="0"/>
                <w:numId w:val="0"/>
              </w:numPr>
            </w:pPr>
            <w:hyperlink r:id="rId9" w:history="1">
              <w:r w:rsidR="00721A06" w:rsidRPr="00B213EB">
                <w:t>Data</w:t>
              </w:r>
            </w:hyperlink>
            <w:r w:rsidR="00721A06" w:rsidRPr="00B213EB">
              <w:rPr>
                <w:rFonts w:cs="Arial"/>
              </w:rPr>
              <w:t xml:space="preserve"> Protection &amp; Governance</w:t>
            </w:r>
            <w:r w:rsidR="00721A06">
              <w:rPr>
                <w:rFonts w:cs="Arial"/>
              </w:rPr>
              <w:t xml:space="preserve"> </w:t>
            </w:r>
            <w:r w:rsidR="00721A06" w:rsidRPr="007A6AF7">
              <w:rPr>
                <w:rFonts w:cs="Arial"/>
                <w:szCs w:val="18"/>
              </w:rPr>
              <w:t xml:space="preserve">| </w:t>
            </w:r>
            <w:hyperlink r:id="rId10" w:history="1">
              <w:r w:rsidR="00721A06" w:rsidRPr="007A6AF7">
                <w:rPr>
                  <w:rStyle w:val="Hyperlink"/>
                  <w:rFonts w:cs="Arial"/>
                  <w:szCs w:val="18"/>
                </w:rPr>
                <w:t>Information.Governance@aon.com</w:t>
              </w:r>
            </w:hyperlink>
          </w:p>
        </w:tc>
      </w:tr>
      <w:tr w:rsidR="00721A0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21A06" w:rsidRPr="00274338" w:rsidRDefault="00721A06" w:rsidP="00315EFC">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21A06" w:rsidRPr="00274338" w:rsidRDefault="00721A06" w:rsidP="00315EFC">
            <w:pPr>
              <w:pStyle w:val="TableCopy"/>
            </w:pPr>
            <w:r>
              <w:t>1.2</w:t>
            </w:r>
          </w:p>
        </w:tc>
      </w:tr>
      <w:tr w:rsidR="00721A0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21A06" w:rsidRPr="00274338" w:rsidRDefault="00721A06" w:rsidP="00315EFC">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21A06" w:rsidRPr="00274338" w:rsidRDefault="00721A06" w:rsidP="00315EFC">
            <w:pPr>
              <w:pStyle w:val="TableCopy"/>
            </w:pPr>
            <w:r>
              <w:t>Alight</w:t>
            </w:r>
            <w:r w:rsidRPr="009B6065">
              <w:t xml:space="preserve"> Global Security Services | </w:t>
            </w:r>
            <w:r>
              <w:t>Data Security &amp; Governance</w:t>
            </w:r>
          </w:p>
        </w:tc>
      </w:tr>
      <w:tr w:rsidR="00721A0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21A06" w:rsidRPr="00274338" w:rsidRDefault="00721A06" w:rsidP="00315EFC">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21A06" w:rsidRPr="00274338" w:rsidRDefault="00721A06" w:rsidP="00315EFC">
            <w:pPr>
              <w:pStyle w:val="TableCopy"/>
            </w:pPr>
            <w:r>
              <w:t>Alight</w:t>
            </w:r>
            <w:r w:rsidRPr="009B6065">
              <w:t xml:space="preserve"> Global Security Services | </w:t>
            </w:r>
            <w:r>
              <w:t>Data Security &amp; Governance</w:t>
            </w:r>
          </w:p>
        </w:tc>
      </w:tr>
      <w:tr w:rsidR="00721A0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Jim Hartley</w:t>
            </w:r>
            <w:r w:rsidRPr="009B6065">
              <w:t xml:space="preserve">, Chief </w:t>
            </w:r>
            <w:r>
              <w:t xml:space="preserve">Information </w:t>
            </w:r>
            <w:r w:rsidRPr="009B6065">
              <w:t>Security Officer</w:t>
            </w:r>
          </w:p>
        </w:tc>
      </w:tr>
      <w:tr w:rsidR="00721A0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May 1, 2017</w:t>
            </w:r>
          </w:p>
        </w:tc>
      </w:tr>
      <w:tr w:rsidR="00721A0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May 1, 2017</w:t>
            </w:r>
          </w:p>
        </w:tc>
      </w:tr>
      <w:tr w:rsidR="00721A0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September 25, 2015</w:t>
            </w:r>
          </w:p>
        </w:tc>
      </w:tr>
      <w:tr w:rsidR="00721A0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21A06" w:rsidRDefault="00721A06" w:rsidP="00315EFC">
            <w:pPr>
              <w:pStyle w:val="TableCopy"/>
            </w:pPr>
            <w:r w:rsidRPr="009B6065">
              <w:t>General Internal – Low Business Impact (Green)</w:t>
            </w:r>
          </w:p>
        </w:tc>
      </w:tr>
    </w:tbl>
    <w:p w:rsidR="00721A06" w:rsidRDefault="00721A06" w:rsidP="00721A06"/>
    <w:p w:rsidR="00721A06" w:rsidRPr="002311A6" w:rsidRDefault="00721A06" w:rsidP="00721A06">
      <w:pPr>
        <w:pStyle w:val="Heading1"/>
        <w:spacing w:after="240"/>
      </w:pPr>
      <w:r w:rsidRPr="002311A6">
        <w:lastRenderedPageBreak/>
        <w:t>Revision History</w:t>
      </w:r>
    </w:p>
    <w:p w:rsidR="00721A06" w:rsidRPr="00274338" w:rsidRDefault="00721A06" w:rsidP="00721A06">
      <w:pPr>
        <w:pStyle w:val="TableTitle"/>
      </w:pPr>
      <w:r>
        <w:t>Revision History</w:t>
      </w:r>
    </w:p>
    <w:tbl>
      <w:tblPr>
        <w:tblW w:w="4612"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7"/>
        <w:gridCol w:w="1441"/>
        <w:gridCol w:w="1979"/>
        <w:gridCol w:w="3779"/>
      </w:tblGrid>
      <w:tr w:rsidR="00721A06" w:rsidRPr="00274338" w:rsidTr="00575994">
        <w:trPr>
          <w:cantSplit/>
        </w:trPr>
        <w:tc>
          <w:tcPr>
            <w:tcW w:w="1646" w:type="dxa"/>
            <w:tcBorders>
              <w:top w:val="nil"/>
              <w:bottom w:val="single" w:sz="12" w:space="0" w:color="808080" w:themeColor="background1" w:themeShade="80"/>
            </w:tcBorders>
            <w:shd w:val="clear" w:color="auto" w:fill="auto"/>
            <w:vAlign w:val="bottom"/>
          </w:tcPr>
          <w:p w:rsidR="00721A06" w:rsidRPr="00274338" w:rsidRDefault="00721A06" w:rsidP="00315EFC">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721A06" w:rsidRPr="00274338" w:rsidRDefault="00721A06" w:rsidP="00315EFC">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721A06" w:rsidRPr="00274338" w:rsidRDefault="00721A06" w:rsidP="00315EFC">
            <w:pPr>
              <w:pStyle w:val="TableColumnHead"/>
            </w:pPr>
            <w:r>
              <w:t>Description</w:t>
            </w:r>
            <w:r w:rsidRPr="00274338">
              <w:t xml:space="preserve"> </w:t>
            </w:r>
          </w:p>
        </w:tc>
        <w:tc>
          <w:tcPr>
            <w:tcW w:w="3779" w:type="dxa"/>
            <w:tcBorders>
              <w:top w:val="nil"/>
              <w:bottom w:val="single" w:sz="12" w:space="0" w:color="808080" w:themeColor="background1" w:themeShade="80"/>
            </w:tcBorders>
          </w:tcPr>
          <w:p w:rsidR="00721A06" w:rsidRDefault="00721A06" w:rsidP="00315EFC">
            <w:pPr>
              <w:pStyle w:val="TableColumnHead"/>
            </w:pPr>
            <w:r>
              <w:t>Change Summary</w:t>
            </w:r>
          </w:p>
        </w:tc>
      </w:tr>
      <w:tr w:rsidR="00721A06" w:rsidRPr="00274338" w:rsidTr="00575994">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Pr>
                <w:sz w:val="18"/>
                <w:szCs w:val="18"/>
              </w:rPr>
              <w:t>2015 September</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sidRPr="00A92C1C">
              <w:rPr>
                <w:sz w:val="18"/>
                <w:szCs w:val="18"/>
              </w:rPr>
              <w:t>Original</w:t>
            </w:r>
          </w:p>
        </w:tc>
        <w:tc>
          <w:tcPr>
            <w:tcW w:w="3779" w:type="dxa"/>
            <w:tcBorders>
              <w:top w:val="single" w:sz="12" w:space="0" w:color="808080" w:themeColor="background1" w:themeShade="80"/>
              <w:bottom w:val="single" w:sz="4" w:space="0" w:color="808080" w:themeColor="background1" w:themeShade="80"/>
            </w:tcBorders>
          </w:tcPr>
          <w:p w:rsidR="00721A06" w:rsidRPr="009960D6" w:rsidRDefault="00721A06" w:rsidP="00315EFC">
            <w:pPr>
              <w:pStyle w:val="NormalDS"/>
              <w:rPr>
                <w:sz w:val="18"/>
                <w:szCs w:val="18"/>
              </w:rPr>
            </w:pPr>
            <w:r>
              <w:rPr>
                <w:rFonts w:cs="Arial"/>
                <w:color w:val="000000"/>
                <w:sz w:val="18"/>
                <w:szCs w:val="18"/>
              </w:rPr>
              <w:t>Document published</w:t>
            </w:r>
          </w:p>
        </w:tc>
      </w:tr>
      <w:tr w:rsidR="00721A06" w:rsidRPr="00274338" w:rsidTr="0057599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sidRPr="00A92C1C">
              <w:rPr>
                <w:sz w:val="18"/>
                <w:szCs w:val="18"/>
              </w:rPr>
              <w:t>2013 Annual Review</w:t>
            </w:r>
          </w:p>
        </w:tc>
        <w:tc>
          <w:tcPr>
            <w:tcW w:w="3779" w:type="dxa"/>
            <w:tcBorders>
              <w:top w:val="single" w:sz="4" w:space="0" w:color="808080" w:themeColor="background1" w:themeShade="80"/>
              <w:bottom w:val="single" w:sz="4" w:space="0" w:color="808080" w:themeColor="background1" w:themeShade="80"/>
            </w:tcBorders>
          </w:tcPr>
          <w:p w:rsidR="00721A06" w:rsidRPr="0053269B" w:rsidRDefault="00721A06" w:rsidP="00315EFC">
            <w:pPr>
              <w:pStyle w:val="NormalDS"/>
              <w:rPr>
                <w:sz w:val="18"/>
              </w:rPr>
            </w:pPr>
            <w:r w:rsidRPr="0053269B">
              <w:rPr>
                <w:sz w:val="18"/>
              </w:rPr>
              <w:t>Reviewed and validated</w:t>
            </w:r>
          </w:p>
          <w:p w:rsidR="00721A06" w:rsidRPr="009960D6" w:rsidRDefault="00721A06" w:rsidP="00315EFC">
            <w:pPr>
              <w:pStyle w:val="NormalDS"/>
            </w:pPr>
            <w:r w:rsidRPr="0053269B">
              <w:rPr>
                <w:sz w:val="18"/>
              </w:rPr>
              <w:t>Standard Name change to System Data Deletion Standard; Clarified wording; added section on Lotus Notes Mailboxes for colleagues that were issues Lotus Notes individual colleague mailboxes and were later issued MS BPOS Exchange Mailboxes;  Replaced all instances of Security Risk Management (SRM) with Global Security Services (GSS) to reflect new organization name</w:t>
            </w:r>
          </w:p>
        </w:tc>
      </w:tr>
      <w:tr w:rsidR="00721A06" w:rsidRPr="00274338" w:rsidTr="0057599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21A06" w:rsidRPr="00A92C1C" w:rsidRDefault="00721A06" w:rsidP="00315EFC">
            <w:pPr>
              <w:rPr>
                <w:sz w:val="18"/>
                <w:szCs w:val="18"/>
              </w:rPr>
            </w:pPr>
            <w:r w:rsidRPr="00A92C1C">
              <w:rPr>
                <w:sz w:val="18"/>
                <w:szCs w:val="18"/>
              </w:rPr>
              <w:t>2017 Rebranding</w:t>
            </w:r>
          </w:p>
        </w:tc>
        <w:tc>
          <w:tcPr>
            <w:tcW w:w="3779" w:type="dxa"/>
            <w:tcBorders>
              <w:top w:val="single" w:sz="4" w:space="0" w:color="808080" w:themeColor="background1" w:themeShade="80"/>
              <w:bottom w:val="single" w:sz="4" w:space="0" w:color="808080" w:themeColor="background1" w:themeShade="80"/>
            </w:tcBorders>
          </w:tcPr>
          <w:p w:rsidR="00721A06" w:rsidRPr="009960D6" w:rsidRDefault="00721A06" w:rsidP="00315EFC">
            <w:pPr>
              <w:pStyle w:val="NormalDS"/>
              <w:rPr>
                <w:sz w:val="18"/>
                <w:szCs w:val="18"/>
              </w:rPr>
            </w:pPr>
            <w:r w:rsidRPr="009960D6">
              <w:rPr>
                <w:sz w:val="18"/>
                <w:szCs w:val="18"/>
              </w:rPr>
              <w:t>Rebranded policy due to Aon Hewitt divestiture</w:t>
            </w:r>
          </w:p>
        </w:tc>
      </w:tr>
      <w:tr w:rsidR="00721A06" w:rsidRPr="00274338" w:rsidTr="00575994">
        <w:trPr>
          <w:cantSplit/>
        </w:trPr>
        <w:tc>
          <w:tcPr>
            <w:tcW w:w="1646" w:type="dxa"/>
            <w:tcBorders>
              <w:top w:val="single" w:sz="4" w:space="0" w:color="808080" w:themeColor="background1" w:themeShade="80"/>
              <w:bottom w:val="nil"/>
            </w:tcBorders>
            <w:shd w:val="clear" w:color="auto" w:fill="auto"/>
          </w:tcPr>
          <w:p w:rsidR="00721A06" w:rsidRDefault="00721A06" w:rsidP="00315EFC">
            <w:pPr>
              <w:pStyle w:val="TableCopy"/>
            </w:pPr>
          </w:p>
        </w:tc>
        <w:tc>
          <w:tcPr>
            <w:tcW w:w="1441" w:type="dxa"/>
            <w:tcBorders>
              <w:top w:val="single" w:sz="4" w:space="0" w:color="808080" w:themeColor="background1" w:themeShade="80"/>
              <w:bottom w:val="nil"/>
            </w:tcBorders>
            <w:shd w:val="clear" w:color="auto" w:fill="auto"/>
          </w:tcPr>
          <w:p w:rsidR="00721A06" w:rsidRPr="009B6065" w:rsidRDefault="00721A06" w:rsidP="00315EFC">
            <w:pPr>
              <w:pStyle w:val="NormalDS"/>
            </w:pPr>
          </w:p>
        </w:tc>
        <w:tc>
          <w:tcPr>
            <w:tcW w:w="1979" w:type="dxa"/>
            <w:tcBorders>
              <w:top w:val="single" w:sz="4" w:space="0" w:color="808080" w:themeColor="background1" w:themeShade="80"/>
              <w:bottom w:val="nil"/>
            </w:tcBorders>
            <w:shd w:val="clear" w:color="auto" w:fill="auto"/>
          </w:tcPr>
          <w:p w:rsidR="00721A06" w:rsidRPr="00274338" w:rsidRDefault="00721A06" w:rsidP="00315EFC">
            <w:pPr>
              <w:pStyle w:val="TableCopy"/>
            </w:pPr>
          </w:p>
        </w:tc>
        <w:tc>
          <w:tcPr>
            <w:tcW w:w="3779" w:type="dxa"/>
            <w:tcBorders>
              <w:top w:val="single" w:sz="4" w:space="0" w:color="808080" w:themeColor="background1" w:themeShade="80"/>
              <w:bottom w:val="nil"/>
            </w:tcBorders>
          </w:tcPr>
          <w:p w:rsidR="00721A06" w:rsidRPr="00274338" w:rsidRDefault="00721A06" w:rsidP="00315EFC">
            <w:pPr>
              <w:pStyle w:val="TableCopy"/>
            </w:pPr>
          </w:p>
        </w:tc>
      </w:tr>
      <w:bookmarkEnd w:id="0"/>
      <w:bookmarkEnd w:id="1"/>
      <w:bookmarkEnd w:id="2"/>
      <w:bookmarkEnd w:id="3"/>
      <w:bookmarkEnd w:id="4"/>
      <w:bookmarkEnd w:id="5"/>
      <w:bookmarkEnd w:id="6"/>
      <w:bookmarkEnd w:id="7"/>
      <w:bookmarkEnd w:id="8"/>
      <w:bookmarkEnd w:id="9"/>
    </w:tbl>
    <w:p w:rsidR="00721A06" w:rsidRPr="00947BE0" w:rsidRDefault="00721A06" w:rsidP="00721A06">
      <w:pPr>
        <w:pStyle w:val="NormalDS"/>
      </w:pPr>
    </w:p>
    <w:sectPr w:rsidR="00721A06" w:rsidRPr="00947BE0"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F5B" w:rsidRDefault="00DC6F5B" w:rsidP="005B402B">
      <w:r>
        <w:separator/>
      </w:r>
    </w:p>
  </w:endnote>
  <w:endnote w:type="continuationSeparator" w:id="0">
    <w:p w:rsidR="00DC6F5B" w:rsidRDefault="00DC6F5B"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575994">
      <w:t xml:space="preserve">700.02 </w:t>
    </w:r>
    <w:r w:rsidR="00721A06">
      <w:t>System Data Deletion Standard</w:t>
    </w:r>
    <w:r>
      <w:tab/>
    </w:r>
    <w:r>
      <w:fldChar w:fldCharType="begin"/>
    </w:r>
    <w:r>
      <w:instrText xml:space="preserve"> PAGE   \* MERGEFORMAT </w:instrText>
    </w:r>
    <w:r>
      <w:fldChar w:fldCharType="separate"/>
    </w:r>
    <w:r w:rsidR="00575994">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24F5FE50" wp14:editId="0C2A16FC">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21A06" w:rsidRPr="00721A06">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F5B" w:rsidRDefault="00DC6F5B" w:rsidP="005B402B">
      <w:r>
        <w:separator/>
      </w:r>
    </w:p>
  </w:footnote>
  <w:footnote w:type="continuationSeparator" w:id="0">
    <w:p w:rsidR="00DC6F5B" w:rsidRDefault="00DC6F5B"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31C2B"/>
    <w:multiLevelType w:val="multilevel"/>
    <w:tmpl w:val="111829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8649D1"/>
    <w:multiLevelType w:val="hybridMultilevel"/>
    <w:tmpl w:val="B604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1"/>
  </w:num>
  <w:num w:numId="5">
    <w:abstractNumId w:val="12"/>
  </w:num>
  <w:num w:numId="6">
    <w:abstractNumId w:val="4"/>
  </w:num>
  <w:num w:numId="7">
    <w:abstractNumId w:val="0"/>
  </w:num>
  <w:num w:numId="8">
    <w:abstractNumId w:val="7"/>
  </w:num>
  <w:num w:numId="9">
    <w:abstractNumId w:val="6"/>
  </w:num>
  <w:num w:numId="10">
    <w:abstractNumId w:val="1"/>
  </w:num>
  <w:num w:numId="11">
    <w:abstractNumId w:val="14"/>
  </w:num>
  <w:num w:numId="12">
    <w:abstractNumId w:val="8"/>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A7F41"/>
    <w:rsid w:val="000B2B20"/>
    <w:rsid w:val="000C237C"/>
    <w:rsid w:val="000D45C4"/>
    <w:rsid w:val="001052D9"/>
    <w:rsid w:val="00130EFA"/>
    <w:rsid w:val="00132EAB"/>
    <w:rsid w:val="00133EB8"/>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A6699"/>
    <w:rsid w:val="004C19C5"/>
    <w:rsid w:val="004F6723"/>
    <w:rsid w:val="00572B9B"/>
    <w:rsid w:val="00575994"/>
    <w:rsid w:val="0058699E"/>
    <w:rsid w:val="00596FE5"/>
    <w:rsid w:val="005B402B"/>
    <w:rsid w:val="005D6101"/>
    <w:rsid w:val="00631213"/>
    <w:rsid w:val="0064411E"/>
    <w:rsid w:val="00657BDB"/>
    <w:rsid w:val="00666F6C"/>
    <w:rsid w:val="006F2AD3"/>
    <w:rsid w:val="00721A06"/>
    <w:rsid w:val="007372A8"/>
    <w:rsid w:val="0074779E"/>
    <w:rsid w:val="007B6C0D"/>
    <w:rsid w:val="008671C4"/>
    <w:rsid w:val="00877C5D"/>
    <w:rsid w:val="008F152A"/>
    <w:rsid w:val="009349C9"/>
    <w:rsid w:val="00942648"/>
    <w:rsid w:val="009837F6"/>
    <w:rsid w:val="009A1695"/>
    <w:rsid w:val="009A3A28"/>
    <w:rsid w:val="009A759D"/>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C6F5B"/>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Information.Governance@aon.com" TargetMode="External"/><Relationship Id="rId4" Type="http://schemas.microsoft.com/office/2007/relationships/stylesWithEffects" Target="stylesWithEffects.xml"/><Relationship Id="rId9" Type="http://schemas.openxmlformats.org/officeDocument/2006/relationships/hyperlink" Target="mailto:Data"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F4EB8F-896E-434F-B83F-2F9694F79529}">
  <ds:schemaRefs>
    <ds:schemaRef ds:uri="http://schemas.openxmlformats.org/officeDocument/2006/bibliography"/>
  </ds:schemaRefs>
</ds:datastoreItem>
</file>

<file path=customXml/itemProps2.xml><?xml version="1.0" encoding="utf-8"?>
<ds:datastoreItem xmlns:ds="http://schemas.openxmlformats.org/officeDocument/2006/customXml" ds:itemID="{ED2837C8-885A-4175-8594-1DB89A20920D}"/>
</file>

<file path=customXml/itemProps3.xml><?xml version="1.0" encoding="utf-8"?>
<ds:datastoreItem xmlns:ds="http://schemas.openxmlformats.org/officeDocument/2006/customXml" ds:itemID="{9CA3F439-5D72-4E6C-9984-5C8BC5553EE8}"/>
</file>

<file path=customXml/itemProps4.xml><?xml version="1.0" encoding="utf-8"?>
<ds:datastoreItem xmlns:ds="http://schemas.openxmlformats.org/officeDocument/2006/customXml" ds:itemID="{915E5F64-6563-4740-B50B-C953221EEEC3}"/>
</file>

<file path=docProps/app.xml><?xml version="1.0" encoding="utf-8"?>
<Properties xmlns="http://schemas.openxmlformats.org/officeDocument/2006/extended-properties" xmlns:vt="http://schemas.openxmlformats.org/officeDocument/2006/docPropsVTypes">
  <Template>Normal.dotm</Template>
  <TotalTime>1</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4</cp:revision>
  <dcterms:created xsi:type="dcterms:W3CDTF">2017-07-15T01:26:00Z</dcterms:created>
  <dcterms:modified xsi:type="dcterms:W3CDTF">2017-07-19T14:48:00Z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