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D4" w:rsidRPr="001F0109" w:rsidRDefault="009C7FD4" w:rsidP="003122D5">
      <w:pPr>
        <w:pStyle w:val="Heading1"/>
        <w:spacing w:before="0" w:after="240"/>
        <w:rPr>
          <w:rFonts w:ascii="Century Gothic" w:eastAsia="MS Mincho" w:hAnsi="Century Gothic"/>
          <w:b w:val="0"/>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bookmarkStart w:id="10" w:name="_GoBack"/>
      <w:r w:rsidRPr="001F0109">
        <w:rPr>
          <w:rFonts w:ascii="Century Gothic" w:hAnsi="Century Gothic"/>
          <w:b w:val="0"/>
          <w:szCs w:val="22"/>
        </w:rPr>
        <w:t>Emergency Response Standard</w:t>
      </w:r>
      <w:bookmarkStart w:id="11" w:name="_Toc304735574"/>
      <w:bookmarkStart w:id="12" w:name="_Toc301517818"/>
      <w:bookmarkStart w:id="13" w:name="_Toc289842747"/>
      <w:bookmarkStart w:id="14" w:name="_Toc300653622"/>
    </w:p>
    <w:bookmarkEnd w:id="11"/>
    <w:bookmarkEnd w:id="12"/>
    <w:bookmarkEnd w:id="13"/>
    <w:p w:rsidR="009C7FD4" w:rsidRPr="001F0109" w:rsidRDefault="009C7FD4" w:rsidP="009C7FD4">
      <w:pPr>
        <w:pStyle w:val="BodyText"/>
        <w:ind w:left="0"/>
        <w:rPr>
          <w:rFonts w:ascii="Century Gothic" w:hAnsi="Century Gothic"/>
          <w:sz w:val="32"/>
          <w:szCs w:val="32"/>
        </w:rPr>
      </w:pPr>
      <w:r w:rsidRPr="001F0109">
        <w:rPr>
          <w:rFonts w:ascii="Century Gothic" w:hAnsi="Century Gothic"/>
          <w:sz w:val="32"/>
          <w:szCs w:val="32"/>
        </w:rPr>
        <w:t>Related Policy</w:t>
      </w:r>
    </w:p>
    <w:p w:rsidR="000373AB" w:rsidRPr="001F0109" w:rsidRDefault="009C7FD4" w:rsidP="00A13AB6">
      <w:pPr>
        <w:pStyle w:val="BodyText"/>
        <w:numPr>
          <w:ilvl w:val="0"/>
          <w:numId w:val="15"/>
        </w:numPr>
        <w:rPr>
          <w:rFonts w:ascii="Century Gothic" w:hAnsi="Century Gothic"/>
          <w:sz w:val="20"/>
          <w:szCs w:val="20"/>
        </w:rPr>
      </w:pPr>
      <w:r w:rsidRPr="001F0109">
        <w:rPr>
          <w:rFonts w:ascii="Century Gothic" w:hAnsi="Century Gothic"/>
          <w:sz w:val="20"/>
          <w:szCs w:val="20"/>
        </w:rPr>
        <w:t>300.00 Physical Security Policy</w:t>
      </w:r>
      <w:bookmarkStart w:id="15" w:name="_Toc304735578"/>
    </w:p>
    <w:p w:rsidR="009C7FD4" w:rsidRPr="001F0109" w:rsidRDefault="009C7FD4" w:rsidP="000373AB">
      <w:pPr>
        <w:pStyle w:val="BodyText"/>
        <w:ind w:left="0"/>
        <w:rPr>
          <w:rFonts w:ascii="Century Gothic" w:hAnsi="Century Gothic"/>
          <w:sz w:val="32"/>
          <w:szCs w:val="32"/>
        </w:rPr>
      </w:pPr>
      <w:r w:rsidRPr="001F0109">
        <w:rPr>
          <w:rFonts w:ascii="Century Gothic" w:hAnsi="Century Gothic"/>
          <w:sz w:val="32"/>
          <w:szCs w:val="32"/>
        </w:rPr>
        <w:t>Purpose</w:t>
      </w:r>
    </w:p>
    <w:p w:rsidR="009C7FD4" w:rsidRPr="001F0109" w:rsidRDefault="009C7FD4" w:rsidP="009C7FD4">
      <w:pPr>
        <w:pStyle w:val="BodyText"/>
        <w:ind w:left="0"/>
        <w:jc w:val="both"/>
        <w:rPr>
          <w:rFonts w:ascii="Century Gothic" w:hAnsi="Century Gothic"/>
          <w:sz w:val="20"/>
          <w:szCs w:val="20"/>
        </w:rPr>
      </w:pPr>
      <w:r w:rsidRPr="001F0109">
        <w:rPr>
          <w:rFonts w:ascii="Century Gothic" w:hAnsi="Century Gothic"/>
          <w:sz w:val="20"/>
          <w:szCs w:val="20"/>
        </w:rPr>
        <w:t xml:space="preserve">The </w:t>
      </w:r>
      <w:r w:rsidR="003122D5" w:rsidRPr="001F0109">
        <w:rPr>
          <w:rFonts w:ascii="Century Gothic" w:hAnsi="Century Gothic"/>
          <w:sz w:val="20"/>
          <w:szCs w:val="20"/>
        </w:rPr>
        <w:t>Alight</w:t>
      </w:r>
      <w:r w:rsidRPr="001F0109">
        <w:rPr>
          <w:rFonts w:ascii="Century Gothic" w:hAnsi="Century Gothic"/>
          <w:sz w:val="20"/>
          <w:szCs w:val="20"/>
        </w:rPr>
        <w:t xml:space="preserve"> Emergency Response Standard (“Standard”) defines </w:t>
      </w:r>
      <w:r w:rsidR="003122D5" w:rsidRPr="001F0109">
        <w:rPr>
          <w:rFonts w:ascii="Century Gothic" w:hAnsi="Century Gothic"/>
          <w:sz w:val="20"/>
          <w:szCs w:val="20"/>
        </w:rPr>
        <w:t>Alight</w:t>
      </w:r>
      <w:r w:rsidRPr="001F0109">
        <w:rPr>
          <w:rFonts w:ascii="Century Gothic" w:hAnsi="Century Gothic"/>
          <w:sz w:val="20"/>
          <w:szCs w:val="20"/>
        </w:rPr>
        <w:t xml:space="preserve">’s standard for maintaining a global program that ensures </w:t>
      </w:r>
      <w:proofErr w:type="gramStart"/>
      <w:r w:rsidR="003122D5" w:rsidRPr="001F0109">
        <w:rPr>
          <w:rFonts w:ascii="Century Gothic" w:hAnsi="Century Gothic" w:cs="Arial"/>
          <w:sz w:val="20"/>
          <w:szCs w:val="20"/>
        </w:rPr>
        <w:t>Alight</w:t>
      </w:r>
      <w:proofErr w:type="gramEnd"/>
      <w:r w:rsidRPr="001F0109">
        <w:rPr>
          <w:rFonts w:ascii="Century Gothic" w:hAnsi="Century Gothic" w:cs="Arial"/>
          <w:sz w:val="20"/>
          <w:szCs w:val="20"/>
        </w:rPr>
        <w:t xml:space="preserve"> colleagues are prepared to respond to an emergency issue within the office.  </w:t>
      </w:r>
      <w:r w:rsidRPr="001F0109">
        <w:rPr>
          <w:rFonts w:ascii="Century Gothic" w:hAnsi="Century Gothic"/>
          <w:sz w:val="20"/>
          <w:szCs w:val="20"/>
        </w:rPr>
        <w:t xml:space="preserve">This is a global standard that governs </w:t>
      </w:r>
      <w:r w:rsidR="003122D5" w:rsidRPr="001F0109">
        <w:rPr>
          <w:rFonts w:ascii="Century Gothic" w:hAnsi="Century Gothic"/>
          <w:sz w:val="20"/>
          <w:szCs w:val="20"/>
        </w:rPr>
        <w:t>Alight</w:t>
      </w:r>
      <w:r w:rsidRPr="001F0109">
        <w:rPr>
          <w:rFonts w:ascii="Century Gothic" w:hAnsi="Century Gothic"/>
          <w:sz w:val="20"/>
          <w:szCs w:val="20"/>
        </w:rPr>
        <w:t xml:space="preserve"> Corporation, including all business units and subsidiaries.  It supports efficient business operations, preservation of corporate memory and compliance with relevant legal and regulatory requirements. </w:t>
      </w:r>
    </w:p>
    <w:p w:rsidR="009C7FD4" w:rsidRPr="001F0109" w:rsidRDefault="009C7FD4" w:rsidP="009C7FD4">
      <w:pPr>
        <w:pStyle w:val="BodyText"/>
        <w:ind w:left="0"/>
        <w:jc w:val="both"/>
        <w:rPr>
          <w:rFonts w:ascii="Century Gothic" w:hAnsi="Century Gothic"/>
          <w:sz w:val="20"/>
          <w:szCs w:val="20"/>
        </w:rPr>
      </w:pPr>
      <w:r w:rsidRPr="001F0109">
        <w:rPr>
          <w:rFonts w:ascii="Century Gothic" w:hAnsi="Century Gothic" w:cs="Arial"/>
          <w:sz w:val="20"/>
          <w:szCs w:val="20"/>
        </w:rPr>
        <w:t>An emergency is defined as an event with the potential to impact colleagues and/or office operations. Examples would include a medical emergency, fire emergency, dangerous weather, and security related issues such as bomb threats, suspicious persons or terrorism. Most emergencies resolve quickly. Emergencies that do not resolve in a short period of time may then become business continuity/disaster recovery events.</w:t>
      </w:r>
      <w:r w:rsidRPr="001F0109">
        <w:rPr>
          <w:rFonts w:ascii="Century Gothic" w:hAnsi="Century Gothic"/>
          <w:sz w:val="20"/>
          <w:szCs w:val="20"/>
        </w:rPr>
        <w:t xml:space="preserve">   </w:t>
      </w:r>
    </w:p>
    <w:p w:rsidR="009C7FD4" w:rsidRPr="001F0109" w:rsidRDefault="009C7FD4" w:rsidP="009C7FD4">
      <w:pPr>
        <w:pStyle w:val="BodyText"/>
        <w:ind w:left="0"/>
        <w:jc w:val="both"/>
        <w:rPr>
          <w:rFonts w:ascii="Century Gothic" w:hAnsi="Century Gothic"/>
          <w:sz w:val="20"/>
          <w:szCs w:val="20"/>
        </w:rPr>
      </w:pPr>
      <w:r w:rsidRPr="001F0109">
        <w:rPr>
          <w:rFonts w:ascii="Century Gothic" w:hAnsi="Century Gothic" w:cs="Arial"/>
          <w:sz w:val="20"/>
          <w:szCs w:val="20"/>
        </w:rPr>
        <w:t xml:space="preserve">The purpose of Emergency Response preparation is to ensure that each </w:t>
      </w:r>
      <w:r w:rsidR="003122D5" w:rsidRPr="001F0109">
        <w:rPr>
          <w:rFonts w:ascii="Century Gothic" w:hAnsi="Century Gothic" w:cs="Arial"/>
          <w:sz w:val="20"/>
          <w:szCs w:val="20"/>
        </w:rPr>
        <w:t>Alight</w:t>
      </w:r>
      <w:r w:rsidRPr="001F0109">
        <w:rPr>
          <w:rFonts w:ascii="Century Gothic" w:hAnsi="Century Gothic" w:cs="Arial"/>
          <w:sz w:val="20"/>
          <w:szCs w:val="20"/>
        </w:rPr>
        <w:t xml:space="preserve"> Facility and unit location has defined emergency response procedures so colleagues know to respond in the event of a local emergency.</w:t>
      </w:r>
    </w:p>
    <w:p w:rsidR="009C7FD4" w:rsidRPr="001F0109" w:rsidRDefault="009C7FD4" w:rsidP="009C7FD4">
      <w:pPr>
        <w:pStyle w:val="BodyText"/>
        <w:spacing w:before="100" w:beforeAutospacing="1"/>
        <w:ind w:left="0"/>
        <w:rPr>
          <w:rStyle w:val="Heading1Char"/>
          <w:rFonts w:ascii="Century Gothic" w:hAnsi="Century Gothic" w:cs="Times New Roman"/>
          <w:sz w:val="32"/>
          <w:szCs w:val="32"/>
        </w:rPr>
      </w:pPr>
      <w:r w:rsidRPr="001F0109">
        <w:rPr>
          <w:rStyle w:val="Heading1Char"/>
          <w:rFonts w:ascii="Century Gothic" w:hAnsi="Century Gothic" w:cs="Times New Roman"/>
          <w:sz w:val="32"/>
          <w:szCs w:val="32"/>
        </w:rPr>
        <w:t>Standard Statements</w:t>
      </w:r>
      <w:bookmarkStart w:id="16" w:name="_Toc300653623"/>
      <w:bookmarkEnd w:id="14"/>
      <w:bookmarkEnd w:id="15"/>
    </w:p>
    <w:p w:rsidR="009C7FD4" w:rsidRPr="001F0109" w:rsidRDefault="009C7FD4" w:rsidP="009C7FD4">
      <w:pPr>
        <w:pStyle w:val="Heading3"/>
        <w:numPr>
          <w:ilvl w:val="0"/>
          <w:numId w:val="12"/>
        </w:numPr>
        <w:autoSpaceDN w:val="0"/>
        <w:spacing w:before="100" w:beforeAutospacing="1"/>
        <w:ind w:left="547" w:hanging="547"/>
        <w:jc w:val="both"/>
        <w:rPr>
          <w:rFonts w:ascii="Century Gothic" w:eastAsia="MS Mincho" w:hAnsi="Century Gothic" w:cs="Arial"/>
          <w:szCs w:val="20"/>
        </w:rPr>
      </w:pPr>
      <w:bookmarkStart w:id="17" w:name="_Toc309249692"/>
      <w:bookmarkStart w:id="18" w:name="_Toc210180835"/>
      <w:bookmarkStart w:id="19" w:name="_Toc144115722"/>
      <w:bookmarkStart w:id="20" w:name="_Ref103157917"/>
      <w:bookmarkEnd w:id="16"/>
      <w:r w:rsidRPr="001F0109">
        <w:rPr>
          <w:rFonts w:ascii="Century Gothic" w:eastAsia="MS Mincho" w:hAnsi="Century Gothic" w:cs="Arial"/>
        </w:rPr>
        <w:t>Roles and Responsibilities</w:t>
      </w:r>
      <w:bookmarkEnd w:id="17"/>
      <w:bookmarkEnd w:id="18"/>
      <w:bookmarkEnd w:id="19"/>
      <w:bookmarkEnd w:id="20"/>
    </w:p>
    <w:p w:rsidR="009C7FD4" w:rsidRPr="001F0109" w:rsidRDefault="003122D5" w:rsidP="009C7FD4">
      <w:pPr>
        <w:pStyle w:val="ListParagraph"/>
        <w:numPr>
          <w:ilvl w:val="1"/>
          <w:numId w:val="12"/>
        </w:numPr>
        <w:spacing w:before="100" w:beforeAutospacing="1" w:after="240"/>
        <w:ind w:left="1080" w:hanging="547"/>
        <w:jc w:val="both"/>
        <w:rPr>
          <w:rFonts w:ascii="Century Gothic" w:eastAsia="Times New Roman" w:hAnsi="Century Gothic" w:cs="Arial"/>
          <w:szCs w:val="20"/>
        </w:rPr>
      </w:pPr>
      <w:r w:rsidRPr="001F0109">
        <w:rPr>
          <w:rFonts w:ascii="Century Gothic" w:hAnsi="Century Gothic" w:cs="Arial"/>
          <w:szCs w:val="20"/>
        </w:rPr>
        <w:t>Alight</w:t>
      </w:r>
      <w:r w:rsidR="009C7FD4" w:rsidRPr="001F0109">
        <w:rPr>
          <w:rFonts w:ascii="Century Gothic" w:hAnsi="Century Gothic" w:cs="Arial"/>
          <w:szCs w:val="20"/>
        </w:rPr>
        <w:t xml:space="preserve"> GSS Global Protection Services (GSS GPS)</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szCs w:val="20"/>
        </w:rPr>
      </w:pPr>
      <w:r w:rsidRPr="001F0109">
        <w:rPr>
          <w:rFonts w:ascii="Century Gothic" w:hAnsi="Century Gothic" w:cs="Arial"/>
          <w:szCs w:val="20"/>
        </w:rPr>
        <w:t>GSS GPS is the global coordinator for Emergency Response planning.</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szCs w:val="20"/>
        </w:rPr>
      </w:pPr>
      <w:r w:rsidRPr="001F0109">
        <w:rPr>
          <w:rFonts w:ascii="Century Gothic" w:hAnsi="Century Gothic" w:cs="Arial"/>
          <w:szCs w:val="20"/>
        </w:rPr>
        <w:t xml:space="preserve">GSS GPS is responsible for Emergency Response plan development and maintaining a solution for centralized plan retention.  </w:t>
      </w:r>
    </w:p>
    <w:p w:rsidR="009C7FD4" w:rsidRPr="001F0109" w:rsidRDefault="003122D5" w:rsidP="009C7FD4">
      <w:pPr>
        <w:pStyle w:val="ListParagraph"/>
        <w:numPr>
          <w:ilvl w:val="1"/>
          <w:numId w:val="12"/>
        </w:numPr>
        <w:spacing w:before="100" w:beforeAutospacing="1" w:after="240"/>
        <w:ind w:left="1080" w:hanging="547"/>
        <w:jc w:val="both"/>
        <w:rPr>
          <w:rFonts w:ascii="Century Gothic" w:hAnsi="Century Gothic" w:cs="Arial"/>
          <w:szCs w:val="20"/>
        </w:rPr>
      </w:pPr>
      <w:r w:rsidRPr="001F0109">
        <w:rPr>
          <w:rFonts w:ascii="Century Gothic" w:hAnsi="Century Gothic" w:cs="Arial"/>
          <w:szCs w:val="20"/>
        </w:rPr>
        <w:t>Alight</w:t>
      </w:r>
      <w:r w:rsidR="009C7FD4" w:rsidRPr="001F0109">
        <w:rPr>
          <w:rFonts w:ascii="Century Gothic" w:hAnsi="Century Gothic" w:cs="Arial"/>
          <w:szCs w:val="20"/>
        </w:rPr>
        <w:t xml:space="preserve"> Corporate Real Estate and Facilities </w:t>
      </w:r>
    </w:p>
    <w:p w:rsidR="009C7FD4" w:rsidRPr="001F0109" w:rsidRDefault="009C7FD4" w:rsidP="009C7FD4">
      <w:pPr>
        <w:pStyle w:val="ListParagraph"/>
        <w:spacing w:before="100" w:beforeAutospacing="1" w:after="240"/>
        <w:ind w:left="1800"/>
        <w:jc w:val="both"/>
        <w:rPr>
          <w:rFonts w:ascii="Century Gothic" w:hAnsi="Century Gothic" w:cs="Arial"/>
          <w:szCs w:val="20"/>
        </w:rPr>
      </w:pPr>
      <w:r w:rsidRPr="001F0109">
        <w:rPr>
          <w:rFonts w:ascii="Century Gothic" w:hAnsi="Century Gothic" w:cs="Arial"/>
          <w:szCs w:val="20"/>
        </w:rPr>
        <w:t xml:space="preserve">The </w:t>
      </w:r>
      <w:r w:rsidR="003122D5" w:rsidRPr="001F0109">
        <w:rPr>
          <w:rFonts w:ascii="Century Gothic" w:hAnsi="Century Gothic" w:cs="Arial"/>
          <w:szCs w:val="20"/>
        </w:rPr>
        <w:t>Alight</w:t>
      </w:r>
      <w:r w:rsidRPr="001F0109">
        <w:rPr>
          <w:rFonts w:ascii="Century Gothic" w:hAnsi="Century Gothic" w:cs="Arial"/>
          <w:szCs w:val="20"/>
        </w:rPr>
        <w:t xml:space="preserve"> Corporate Real Estate and Facilities management department is responsible for assisting GSS GPS with local coordination, development, maintenance, and implementation of emergency response procedures for all </w:t>
      </w:r>
      <w:proofErr w:type="gramStart"/>
      <w:r w:rsidR="003122D5" w:rsidRPr="001F0109">
        <w:rPr>
          <w:rFonts w:ascii="Century Gothic" w:hAnsi="Century Gothic" w:cs="Arial"/>
          <w:szCs w:val="20"/>
        </w:rPr>
        <w:t>Alight</w:t>
      </w:r>
      <w:proofErr w:type="gramEnd"/>
      <w:r w:rsidRPr="001F0109">
        <w:rPr>
          <w:rFonts w:ascii="Century Gothic" w:hAnsi="Century Gothic" w:cs="Arial"/>
          <w:szCs w:val="20"/>
        </w:rPr>
        <w:t xml:space="preserve"> business unit locations. </w:t>
      </w:r>
    </w:p>
    <w:p w:rsidR="009C7FD4" w:rsidRPr="001F0109" w:rsidRDefault="003122D5" w:rsidP="009C7FD4">
      <w:pPr>
        <w:pStyle w:val="ListParagraph"/>
        <w:numPr>
          <w:ilvl w:val="1"/>
          <w:numId w:val="12"/>
        </w:numPr>
        <w:spacing w:before="100" w:beforeAutospacing="1" w:after="240"/>
        <w:jc w:val="both"/>
        <w:rPr>
          <w:rFonts w:ascii="Century Gothic" w:hAnsi="Century Gothic" w:cs="Arial"/>
          <w:szCs w:val="20"/>
        </w:rPr>
      </w:pPr>
      <w:r w:rsidRPr="001F0109">
        <w:rPr>
          <w:rFonts w:ascii="Century Gothic" w:hAnsi="Century Gothic" w:cs="Arial"/>
          <w:szCs w:val="20"/>
        </w:rPr>
        <w:t>Alight</w:t>
      </w:r>
      <w:r w:rsidR="009C7FD4" w:rsidRPr="001F0109">
        <w:rPr>
          <w:rFonts w:ascii="Century Gothic" w:hAnsi="Century Gothic" w:cs="Arial"/>
          <w:szCs w:val="20"/>
        </w:rPr>
        <w:t xml:space="preserve"> Assigned Location Emergency Response Plan Owner</w:t>
      </w:r>
    </w:p>
    <w:p w:rsidR="009C7FD4" w:rsidRPr="001F0109" w:rsidRDefault="009C7FD4" w:rsidP="009C7FD4">
      <w:pPr>
        <w:pStyle w:val="ListParagraph"/>
        <w:numPr>
          <w:ilvl w:val="2"/>
          <w:numId w:val="12"/>
        </w:numPr>
        <w:spacing w:before="100" w:beforeAutospacing="1" w:after="240"/>
        <w:ind w:left="1224"/>
        <w:jc w:val="both"/>
        <w:rPr>
          <w:rFonts w:ascii="Century Gothic" w:hAnsi="Century Gothic" w:cs="Arial"/>
          <w:szCs w:val="20"/>
        </w:rPr>
      </w:pPr>
      <w:r w:rsidRPr="001F0109">
        <w:rPr>
          <w:rFonts w:ascii="Century Gothic" w:hAnsi="Century Gothic" w:cs="Arial"/>
          <w:szCs w:val="20"/>
        </w:rPr>
        <w:t xml:space="preserve">The assigned owner of the emergency response plan for the facility is responsible for submitting the plan to GSS GPS on an annual basis for posting to the centralized retention point. More frequent updates needed to keep plan details current (i.e. list of training response team members) must be retained on site.  </w:t>
      </w:r>
    </w:p>
    <w:p w:rsidR="009C7FD4" w:rsidRPr="001F0109" w:rsidRDefault="009C7FD4" w:rsidP="009C7FD4">
      <w:pPr>
        <w:pStyle w:val="Heading3"/>
        <w:numPr>
          <w:ilvl w:val="0"/>
          <w:numId w:val="12"/>
        </w:numPr>
        <w:autoSpaceDN w:val="0"/>
        <w:spacing w:before="100" w:beforeAutospacing="1"/>
        <w:ind w:left="540" w:hanging="540"/>
        <w:rPr>
          <w:rFonts w:ascii="Century Gothic" w:eastAsia="MS Mincho" w:hAnsi="Century Gothic" w:cs="Arial"/>
        </w:rPr>
      </w:pPr>
      <w:bookmarkStart w:id="21" w:name="_Hlt103157953"/>
      <w:bookmarkStart w:id="22" w:name="_Hlt103158148"/>
      <w:bookmarkStart w:id="23" w:name="_Ref103157924"/>
      <w:bookmarkStart w:id="24" w:name="_Toc144115724"/>
      <w:bookmarkStart w:id="25" w:name="_Toc210180837"/>
      <w:bookmarkStart w:id="26" w:name="_Toc309249693"/>
      <w:bookmarkEnd w:id="21"/>
      <w:bookmarkEnd w:id="22"/>
      <w:r w:rsidRPr="001F0109">
        <w:rPr>
          <w:rFonts w:ascii="Century Gothic" w:eastAsia="MS Mincho" w:hAnsi="Century Gothic" w:cs="Arial"/>
        </w:rPr>
        <w:lastRenderedPageBreak/>
        <w:t>Emergency Response Plan Development, Implementation and Maintenance</w:t>
      </w:r>
      <w:bookmarkEnd w:id="23"/>
      <w:bookmarkEnd w:id="24"/>
      <w:bookmarkEnd w:id="25"/>
      <w:bookmarkEnd w:id="26"/>
    </w:p>
    <w:p w:rsidR="009C7FD4" w:rsidRPr="001F0109" w:rsidRDefault="009C7FD4" w:rsidP="009C7FD4">
      <w:pPr>
        <w:pStyle w:val="ListParagraph"/>
        <w:numPr>
          <w:ilvl w:val="1"/>
          <w:numId w:val="12"/>
        </w:numPr>
        <w:spacing w:before="100" w:beforeAutospacing="1" w:after="240"/>
        <w:ind w:left="1080" w:hanging="547"/>
        <w:jc w:val="both"/>
        <w:rPr>
          <w:rFonts w:ascii="Century Gothic" w:eastAsia="Times New Roman" w:hAnsi="Century Gothic" w:cs="Arial"/>
        </w:rPr>
      </w:pPr>
      <w:r w:rsidRPr="001F0109">
        <w:rPr>
          <w:rFonts w:ascii="Century Gothic" w:hAnsi="Century Gothic" w:cs="Arial"/>
        </w:rPr>
        <w:t xml:space="preserve">All </w:t>
      </w:r>
      <w:r w:rsidR="003122D5" w:rsidRPr="001F0109">
        <w:rPr>
          <w:rFonts w:ascii="Century Gothic" w:hAnsi="Century Gothic" w:cs="Arial"/>
        </w:rPr>
        <w:t>Alight</w:t>
      </w:r>
      <w:r w:rsidRPr="001F0109">
        <w:rPr>
          <w:rFonts w:ascii="Century Gothic" w:hAnsi="Century Gothic" w:cs="Arial"/>
        </w:rPr>
        <w:t xml:space="preserve"> facilities must have an Emergency Response (ER) plan.  </w:t>
      </w:r>
    </w:p>
    <w:p w:rsidR="009C7FD4" w:rsidRPr="001F0109" w:rsidRDefault="009C7FD4" w:rsidP="009C7FD4">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The </w:t>
      </w:r>
      <w:r w:rsidR="003122D5" w:rsidRPr="001F0109">
        <w:rPr>
          <w:rFonts w:ascii="Century Gothic" w:hAnsi="Century Gothic" w:cs="Arial"/>
        </w:rPr>
        <w:t>Alight</w:t>
      </w:r>
      <w:r w:rsidRPr="001F0109">
        <w:rPr>
          <w:rFonts w:ascii="Century Gothic" w:hAnsi="Century Gothic" w:cs="Arial"/>
        </w:rPr>
        <w:t xml:space="preserve"> ER plan template must be utilized as the format for the plan. If a local plan is provided by building management, the local plan must include all components of the </w:t>
      </w:r>
      <w:r w:rsidR="003122D5" w:rsidRPr="001F0109">
        <w:rPr>
          <w:rFonts w:ascii="Century Gothic" w:hAnsi="Century Gothic" w:cs="Arial"/>
        </w:rPr>
        <w:t>Alight</w:t>
      </w:r>
      <w:r w:rsidRPr="001F0109">
        <w:rPr>
          <w:rFonts w:ascii="Century Gothic" w:hAnsi="Century Gothic" w:cs="Arial"/>
        </w:rPr>
        <w:t xml:space="preserve"> ER plan template, and supplemented to match the </w:t>
      </w:r>
      <w:r w:rsidR="003122D5" w:rsidRPr="001F0109">
        <w:rPr>
          <w:rFonts w:ascii="Century Gothic" w:hAnsi="Century Gothic" w:cs="Arial"/>
        </w:rPr>
        <w:t>Alight</w:t>
      </w:r>
      <w:r w:rsidRPr="001F0109">
        <w:rPr>
          <w:rFonts w:ascii="Century Gothic" w:hAnsi="Century Gothic" w:cs="Arial"/>
        </w:rPr>
        <w:t xml:space="preserve"> ER plan if necessary.  </w:t>
      </w:r>
    </w:p>
    <w:p w:rsidR="009C7FD4" w:rsidRPr="001F0109" w:rsidRDefault="009C7FD4" w:rsidP="009C7FD4">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Each </w:t>
      </w:r>
      <w:r w:rsidR="003122D5" w:rsidRPr="001F0109">
        <w:rPr>
          <w:rFonts w:ascii="Century Gothic" w:hAnsi="Century Gothic" w:cs="Arial"/>
        </w:rPr>
        <w:t>Alight</w:t>
      </w:r>
      <w:r w:rsidRPr="001F0109">
        <w:rPr>
          <w:rFonts w:ascii="Century Gothic" w:hAnsi="Century Gothic" w:cs="Arial"/>
        </w:rPr>
        <w:t xml:space="preserve"> facility must have an assigned owner responsible for ER plan development, implementation, and maintenance.  The plan shall include written procedures detailing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 response actions for each type of emergency that could affect an office.</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Typical emergency procedure topics include: medical incident, fire, dangerous weather specific to the region (tornado, hurricane, typhoon, monsoon, flooding); security issues (suspicious persons, suspicious objects, terrorism events); earthquake; power loss; elevator entrapment; procedures for persons who need help during an evacuation (e.g., are unable to use stairs by themselves), etc.</w:t>
      </w:r>
    </w:p>
    <w:p w:rsidR="009C7FD4" w:rsidRPr="001F0109" w:rsidRDefault="009C7FD4" w:rsidP="009C7FD4">
      <w:pPr>
        <w:pStyle w:val="ListParagraph"/>
        <w:numPr>
          <w:ilvl w:val="1"/>
          <w:numId w:val="12"/>
        </w:numPr>
        <w:spacing w:before="100" w:beforeAutospacing="1" w:after="240"/>
        <w:ind w:left="1080" w:hanging="547"/>
        <w:jc w:val="both"/>
        <w:rPr>
          <w:rFonts w:ascii="Century Gothic" w:hAnsi="Century Gothic" w:cs="Arial"/>
        </w:rPr>
      </w:pPr>
      <w:bookmarkStart w:id="27" w:name="_Toc141766673"/>
      <w:bookmarkStart w:id="28" w:name="_Ref103157932"/>
      <w:r w:rsidRPr="001F0109">
        <w:rPr>
          <w:rFonts w:ascii="Century Gothic" w:hAnsi="Century Gothic" w:cs="Arial"/>
        </w:rPr>
        <w:t xml:space="preserve">Written ER procedures shall address actions for colleagues at large as well as any additional procedures for those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 designated to assist with the emergency response. </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Procedures shall include a means to assist handicapped persons who cannot use stairs to evacuate. Procedures should incorporate preferred means of assistance based on local fire authority or building landlord direction, e.g., wait in stairwells; have designated helpers move the person to safety, etc. A list of all known handicapped colleagues needing evacuation assistance should be maintained as part of the ER plan.</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 xml:space="preserve">Written procedures shall include any procedures for colleagues who have to take specific steps before they leave the office (e.g., equipment shut down) or are assigned to search the premises or provide other direction and assistance to colleagues.  If all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 evacuate immediately, there is no need for this additional step.</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 xml:space="preserve">Procedures should be posted in common access electronic format for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 to have easy access and to facilitate sharing of information through electronic communications.  </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Procedures shall be available in paper format so they can be accessed during power outages and brought with designated emergency response assistants during an evacuation.</w:t>
      </w:r>
    </w:p>
    <w:p w:rsidR="009C7FD4" w:rsidRPr="001F0109" w:rsidRDefault="009C7FD4" w:rsidP="009C7FD4">
      <w:pPr>
        <w:pStyle w:val="ListParagraph"/>
        <w:numPr>
          <w:ilvl w:val="2"/>
          <w:numId w:val="12"/>
        </w:numPr>
        <w:spacing w:before="100" w:beforeAutospacing="1" w:after="240"/>
        <w:ind w:left="1800" w:hanging="720"/>
        <w:jc w:val="both"/>
        <w:rPr>
          <w:rFonts w:ascii="Century Gothic" w:hAnsi="Century Gothic" w:cs="Arial"/>
        </w:rPr>
      </w:pPr>
      <w:r w:rsidRPr="001F0109">
        <w:rPr>
          <w:rFonts w:ascii="Century Gothic" w:hAnsi="Century Gothic" w:cs="Arial"/>
        </w:rPr>
        <w:t>Procedures shall include details about unique alarms, whether audible and/or visual, and detailed response actions for each alarm type.</w:t>
      </w:r>
    </w:p>
    <w:p w:rsidR="009C7FD4" w:rsidRPr="001F0109" w:rsidRDefault="009C7FD4" w:rsidP="009C7FD4">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The ER plan shall have a means to account for people within the affected </w:t>
      </w:r>
      <w:r w:rsidR="003122D5" w:rsidRPr="001F0109">
        <w:rPr>
          <w:rFonts w:ascii="Century Gothic" w:hAnsi="Century Gothic" w:cs="Arial"/>
        </w:rPr>
        <w:t>Alight</w:t>
      </w:r>
      <w:r w:rsidRPr="001F0109">
        <w:rPr>
          <w:rFonts w:ascii="Century Gothic" w:hAnsi="Century Gothic" w:cs="Arial"/>
        </w:rPr>
        <w:t xml:space="preserve"> space (</w:t>
      </w:r>
      <w:r w:rsidR="003122D5" w:rsidRPr="001F0109">
        <w:rPr>
          <w:rFonts w:ascii="Century Gothic" w:hAnsi="Century Gothic" w:cs="Arial"/>
        </w:rPr>
        <w:t>Alight</w:t>
      </w:r>
      <w:r w:rsidRPr="001F0109">
        <w:rPr>
          <w:rFonts w:ascii="Century Gothic" w:hAnsi="Century Gothic" w:cs="Arial"/>
        </w:rPr>
        <w:t xml:space="preserve"> colleagues, clients, visitors, vendors, etc.) following a building evacuation. The process to account for occupants should follow building landlord expectations and/or local fire authority governance requirements. Examples would be maintaining an occupant list or conducting an all clear evacuation reporting system to verify occupants are clear of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space. If a colleague/occupant </w:t>
      </w:r>
      <w:r w:rsidRPr="001F0109">
        <w:rPr>
          <w:rFonts w:ascii="Century Gothic" w:hAnsi="Century Gothic" w:cs="Arial"/>
        </w:rPr>
        <w:lastRenderedPageBreak/>
        <w:t xml:space="preserve">headcount process is required, the assigned location ER plan owner in 1.3.1 shall maintain a current list of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space occupants. The list shall be updated at least quarterly or more often as required. Also, the ER plan owner shall ensure there is a process in place such that the list is available for use when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personnel are at the designated assembly point following an evacuation.</w:t>
      </w:r>
    </w:p>
    <w:p w:rsidR="009C7FD4" w:rsidRPr="001F0109" w:rsidRDefault="009C7FD4" w:rsidP="009C7FD4">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The ER plan shall include an evacuation map showing evacuation stairwells and routes within the building, and evacuation assembly area/s for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 outside the building.</w:t>
      </w:r>
    </w:p>
    <w:p w:rsidR="003122D5" w:rsidRPr="001F0109" w:rsidRDefault="009C7FD4" w:rsidP="003122D5">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Evacuation maps, high level procedure outline, and emergency response numbers, to include </w:t>
      </w:r>
      <w:r w:rsidR="003122D5" w:rsidRPr="001F0109">
        <w:rPr>
          <w:rFonts w:ascii="Century Gothic" w:hAnsi="Century Gothic" w:cs="Arial"/>
        </w:rPr>
        <w:t>Alight</w:t>
      </w:r>
      <w:r w:rsidRPr="001F0109">
        <w:rPr>
          <w:rFonts w:ascii="Century Gothic" w:hAnsi="Century Gothic" w:cs="Arial"/>
        </w:rPr>
        <w:t>’s GEOC emergency number, are to be posted in large meeting rooms and other common areas where visitors may gather so they know how to respond in an emergency.</w:t>
      </w:r>
    </w:p>
    <w:p w:rsidR="003122D5" w:rsidRPr="001F0109" w:rsidRDefault="009C7FD4" w:rsidP="003122D5">
      <w:pPr>
        <w:pStyle w:val="ListParagraph"/>
        <w:numPr>
          <w:ilvl w:val="1"/>
          <w:numId w:val="12"/>
        </w:numPr>
        <w:spacing w:before="100" w:beforeAutospacing="1" w:after="240"/>
        <w:ind w:left="1080" w:hanging="547"/>
        <w:jc w:val="both"/>
        <w:rPr>
          <w:rFonts w:ascii="Century Gothic" w:hAnsi="Century Gothic" w:cs="Arial"/>
        </w:rPr>
      </w:pPr>
      <w:r w:rsidRPr="001F0109">
        <w:rPr>
          <w:rFonts w:ascii="Century Gothic" w:hAnsi="Century Gothic" w:cs="Arial"/>
        </w:rPr>
        <w:t xml:space="preserve">Each office shall conduct an emergency evacuation drill at least annually, or more often if required by local regulation. In a multi-tenant building, </w:t>
      </w:r>
      <w:r w:rsidR="003122D5" w:rsidRPr="001F0109">
        <w:rPr>
          <w:rFonts w:ascii="Century Gothic" w:hAnsi="Century Gothic" w:cs="Arial"/>
        </w:rPr>
        <w:t>Alight</w:t>
      </w:r>
      <w:r w:rsidRPr="001F0109">
        <w:rPr>
          <w:rFonts w:ascii="Century Gothic" w:hAnsi="Century Gothic" w:cs="Arial"/>
        </w:rPr>
        <w:t xml:space="preserve"> should conduct the drill in cooperation with building management as part of a building-wide drill with other tenants or as a stand-alone drill for only </w:t>
      </w:r>
      <w:proofErr w:type="gramStart"/>
      <w:r w:rsidR="003122D5" w:rsidRPr="001F0109">
        <w:rPr>
          <w:rFonts w:ascii="Century Gothic" w:hAnsi="Century Gothic" w:cs="Arial"/>
        </w:rPr>
        <w:t>Alight</w:t>
      </w:r>
      <w:proofErr w:type="gramEnd"/>
      <w:r w:rsidRPr="001F0109">
        <w:rPr>
          <w:rFonts w:ascii="Century Gothic" w:hAnsi="Century Gothic" w:cs="Arial"/>
        </w:rPr>
        <w:t xml:space="preserve"> colleagues.</w:t>
      </w:r>
      <w:bookmarkStart w:id="29" w:name="_Toc309249694"/>
      <w:bookmarkEnd w:id="27"/>
      <w:bookmarkEnd w:id="28"/>
    </w:p>
    <w:p w:rsidR="009C7FD4" w:rsidRPr="001F0109" w:rsidRDefault="009C7FD4" w:rsidP="003122D5">
      <w:pPr>
        <w:spacing w:before="100" w:beforeAutospacing="1" w:after="240"/>
        <w:jc w:val="both"/>
        <w:rPr>
          <w:rFonts w:ascii="Century Gothic" w:eastAsia="MS Mincho" w:hAnsi="Century Gothic" w:cs="Times New Roman"/>
          <w:sz w:val="32"/>
          <w:szCs w:val="32"/>
        </w:rPr>
      </w:pPr>
      <w:r w:rsidRPr="001F0109">
        <w:rPr>
          <w:rFonts w:ascii="Century Gothic" w:eastAsia="MS Mincho" w:hAnsi="Century Gothic"/>
          <w:sz w:val="32"/>
          <w:szCs w:val="32"/>
        </w:rPr>
        <w:t>Communications</w:t>
      </w:r>
      <w:bookmarkEnd w:id="29"/>
    </w:p>
    <w:p w:rsidR="003122D5" w:rsidRPr="001F0109" w:rsidRDefault="009C7FD4" w:rsidP="003122D5">
      <w:pPr>
        <w:pStyle w:val="ListParagraph"/>
        <w:spacing w:before="120" w:after="120"/>
        <w:ind w:left="0"/>
        <w:jc w:val="both"/>
        <w:rPr>
          <w:rFonts w:ascii="Century Gothic" w:hAnsi="Century Gothic" w:cs="Arial"/>
        </w:rPr>
      </w:pPr>
      <w:r w:rsidRPr="001F0109">
        <w:rPr>
          <w:rFonts w:ascii="Century Gothic" w:hAnsi="Century Gothic" w:cs="Arial"/>
        </w:rPr>
        <w:t>Questions regarding this Standard should be directed to the GSS GPS lead in your region.</w:t>
      </w:r>
      <w:bookmarkStart w:id="30" w:name="_Toc309249695"/>
    </w:p>
    <w:p w:rsidR="003122D5" w:rsidRPr="001F0109" w:rsidRDefault="003122D5" w:rsidP="003122D5">
      <w:pPr>
        <w:pStyle w:val="ListParagraph"/>
        <w:spacing w:before="120" w:after="120"/>
        <w:ind w:left="0"/>
        <w:jc w:val="both"/>
        <w:rPr>
          <w:rFonts w:ascii="Century Gothic" w:hAnsi="Century Gothic" w:cs="Arial"/>
        </w:rPr>
      </w:pPr>
    </w:p>
    <w:p w:rsidR="009C7FD4" w:rsidRPr="001F0109" w:rsidRDefault="009C7FD4" w:rsidP="003122D5">
      <w:pPr>
        <w:pStyle w:val="ListParagraph"/>
        <w:spacing w:before="120" w:after="120"/>
        <w:ind w:left="0"/>
        <w:jc w:val="both"/>
        <w:rPr>
          <w:rFonts w:ascii="Century Gothic" w:eastAsia="MS Mincho" w:hAnsi="Century Gothic" w:cs="Times New Roman"/>
          <w:sz w:val="32"/>
          <w:szCs w:val="32"/>
        </w:rPr>
      </w:pPr>
      <w:r w:rsidRPr="001F0109">
        <w:rPr>
          <w:rFonts w:ascii="Century Gothic" w:eastAsia="MS Mincho" w:hAnsi="Century Gothic"/>
          <w:sz w:val="32"/>
          <w:szCs w:val="32"/>
        </w:rPr>
        <w:t>Legal Conflicts</w:t>
      </w:r>
      <w:bookmarkEnd w:id="30"/>
      <w:r w:rsidRPr="001F0109">
        <w:rPr>
          <w:rFonts w:ascii="Century Gothic" w:eastAsia="MS Mincho" w:hAnsi="Century Gothic"/>
          <w:sz w:val="32"/>
          <w:szCs w:val="32"/>
        </w:rPr>
        <w:t xml:space="preserve"> </w:t>
      </w:r>
    </w:p>
    <w:p w:rsidR="009C7FD4" w:rsidRPr="001F0109" w:rsidRDefault="003122D5" w:rsidP="009C7FD4">
      <w:pPr>
        <w:pStyle w:val="BodyText"/>
        <w:ind w:left="0"/>
        <w:jc w:val="both"/>
        <w:rPr>
          <w:rFonts w:ascii="Century Gothic" w:hAnsi="Century Gothic"/>
          <w:sz w:val="20"/>
          <w:szCs w:val="20"/>
        </w:rPr>
      </w:pPr>
      <w:r w:rsidRPr="001F0109">
        <w:rPr>
          <w:rFonts w:ascii="Century Gothic" w:hAnsi="Century Gothic"/>
          <w:sz w:val="20"/>
          <w:szCs w:val="20"/>
        </w:rPr>
        <w:t>Alight</w:t>
      </w:r>
      <w:r w:rsidR="009C7FD4" w:rsidRPr="001F0109">
        <w:rPr>
          <w:rFonts w:ascii="Century Gothic" w:hAnsi="Century Gothic"/>
          <w:sz w:val="20"/>
          <w:szCs w:val="20"/>
        </w:rPr>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3122D5" w:rsidRPr="001F0109" w:rsidRDefault="003122D5" w:rsidP="003122D5">
      <w:pPr>
        <w:pStyle w:val="BodyText"/>
        <w:ind w:left="0"/>
        <w:jc w:val="both"/>
        <w:rPr>
          <w:rFonts w:ascii="Century Gothic" w:hAnsi="Century Gothic"/>
          <w:sz w:val="20"/>
          <w:szCs w:val="20"/>
        </w:rPr>
      </w:pPr>
      <w:r w:rsidRPr="001F0109">
        <w:rPr>
          <w:rFonts w:ascii="Century Gothic" w:hAnsi="Century Gothic"/>
          <w:sz w:val="20"/>
          <w:szCs w:val="20"/>
        </w:rPr>
        <w:t>Alight</w:t>
      </w:r>
      <w:r w:rsidR="009C7FD4" w:rsidRPr="001F0109">
        <w:rPr>
          <w:rFonts w:ascii="Century Gothic" w:hAnsi="Century Gothic"/>
          <w:sz w:val="20"/>
          <w:szCs w:val="20"/>
        </w:rPr>
        <w:t xml:space="preserve">’s Security Policies and Standards may be supplemented by other policies or standards of </w:t>
      </w:r>
      <w:r w:rsidRPr="001F0109">
        <w:rPr>
          <w:rFonts w:ascii="Century Gothic" w:hAnsi="Century Gothic"/>
          <w:sz w:val="20"/>
          <w:szCs w:val="20"/>
        </w:rPr>
        <w:t>Alight</w:t>
      </w:r>
      <w:r w:rsidR="009C7FD4" w:rsidRPr="001F0109">
        <w:rPr>
          <w:rFonts w:ascii="Century Gothic" w:hAnsi="Century Gothic"/>
          <w:sz w:val="20"/>
          <w:szCs w:val="20"/>
        </w:rPr>
        <w:t xml:space="preserve">.  In the case of a conflict or ambiguity, the more specific provisions of any such policy or standard of </w:t>
      </w:r>
      <w:r w:rsidRPr="001F0109">
        <w:rPr>
          <w:rFonts w:ascii="Century Gothic" w:hAnsi="Century Gothic"/>
          <w:sz w:val="20"/>
          <w:szCs w:val="20"/>
        </w:rPr>
        <w:t>Alight</w:t>
      </w:r>
      <w:r w:rsidR="009C7FD4" w:rsidRPr="001F0109">
        <w:rPr>
          <w:rFonts w:ascii="Century Gothic" w:hAnsi="Century Gothic"/>
          <w:sz w:val="20"/>
          <w:szCs w:val="20"/>
        </w:rPr>
        <w:t xml:space="preserve"> shall take precedence over the more general provisions contained in </w:t>
      </w:r>
      <w:r w:rsidRPr="001F0109">
        <w:rPr>
          <w:rFonts w:ascii="Century Gothic" w:hAnsi="Century Gothic"/>
          <w:sz w:val="20"/>
          <w:szCs w:val="20"/>
        </w:rPr>
        <w:t>Alight</w:t>
      </w:r>
      <w:r w:rsidR="009C7FD4" w:rsidRPr="001F0109">
        <w:rPr>
          <w:rFonts w:ascii="Century Gothic" w:hAnsi="Century Gothic"/>
          <w:sz w:val="20"/>
          <w:szCs w:val="20"/>
        </w:rPr>
        <w:t>’s Security Policies and Standards.</w:t>
      </w:r>
      <w:bookmarkStart w:id="31" w:name="_Toc309249696"/>
    </w:p>
    <w:p w:rsidR="009C7FD4" w:rsidRPr="001F0109" w:rsidRDefault="009C7FD4" w:rsidP="003122D5">
      <w:pPr>
        <w:pStyle w:val="BodyText"/>
        <w:ind w:left="0"/>
        <w:jc w:val="both"/>
        <w:rPr>
          <w:rFonts w:ascii="Century Gothic" w:hAnsi="Century Gothic"/>
          <w:sz w:val="32"/>
          <w:szCs w:val="32"/>
        </w:rPr>
      </w:pPr>
      <w:r w:rsidRPr="001F0109">
        <w:rPr>
          <w:rFonts w:ascii="Century Gothic" w:hAnsi="Century Gothic"/>
          <w:sz w:val="32"/>
          <w:szCs w:val="32"/>
        </w:rPr>
        <w:t>Exceptions</w:t>
      </w:r>
      <w:bookmarkEnd w:id="31"/>
    </w:p>
    <w:p w:rsidR="003122D5" w:rsidRPr="001F0109" w:rsidRDefault="009C7FD4" w:rsidP="003122D5">
      <w:pPr>
        <w:pStyle w:val="BodyText"/>
        <w:ind w:left="0"/>
        <w:jc w:val="both"/>
        <w:rPr>
          <w:rFonts w:ascii="Century Gothic" w:hAnsi="Century Gothic"/>
          <w:sz w:val="20"/>
          <w:szCs w:val="20"/>
        </w:rPr>
      </w:pPr>
      <w:r w:rsidRPr="001F0109">
        <w:rPr>
          <w:rFonts w:ascii="Century Gothic" w:hAnsi="Century Gothic"/>
          <w:sz w:val="20"/>
          <w:szCs w:val="20"/>
        </w:rPr>
        <w:t xml:space="preserve">Application of the global physical security policies and standards may vary by region and office, and exceptions and variations may occur, if and when approved by GSS GPS.  Please contact GSS GPS at </w:t>
      </w:r>
      <w:hyperlink r:id="rId12" w:history="1">
        <w:r w:rsidR="003122D5" w:rsidRPr="001F0109">
          <w:rPr>
            <w:rStyle w:val="Hyperlink"/>
            <w:rFonts w:ascii="Century Gothic" w:eastAsia="Times New Roman" w:hAnsi="Century Gothic" w:cs="Arial"/>
            <w:sz w:val="20"/>
            <w:szCs w:val="20"/>
          </w:rPr>
          <w:t>global.security.services@aon.com</w:t>
        </w:r>
      </w:hyperlink>
      <w:r w:rsidRPr="001F0109">
        <w:rPr>
          <w:rFonts w:ascii="Century Gothic" w:hAnsi="Century Gothic"/>
          <w:sz w:val="20"/>
          <w:szCs w:val="20"/>
        </w:rPr>
        <w:t xml:space="preserve"> for further guidance on any exceptions or variations that may apply.</w:t>
      </w:r>
      <w:bookmarkStart w:id="32" w:name="_Toc309249697"/>
    </w:p>
    <w:p w:rsidR="009C7FD4" w:rsidRPr="001F0109" w:rsidRDefault="009C7FD4" w:rsidP="003122D5">
      <w:pPr>
        <w:pStyle w:val="BodyText"/>
        <w:ind w:left="0"/>
        <w:jc w:val="both"/>
        <w:rPr>
          <w:rFonts w:ascii="Century Gothic" w:hAnsi="Century Gothic"/>
          <w:sz w:val="32"/>
          <w:szCs w:val="32"/>
        </w:rPr>
      </w:pPr>
      <w:r w:rsidRPr="001F0109">
        <w:rPr>
          <w:rFonts w:ascii="Century Gothic" w:hAnsi="Century Gothic"/>
          <w:sz w:val="32"/>
          <w:szCs w:val="32"/>
        </w:rPr>
        <w:t>Comments</w:t>
      </w:r>
      <w:bookmarkEnd w:id="32"/>
    </w:p>
    <w:p w:rsidR="009C7FD4" w:rsidRPr="001F0109" w:rsidRDefault="009C7FD4" w:rsidP="009C7FD4">
      <w:pPr>
        <w:pStyle w:val="BodyText"/>
        <w:ind w:left="0"/>
        <w:jc w:val="both"/>
        <w:rPr>
          <w:rFonts w:ascii="Century Gothic" w:hAnsi="Century Gothic"/>
          <w:sz w:val="20"/>
          <w:szCs w:val="20"/>
        </w:rPr>
      </w:pPr>
      <w:r w:rsidRPr="001F0109">
        <w:rPr>
          <w:rFonts w:ascii="Century Gothic" w:hAnsi="Century Gothic"/>
          <w:sz w:val="20"/>
          <w:szCs w:val="20"/>
        </w:rPr>
        <w:t>Consult your local fire protection bureau or workplace safety and health authority for information about Emergency Response plan contents for your location.</w:t>
      </w:r>
    </w:p>
    <w:p w:rsidR="009C7FD4" w:rsidRPr="001F0109" w:rsidRDefault="009C7FD4" w:rsidP="003122D5">
      <w:pPr>
        <w:pStyle w:val="Heading1"/>
        <w:spacing w:before="0" w:after="240"/>
        <w:rPr>
          <w:rFonts w:ascii="Century Gothic" w:eastAsia="MS Mincho" w:hAnsi="Century Gothic"/>
          <w:sz w:val="32"/>
          <w:szCs w:val="32"/>
        </w:rPr>
      </w:pPr>
      <w:r w:rsidRPr="001F0109">
        <w:rPr>
          <w:rFonts w:ascii="Century Gothic" w:eastAsia="MS Mincho" w:hAnsi="Century Gothic"/>
          <w:sz w:val="32"/>
          <w:szCs w:val="32"/>
        </w:rPr>
        <w:lastRenderedPageBreak/>
        <w:t>Applicable Standards</w:t>
      </w:r>
    </w:p>
    <w:p w:rsidR="003122D5" w:rsidRPr="001F0109" w:rsidRDefault="009C7FD4" w:rsidP="003122D5">
      <w:pPr>
        <w:pStyle w:val="AonBullet1"/>
        <w:numPr>
          <w:ilvl w:val="0"/>
          <w:numId w:val="14"/>
        </w:numPr>
        <w:spacing w:after="240"/>
        <w:rPr>
          <w:rFonts w:ascii="Century Gothic" w:eastAsia="MS Mincho" w:hAnsi="Century Gothic"/>
          <w:sz w:val="32"/>
          <w:szCs w:val="32"/>
        </w:rPr>
      </w:pPr>
      <w:r w:rsidRPr="001F0109">
        <w:rPr>
          <w:rFonts w:ascii="Century Gothic" w:hAnsi="Century Gothic"/>
        </w:rPr>
        <w:t>None</w:t>
      </w:r>
      <w:bookmarkStart w:id="33" w:name="_Toc309249699"/>
    </w:p>
    <w:p w:rsidR="009C7FD4" w:rsidRPr="001F0109" w:rsidRDefault="009C7FD4" w:rsidP="003122D5">
      <w:pPr>
        <w:pStyle w:val="AonBullet1"/>
        <w:numPr>
          <w:ilvl w:val="0"/>
          <w:numId w:val="0"/>
        </w:numPr>
        <w:spacing w:after="240"/>
        <w:rPr>
          <w:rFonts w:ascii="Century Gothic" w:eastAsia="MS Mincho" w:hAnsi="Century Gothic"/>
          <w:sz w:val="32"/>
          <w:szCs w:val="32"/>
        </w:rPr>
      </w:pPr>
      <w:r w:rsidRPr="001F0109">
        <w:rPr>
          <w:rFonts w:ascii="Century Gothic" w:eastAsia="MS Mincho" w:hAnsi="Century Gothic"/>
          <w:sz w:val="32"/>
          <w:szCs w:val="32"/>
        </w:rPr>
        <w:t>References</w:t>
      </w:r>
      <w:bookmarkEnd w:id="33"/>
      <w:r w:rsidRPr="001F0109">
        <w:rPr>
          <w:rFonts w:ascii="Century Gothic" w:eastAsia="MS Mincho" w:hAnsi="Century Gothic"/>
          <w:sz w:val="32"/>
          <w:szCs w:val="32"/>
        </w:rPr>
        <w:t xml:space="preserve"> &amp; Mandates</w:t>
      </w:r>
    </w:p>
    <w:p w:rsidR="009C7FD4" w:rsidRPr="001F0109" w:rsidRDefault="009C7FD4" w:rsidP="003122D5">
      <w:pPr>
        <w:pStyle w:val="AonBullet1"/>
        <w:numPr>
          <w:ilvl w:val="0"/>
          <w:numId w:val="13"/>
        </w:numPr>
        <w:spacing w:after="240"/>
        <w:rPr>
          <w:rFonts w:ascii="Century Gothic" w:hAnsi="Century Gothic" w:cs="Arial"/>
        </w:rPr>
      </w:pPr>
      <w:r w:rsidRPr="001F0109">
        <w:rPr>
          <w:rFonts w:ascii="Century Gothic" w:hAnsi="Century Gothic" w:cs="Arial"/>
        </w:rPr>
        <w:t>US OSHA Standard 29CFR1910.38</w:t>
      </w:r>
    </w:p>
    <w:p w:rsidR="009C7FD4" w:rsidRPr="001F0109" w:rsidRDefault="009C7FD4" w:rsidP="003122D5">
      <w:pPr>
        <w:pStyle w:val="AonBullet1"/>
        <w:numPr>
          <w:ilvl w:val="0"/>
          <w:numId w:val="13"/>
        </w:numPr>
        <w:spacing w:after="240"/>
        <w:rPr>
          <w:rFonts w:ascii="Century Gothic" w:hAnsi="Century Gothic"/>
        </w:rPr>
      </w:pPr>
      <w:r w:rsidRPr="001F0109">
        <w:rPr>
          <w:rFonts w:ascii="Century Gothic" w:hAnsi="Century Gothic" w:cs="Arial"/>
        </w:rPr>
        <w:t>UK standard: Regulatory Reform (Fire Safety) Order 2005</w:t>
      </w:r>
    </w:p>
    <w:p w:rsidR="00AF15AD" w:rsidRPr="001F0109" w:rsidRDefault="00AF15AD" w:rsidP="00AF15AD">
      <w:pPr>
        <w:pStyle w:val="Heading1"/>
        <w:spacing w:after="240"/>
        <w:rPr>
          <w:rFonts w:ascii="Century Gothic" w:hAnsi="Century Gothic"/>
        </w:rPr>
      </w:pPr>
      <w:bookmarkStart w:id="34" w:name="_Toc528945611"/>
      <w:bookmarkStart w:id="35" w:name="_Toc529855774"/>
      <w:bookmarkStart w:id="36" w:name="_Toc529856551"/>
      <w:bookmarkStart w:id="37" w:name="_Toc531756491"/>
      <w:bookmarkStart w:id="38" w:name="_Toc1631615"/>
      <w:bookmarkStart w:id="39" w:name="_Toc133747320"/>
      <w:bookmarkStart w:id="40" w:name="_Toc158457851"/>
      <w:bookmarkStart w:id="41" w:name="_Toc158805969"/>
      <w:bookmarkStart w:id="42" w:name="_Toc289842769"/>
      <w:bookmarkStart w:id="43" w:name="_Toc306014657"/>
      <w:bookmarkEnd w:id="0"/>
      <w:bookmarkEnd w:id="1"/>
      <w:bookmarkEnd w:id="2"/>
      <w:bookmarkEnd w:id="3"/>
      <w:bookmarkEnd w:id="4"/>
      <w:bookmarkEnd w:id="5"/>
      <w:bookmarkEnd w:id="6"/>
      <w:bookmarkEnd w:id="7"/>
      <w:r w:rsidRPr="001F0109">
        <w:rPr>
          <w:rFonts w:ascii="Century Gothic" w:hAnsi="Century Gothic"/>
          <w:sz w:val="32"/>
          <w:szCs w:val="32"/>
        </w:rPr>
        <w:lastRenderedPageBreak/>
        <w:t>Document Control Information</w:t>
      </w:r>
      <w:bookmarkStart w:id="44" w:name="_Toc488220669"/>
      <w:r w:rsidRPr="001F0109">
        <w:rPr>
          <w:rFonts w:ascii="Century Gothic" w:hAnsi="Century Gothic"/>
          <w:sz w:val="32"/>
          <w:szCs w:val="32"/>
        </w:rPr>
        <w:t xml:space="preserve"> </w:t>
      </w:r>
      <w:bookmarkEnd w:id="44"/>
    </w:p>
    <w:p w:rsidR="00AF15AD" w:rsidRPr="001F0109" w:rsidRDefault="00AF15AD" w:rsidP="00AF15AD">
      <w:pPr>
        <w:pStyle w:val="TableTitle"/>
        <w:rPr>
          <w:rFonts w:ascii="Century Gothic" w:hAnsi="Century Gothic"/>
        </w:rPr>
      </w:pPr>
      <w:r w:rsidRPr="001F0109">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AF15AD" w:rsidRPr="001F0109" w:rsidTr="009418C5">
        <w:trPr>
          <w:cantSplit/>
        </w:trPr>
        <w:tc>
          <w:tcPr>
            <w:tcW w:w="3355" w:type="dxa"/>
            <w:tcBorders>
              <w:top w:val="nil"/>
              <w:bottom w:val="single" w:sz="12" w:space="0" w:color="808080" w:themeColor="background1" w:themeShade="80"/>
            </w:tcBorders>
            <w:shd w:val="clear" w:color="auto" w:fill="auto"/>
            <w:vAlign w:val="bottom"/>
          </w:tcPr>
          <w:p w:rsidR="00AF15AD" w:rsidRPr="001F0109" w:rsidRDefault="00AF15AD"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AF15AD" w:rsidRPr="001F0109" w:rsidRDefault="00AF15AD" w:rsidP="009418C5">
            <w:pPr>
              <w:pStyle w:val="TableColumnHead"/>
              <w:rPr>
                <w:rFonts w:ascii="Century Gothic" w:hAnsi="Century Gothic"/>
              </w:rPr>
            </w:pPr>
          </w:p>
        </w:tc>
      </w:tr>
      <w:tr w:rsidR="00AF15AD" w:rsidRPr="001F0109"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Bullet4Table"/>
              <w:numPr>
                <w:ilvl w:val="0"/>
                <w:numId w:val="0"/>
              </w:numPr>
              <w:rPr>
                <w:rFonts w:ascii="Century Gothic" w:hAnsi="Century Gothic"/>
              </w:rPr>
            </w:pPr>
            <w:r w:rsidRPr="001F0109">
              <w:rPr>
                <w:rFonts w:ascii="Century Gothic" w:hAnsi="Century Gothic" w:cs="Arial"/>
              </w:rPr>
              <w:t xml:space="preserve">Alight Global Security Services | </w:t>
            </w:r>
            <w:hyperlink r:id="rId13" w:history="1">
              <w:r w:rsidRPr="001F0109">
                <w:rPr>
                  <w:rStyle w:val="Hyperlink"/>
                  <w:rFonts w:ascii="Century Gothic" w:hAnsi="Century Gothic" w:cs="Arial"/>
                </w:rPr>
                <w:t>global.security.services@aon.com</w:t>
              </w:r>
            </w:hyperlink>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1.6</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 xml:space="preserve">Alight Global Security Services | </w:t>
            </w:r>
            <w:r w:rsidRPr="001F0109">
              <w:rPr>
                <w:rFonts w:ascii="Century Gothic" w:eastAsia="Times New Roman" w:hAnsi="Century Gothic"/>
              </w:rPr>
              <w:t>Global Protection Services</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 xml:space="preserve">Alight Global Security Services | </w:t>
            </w:r>
            <w:r w:rsidRPr="001F0109">
              <w:rPr>
                <w:rFonts w:ascii="Century Gothic" w:eastAsia="Times New Roman" w:hAnsi="Century Gothic"/>
              </w:rPr>
              <w:t>Global Protection Services</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Jim Hartley, Chief Information Security Officer</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May 1, 2017</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May 1, 2017</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AF15AD">
            <w:pPr>
              <w:pStyle w:val="TableCopy"/>
              <w:rPr>
                <w:rFonts w:ascii="Century Gothic" w:hAnsi="Century Gothic"/>
              </w:rPr>
            </w:pPr>
            <w:r w:rsidRPr="001F0109">
              <w:rPr>
                <w:rFonts w:ascii="Century Gothic" w:hAnsi="Century Gothic"/>
              </w:rPr>
              <w:t>May 1, 2011</w:t>
            </w:r>
          </w:p>
        </w:tc>
      </w:tr>
      <w:tr w:rsidR="00AF15AD" w:rsidRPr="001F0109"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pStyle w:val="TableCopy"/>
              <w:rPr>
                <w:rFonts w:ascii="Century Gothic" w:hAnsi="Century Gothic"/>
              </w:rPr>
            </w:pPr>
            <w:r w:rsidRPr="001F0109">
              <w:rPr>
                <w:rFonts w:ascii="Century Gothic" w:hAnsi="Century Gothic"/>
              </w:rPr>
              <w:t>General Internal – Low Business Impact (Green)</w:t>
            </w:r>
          </w:p>
        </w:tc>
      </w:tr>
    </w:tbl>
    <w:p w:rsidR="00AF15AD" w:rsidRPr="001F0109" w:rsidRDefault="00AF15AD" w:rsidP="00AF15AD">
      <w:pPr>
        <w:rPr>
          <w:rFonts w:ascii="Century Gothic" w:hAnsi="Century Gothic"/>
        </w:rPr>
      </w:pPr>
    </w:p>
    <w:p w:rsidR="00AF15AD" w:rsidRPr="001F0109" w:rsidRDefault="00AF15AD" w:rsidP="00AF15AD">
      <w:pPr>
        <w:pStyle w:val="Heading1"/>
        <w:spacing w:after="240"/>
        <w:rPr>
          <w:rFonts w:ascii="Century Gothic" w:hAnsi="Century Gothic"/>
        </w:rPr>
      </w:pPr>
      <w:bookmarkStart w:id="45" w:name="_Toc488220670"/>
      <w:bookmarkEnd w:id="8"/>
      <w:bookmarkEnd w:id="9"/>
      <w:bookmarkEnd w:id="34"/>
      <w:bookmarkEnd w:id="35"/>
      <w:bookmarkEnd w:id="36"/>
      <w:bookmarkEnd w:id="37"/>
      <w:bookmarkEnd w:id="38"/>
      <w:bookmarkEnd w:id="39"/>
      <w:bookmarkEnd w:id="40"/>
      <w:bookmarkEnd w:id="41"/>
      <w:bookmarkEnd w:id="42"/>
      <w:bookmarkEnd w:id="43"/>
      <w:r w:rsidRPr="001F0109">
        <w:rPr>
          <w:rFonts w:ascii="Century Gothic" w:hAnsi="Century Gothic"/>
        </w:rPr>
        <w:lastRenderedPageBreak/>
        <w:t>Revision History</w:t>
      </w:r>
      <w:bookmarkEnd w:id="45"/>
    </w:p>
    <w:p w:rsidR="00AF15AD" w:rsidRPr="001F0109" w:rsidRDefault="00AF15AD" w:rsidP="00AF15AD">
      <w:pPr>
        <w:pStyle w:val="TableTitle"/>
        <w:rPr>
          <w:rFonts w:ascii="Century Gothic" w:hAnsi="Century Gothic"/>
        </w:rPr>
      </w:pPr>
      <w:r w:rsidRPr="001F0109">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AF15AD" w:rsidRPr="001F0109" w:rsidTr="009418C5">
        <w:trPr>
          <w:cantSplit/>
        </w:trPr>
        <w:tc>
          <w:tcPr>
            <w:tcW w:w="1646" w:type="dxa"/>
            <w:tcBorders>
              <w:top w:val="nil"/>
              <w:bottom w:val="single" w:sz="12" w:space="0" w:color="808080" w:themeColor="background1" w:themeShade="80"/>
            </w:tcBorders>
            <w:shd w:val="clear" w:color="auto" w:fill="auto"/>
            <w:vAlign w:val="bottom"/>
          </w:tcPr>
          <w:p w:rsidR="00AF15AD" w:rsidRPr="001F0109" w:rsidRDefault="00AF15AD" w:rsidP="009418C5">
            <w:pPr>
              <w:pStyle w:val="TableColumnHead"/>
              <w:rPr>
                <w:rFonts w:ascii="Century Gothic" w:hAnsi="Century Gothic"/>
              </w:rPr>
            </w:pPr>
            <w:r w:rsidRPr="001F0109">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AF15AD" w:rsidRPr="001F0109" w:rsidRDefault="00AF15AD" w:rsidP="009418C5">
            <w:pPr>
              <w:pStyle w:val="TableColumnHead"/>
              <w:rPr>
                <w:rFonts w:ascii="Century Gothic" w:hAnsi="Century Gothic"/>
              </w:rPr>
            </w:pPr>
            <w:r w:rsidRPr="001F0109">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AF15AD" w:rsidRPr="001F0109" w:rsidRDefault="00AF15AD" w:rsidP="009418C5">
            <w:pPr>
              <w:pStyle w:val="TableColumnHead"/>
              <w:rPr>
                <w:rFonts w:ascii="Century Gothic" w:hAnsi="Century Gothic"/>
              </w:rPr>
            </w:pPr>
            <w:r w:rsidRPr="001F0109">
              <w:rPr>
                <w:rFonts w:ascii="Century Gothic" w:hAnsi="Century Gothic"/>
              </w:rPr>
              <w:t xml:space="preserve">Description </w:t>
            </w:r>
          </w:p>
        </w:tc>
        <w:tc>
          <w:tcPr>
            <w:tcW w:w="2942" w:type="dxa"/>
            <w:tcBorders>
              <w:top w:val="nil"/>
              <w:bottom w:val="single" w:sz="12" w:space="0" w:color="808080" w:themeColor="background1" w:themeShade="80"/>
            </w:tcBorders>
          </w:tcPr>
          <w:p w:rsidR="00AF15AD" w:rsidRPr="001F0109" w:rsidRDefault="00AF15AD" w:rsidP="009418C5">
            <w:pPr>
              <w:pStyle w:val="TableColumnHead"/>
              <w:rPr>
                <w:rFonts w:ascii="Century Gothic" w:hAnsi="Century Gothic"/>
              </w:rPr>
            </w:pPr>
            <w:r w:rsidRPr="001F0109">
              <w:rPr>
                <w:rFonts w:ascii="Century Gothic" w:hAnsi="Century Gothic"/>
              </w:rPr>
              <w:t>Change Summary</w:t>
            </w:r>
          </w:p>
        </w:tc>
      </w:tr>
      <w:tr w:rsidR="00AF15AD" w:rsidRPr="001F0109"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sz w:val="18"/>
                <w:szCs w:val="18"/>
              </w:rPr>
              <w:t>Restructured policy due to Aon Hewitt acquisition</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cs="Arial"/>
                <w:color w:val="000000"/>
                <w:sz w:val="18"/>
                <w:szCs w:val="18"/>
              </w:rPr>
              <w:t>Reviewed and validated</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cs="Arial"/>
                <w:color w:val="000000"/>
                <w:sz w:val="18"/>
                <w:szCs w:val="18"/>
              </w:rPr>
              <w:t>Reviewed and validated</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cs="Arial"/>
                <w:color w:val="000000"/>
                <w:sz w:val="18"/>
                <w:szCs w:val="18"/>
              </w:rPr>
              <w:t>Reviewed and validated</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AF15AD">
            <w:pPr>
              <w:rPr>
                <w:rFonts w:ascii="Century Gothic" w:hAnsi="Century Gothic"/>
                <w:sz w:val="18"/>
                <w:szCs w:val="18"/>
              </w:rPr>
            </w:pPr>
            <w:r w:rsidRPr="001F0109">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cs="Arial"/>
                <w:sz w:val="18"/>
                <w:szCs w:val="18"/>
              </w:rPr>
              <w:t>Clarified wording and replaced all instances of Security Risk Management (SRM) with Global Security Services (GSS) to reflect new organization name</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rPr>
                <w:rFonts w:ascii="Century Gothic" w:hAnsi="Century Gothic"/>
                <w:sz w:val="18"/>
                <w:szCs w:val="18"/>
              </w:rPr>
            </w:pPr>
            <w:r w:rsidRPr="001F0109">
              <w:rPr>
                <w:rFonts w:ascii="Century Gothic" w:hAnsi="Century Gothic" w:cs="Arial"/>
                <w:sz w:val="18"/>
                <w:szCs w:val="18"/>
              </w:rPr>
              <w:t>Name change from Corporate Protection Services (CPS) to Global Protection Services (GPS)</w:t>
            </w:r>
          </w:p>
        </w:tc>
      </w:tr>
      <w:tr w:rsidR="00AF15AD" w:rsidRPr="001F0109"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F15AD" w:rsidRPr="001F0109" w:rsidRDefault="00AF15AD" w:rsidP="009418C5">
            <w:pPr>
              <w:rPr>
                <w:rFonts w:ascii="Century Gothic" w:hAnsi="Century Gothic"/>
                <w:sz w:val="18"/>
                <w:szCs w:val="18"/>
              </w:rPr>
            </w:pPr>
            <w:r w:rsidRPr="001F0109">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AF15AD" w:rsidRPr="001F0109" w:rsidRDefault="00AF15AD" w:rsidP="009418C5">
            <w:pPr>
              <w:pStyle w:val="NormalDS"/>
              <w:rPr>
                <w:rFonts w:ascii="Century Gothic" w:hAnsi="Century Gothic"/>
                <w:sz w:val="18"/>
                <w:szCs w:val="18"/>
              </w:rPr>
            </w:pPr>
            <w:r w:rsidRPr="001F0109">
              <w:rPr>
                <w:rFonts w:ascii="Century Gothic" w:hAnsi="Century Gothic"/>
                <w:sz w:val="18"/>
                <w:szCs w:val="18"/>
              </w:rPr>
              <w:t>Rebranded policy due to Aon Hewitt divestiture</w:t>
            </w:r>
          </w:p>
        </w:tc>
      </w:tr>
      <w:tr w:rsidR="00AF15AD" w:rsidRPr="001F0109" w:rsidTr="009418C5">
        <w:trPr>
          <w:cantSplit/>
        </w:trPr>
        <w:tc>
          <w:tcPr>
            <w:tcW w:w="1646" w:type="dxa"/>
            <w:tcBorders>
              <w:top w:val="single" w:sz="4" w:space="0" w:color="808080" w:themeColor="background1" w:themeShade="80"/>
              <w:bottom w:val="nil"/>
            </w:tcBorders>
            <w:shd w:val="clear" w:color="auto" w:fill="auto"/>
          </w:tcPr>
          <w:p w:rsidR="00AF15AD" w:rsidRPr="001F0109" w:rsidRDefault="00AF15AD"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AF15AD" w:rsidRPr="001F0109" w:rsidRDefault="00AF15AD"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AF15AD" w:rsidRPr="001F0109" w:rsidRDefault="00AF15AD"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AF15AD" w:rsidRPr="001F0109" w:rsidRDefault="00AF15AD" w:rsidP="009418C5">
            <w:pPr>
              <w:pStyle w:val="TableCopy"/>
              <w:rPr>
                <w:rFonts w:ascii="Century Gothic" w:hAnsi="Century Gothic"/>
              </w:rPr>
            </w:pPr>
          </w:p>
        </w:tc>
      </w:tr>
      <w:bookmarkEnd w:id="10"/>
    </w:tbl>
    <w:p w:rsidR="00AF15AD" w:rsidRPr="001F0109" w:rsidRDefault="00AF15AD" w:rsidP="005D6101">
      <w:pPr>
        <w:pStyle w:val="BodyText"/>
        <w:ind w:left="0"/>
        <w:rPr>
          <w:rFonts w:ascii="Century Gothic" w:hAnsi="Century Gothic" w:cs="Arial"/>
        </w:rPr>
      </w:pPr>
    </w:p>
    <w:sectPr w:rsidR="00AF15AD" w:rsidRPr="001F0109" w:rsidSect="00075357">
      <w:footerReference w:type="default" r:id="rId14"/>
      <w:footerReference w:type="first" r:id="rId15"/>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C8" w:rsidRDefault="000479C8" w:rsidP="005B402B">
      <w:r>
        <w:separator/>
      </w:r>
    </w:p>
  </w:endnote>
  <w:endnote w:type="continuationSeparator" w:id="0">
    <w:p w:rsidR="000479C8" w:rsidRDefault="000479C8"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9C7FD4">
      <w:t>Emergency Response Standard</w:t>
    </w:r>
    <w:r>
      <w:tab/>
    </w:r>
    <w:r>
      <w:fldChar w:fldCharType="begin"/>
    </w:r>
    <w:r>
      <w:instrText xml:space="preserve"> PAGE   \* MERGEFORMAT </w:instrText>
    </w:r>
    <w:r>
      <w:fldChar w:fldCharType="separate"/>
    </w:r>
    <w:r w:rsidR="001F0109">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C8" w:rsidRDefault="000479C8" w:rsidP="005B402B">
      <w:r>
        <w:separator/>
      </w:r>
    </w:p>
  </w:footnote>
  <w:footnote w:type="continuationSeparator" w:id="0">
    <w:p w:rsidR="000479C8" w:rsidRDefault="000479C8"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BE71C2E"/>
    <w:multiLevelType w:val="hybridMultilevel"/>
    <w:tmpl w:val="92EC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90554C5"/>
    <w:multiLevelType w:val="multilevel"/>
    <w:tmpl w:val="A41E7A4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3A3C50CD"/>
    <w:multiLevelType w:val="multilevel"/>
    <w:tmpl w:val="118C9114"/>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9">
    <w:nsid w:val="4AC81173"/>
    <w:multiLevelType w:val="multilevel"/>
    <w:tmpl w:val="B3C4D8B2"/>
    <w:numStyleLink w:val="AonList"/>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9"/>
  </w:num>
  <w:num w:numId="9">
    <w:abstractNumId w:val="7"/>
  </w:num>
  <w:num w:numId="10">
    <w:abstractNumId w:val="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73AB"/>
    <w:rsid w:val="00046D27"/>
    <w:rsid w:val="000479C8"/>
    <w:rsid w:val="00075357"/>
    <w:rsid w:val="00081F96"/>
    <w:rsid w:val="00087709"/>
    <w:rsid w:val="000B2B20"/>
    <w:rsid w:val="000C237C"/>
    <w:rsid w:val="001052D9"/>
    <w:rsid w:val="00130EFA"/>
    <w:rsid w:val="00132EAB"/>
    <w:rsid w:val="00133EB8"/>
    <w:rsid w:val="00161C38"/>
    <w:rsid w:val="00193FB9"/>
    <w:rsid w:val="001D01D4"/>
    <w:rsid w:val="001F0109"/>
    <w:rsid w:val="00207AC9"/>
    <w:rsid w:val="00230498"/>
    <w:rsid w:val="00234A8F"/>
    <w:rsid w:val="00243AAD"/>
    <w:rsid w:val="0026509A"/>
    <w:rsid w:val="00274338"/>
    <w:rsid w:val="002757BF"/>
    <w:rsid w:val="002C43A9"/>
    <w:rsid w:val="003122D5"/>
    <w:rsid w:val="003641B4"/>
    <w:rsid w:val="003B4445"/>
    <w:rsid w:val="003D11EF"/>
    <w:rsid w:val="004A6699"/>
    <w:rsid w:val="004C19C5"/>
    <w:rsid w:val="004F6723"/>
    <w:rsid w:val="00572B9B"/>
    <w:rsid w:val="0058699E"/>
    <w:rsid w:val="00596FE5"/>
    <w:rsid w:val="005B402B"/>
    <w:rsid w:val="005D6101"/>
    <w:rsid w:val="00631213"/>
    <w:rsid w:val="0064411E"/>
    <w:rsid w:val="00657BDB"/>
    <w:rsid w:val="00666F6C"/>
    <w:rsid w:val="006F2AD3"/>
    <w:rsid w:val="0074779E"/>
    <w:rsid w:val="007B6C0D"/>
    <w:rsid w:val="00877C5D"/>
    <w:rsid w:val="008F152A"/>
    <w:rsid w:val="009349C9"/>
    <w:rsid w:val="00942648"/>
    <w:rsid w:val="009837F6"/>
    <w:rsid w:val="009A1695"/>
    <w:rsid w:val="009A3A28"/>
    <w:rsid w:val="009C15C5"/>
    <w:rsid w:val="009C7FD4"/>
    <w:rsid w:val="009F7CF9"/>
    <w:rsid w:val="00A13AB6"/>
    <w:rsid w:val="00A667E0"/>
    <w:rsid w:val="00A855D2"/>
    <w:rsid w:val="00AF15AD"/>
    <w:rsid w:val="00B33A2C"/>
    <w:rsid w:val="00B606E6"/>
    <w:rsid w:val="00B71DB5"/>
    <w:rsid w:val="00C16A23"/>
    <w:rsid w:val="00C57EE1"/>
    <w:rsid w:val="00D07110"/>
    <w:rsid w:val="00D33649"/>
    <w:rsid w:val="00D563B0"/>
    <w:rsid w:val="00D5712B"/>
    <w:rsid w:val="00D80981"/>
    <w:rsid w:val="00D81842"/>
    <w:rsid w:val="00D94A05"/>
    <w:rsid w:val="00DF3ECD"/>
    <w:rsid w:val="00E147BB"/>
    <w:rsid w:val="00E269A3"/>
    <w:rsid w:val="00E542BC"/>
    <w:rsid w:val="00E82861"/>
    <w:rsid w:val="00EA4F88"/>
    <w:rsid w:val="00F06404"/>
    <w:rsid w:val="00F76601"/>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49370">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bal.security.services@ao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3C986-7C05-46F0-82B6-B731996DB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9935F-B01C-43DB-B56B-30CB4D8F2B9F}">
  <ds:schemaRefs>
    <ds:schemaRef ds:uri="http://schemas.microsoft.com/sharepoint/v3/contenttype/forms"/>
  </ds:schemaRefs>
</ds:datastoreItem>
</file>

<file path=customXml/itemProps3.xml><?xml version="1.0" encoding="utf-8"?>
<ds:datastoreItem xmlns:ds="http://schemas.openxmlformats.org/officeDocument/2006/customXml" ds:itemID="{94709E54-A8B8-4E96-9DDD-C3A4C4CFE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F91163-73B4-4E38-A246-D9A43E4A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5</cp:revision>
  <dcterms:created xsi:type="dcterms:W3CDTF">2017-07-15T02:36:00Z</dcterms:created>
  <dcterms:modified xsi:type="dcterms:W3CDTF">2018-04-20T16:49:00Z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