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FD4" w:rsidRPr="00C71F1E" w:rsidRDefault="00110A91" w:rsidP="003122D5">
      <w:pPr>
        <w:pStyle w:val="Heading1"/>
        <w:spacing w:before="0" w:after="240"/>
        <w:rPr>
          <w:rFonts w:ascii="Century Gothic" w:eastAsia="MS Mincho" w:hAnsi="Century Gothic"/>
          <w:b w:val="0"/>
          <w:szCs w:val="22"/>
        </w:rPr>
      </w:pPr>
      <w:bookmarkStart w:id="0" w:name="_Toc158805971"/>
      <w:bookmarkStart w:id="1" w:name="_Toc289842748"/>
      <w:bookmarkStart w:id="2" w:name="_Toc300658435"/>
      <w:bookmarkStart w:id="3" w:name="_Toc304990088"/>
      <w:bookmarkStart w:id="4" w:name="_Toc289842663"/>
      <w:bookmarkStart w:id="5" w:name="_Toc289842750"/>
      <w:bookmarkStart w:id="6" w:name="_Toc306014639"/>
      <w:bookmarkStart w:id="7" w:name="_Toc158805973"/>
      <w:bookmarkStart w:id="8" w:name="_Toc262147560"/>
      <w:bookmarkStart w:id="9" w:name="_Toc438453596"/>
      <w:r w:rsidRPr="00C71F1E">
        <w:rPr>
          <w:rFonts w:ascii="Century Gothic" w:hAnsi="Century Gothic"/>
          <w:b w:val="0"/>
          <w:szCs w:val="22"/>
        </w:rPr>
        <w:t>Physical Security Equipment Maintenance</w:t>
      </w:r>
      <w:r w:rsidR="009C7FD4" w:rsidRPr="00C71F1E">
        <w:rPr>
          <w:rFonts w:ascii="Century Gothic" w:hAnsi="Century Gothic"/>
          <w:b w:val="0"/>
          <w:szCs w:val="22"/>
        </w:rPr>
        <w:t xml:space="preserve"> Standard</w:t>
      </w:r>
      <w:bookmarkStart w:id="10" w:name="_Toc304735574"/>
      <w:bookmarkStart w:id="11" w:name="_Toc301517818"/>
      <w:bookmarkStart w:id="12" w:name="_Toc289842747"/>
      <w:bookmarkStart w:id="13" w:name="_Toc300653622"/>
    </w:p>
    <w:bookmarkEnd w:id="10"/>
    <w:bookmarkEnd w:id="11"/>
    <w:bookmarkEnd w:id="12"/>
    <w:p w:rsidR="009C7FD4" w:rsidRPr="00C71F1E" w:rsidRDefault="009C7FD4" w:rsidP="009C7FD4">
      <w:pPr>
        <w:pStyle w:val="BodyText"/>
        <w:ind w:left="0"/>
        <w:rPr>
          <w:rFonts w:ascii="Century Gothic" w:hAnsi="Century Gothic"/>
          <w:sz w:val="32"/>
          <w:szCs w:val="32"/>
        </w:rPr>
      </w:pPr>
      <w:r w:rsidRPr="00C71F1E">
        <w:rPr>
          <w:rFonts w:ascii="Century Gothic" w:hAnsi="Century Gothic"/>
          <w:sz w:val="32"/>
          <w:szCs w:val="32"/>
        </w:rPr>
        <w:t>Related Policy</w:t>
      </w:r>
    </w:p>
    <w:p w:rsidR="00110A91" w:rsidRPr="00C71F1E" w:rsidRDefault="009C7FD4" w:rsidP="00237A54">
      <w:pPr>
        <w:pStyle w:val="BodyText"/>
        <w:numPr>
          <w:ilvl w:val="0"/>
          <w:numId w:val="17"/>
        </w:numPr>
        <w:rPr>
          <w:rFonts w:ascii="Century Gothic" w:hAnsi="Century Gothic"/>
          <w:sz w:val="20"/>
          <w:szCs w:val="20"/>
        </w:rPr>
      </w:pPr>
      <w:r w:rsidRPr="00C71F1E">
        <w:rPr>
          <w:rFonts w:ascii="Century Gothic" w:hAnsi="Century Gothic"/>
          <w:sz w:val="20"/>
          <w:szCs w:val="20"/>
        </w:rPr>
        <w:t>300.00 Physical Security Policy</w:t>
      </w:r>
      <w:bookmarkStart w:id="14" w:name="_Toc304735578"/>
    </w:p>
    <w:p w:rsidR="00110A91" w:rsidRPr="00C71F1E" w:rsidRDefault="00110A91" w:rsidP="00110A91">
      <w:pPr>
        <w:pStyle w:val="BodyText"/>
        <w:ind w:left="0"/>
        <w:rPr>
          <w:rFonts w:ascii="Century Gothic" w:hAnsi="Century Gothic"/>
          <w:sz w:val="32"/>
          <w:szCs w:val="32"/>
        </w:rPr>
      </w:pPr>
      <w:r w:rsidRPr="00C71F1E">
        <w:rPr>
          <w:rFonts w:ascii="Century Gothic" w:hAnsi="Century Gothic"/>
          <w:sz w:val="32"/>
          <w:szCs w:val="32"/>
        </w:rPr>
        <w:t>Purpose</w:t>
      </w:r>
    </w:p>
    <w:p w:rsidR="00110A91" w:rsidRPr="00C71F1E" w:rsidRDefault="00110A91" w:rsidP="00110A91">
      <w:pPr>
        <w:pStyle w:val="BodyText"/>
        <w:ind w:left="0"/>
        <w:jc w:val="both"/>
        <w:rPr>
          <w:rFonts w:ascii="Century Gothic" w:hAnsi="Century Gothic"/>
          <w:sz w:val="20"/>
          <w:szCs w:val="20"/>
        </w:rPr>
      </w:pPr>
      <w:r w:rsidRPr="00C71F1E">
        <w:rPr>
          <w:rFonts w:ascii="Century Gothic" w:hAnsi="Century Gothic"/>
          <w:sz w:val="20"/>
          <w:szCs w:val="20"/>
        </w:rPr>
        <w:t xml:space="preserve">The purpose of this standard is to ensure that effective physical access controls are present at every </w:t>
      </w:r>
      <w:proofErr w:type="gramStart"/>
      <w:r w:rsidR="0064357A" w:rsidRPr="00C71F1E">
        <w:rPr>
          <w:rFonts w:ascii="Century Gothic" w:hAnsi="Century Gothic"/>
          <w:sz w:val="20"/>
          <w:szCs w:val="20"/>
        </w:rPr>
        <w:t>Alight</w:t>
      </w:r>
      <w:proofErr w:type="gramEnd"/>
      <w:r w:rsidRPr="00C71F1E">
        <w:rPr>
          <w:rFonts w:ascii="Century Gothic" w:hAnsi="Century Gothic"/>
          <w:sz w:val="20"/>
          <w:szCs w:val="20"/>
        </w:rPr>
        <w:t xml:space="preserve"> office location.  Effective physical access control inclu</w:t>
      </w:r>
      <w:bookmarkStart w:id="15" w:name="_GoBack"/>
      <w:bookmarkEnd w:id="15"/>
      <w:r w:rsidRPr="00C71F1E">
        <w:rPr>
          <w:rFonts w:ascii="Century Gothic" w:hAnsi="Century Gothic"/>
          <w:sz w:val="20"/>
          <w:szCs w:val="20"/>
        </w:rPr>
        <w:t xml:space="preserve">des the use of people, technology, policies and procedures to secure </w:t>
      </w:r>
      <w:proofErr w:type="gramStart"/>
      <w:r w:rsidR="0064357A" w:rsidRPr="00C71F1E">
        <w:rPr>
          <w:rFonts w:ascii="Century Gothic" w:hAnsi="Century Gothic"/>
          <w:sz w:val="20"/>
          <w:szCs w:val="20"/>
        </w:rPr>
        <w:t>Alight</w:t>
      </w:r>
      <w:proofErr w:type="gramEnd"/>
      <w:r w:rsidRPr="00C71F1E">
        <w:rPr>
          <w:rFonts w:ascii="Century Gothic" w:hAnsi="Century Gothic"/>
          <w:sz w:val="20"/>
          <w:szCs w:val="20"/>
        </w:rPr>
        <w:t xml:space="preserve"> space from unauthorized persons.  Physical access controls reduce the risk to </w:t>
      </w:r>
      <w:proofErr w:type="gramStart"/>
      <w:r w:rsidR="0064357A" w:rsidRPr="00C71F1E">
        <w:rPr>
          <w:rFonts w:ascii="Century Gothic" w:hAnsi="Century Gothic"/>
          <w:sz w:val="20"/>
          <w:szCs w:val="20"/>
        </w:rPr>
        <w:t>Alight</w:t>
      </w:r>
      <w:proofErr w:type="gramEnd"/>
      <w:r w:rsidRPr="00C71F1E">
        <w:rPr>
          <w:rFonts w:ascii="Century Gothic" w:hAnsi="Century Gothic"/>
          <w:sz w:val="20"/>
          <w:szCs w:val="20"/>
        </w:rPr>
        <w:t xml:space="preserve"> colleagues, work productivity, business operations and client information. </w:t>
      </w:r>
    </w:p>
    <w:p w:rsidR="00110A91" w:rsidRPr="00C71F1E" w:rsidRDefault="00110A91" w:rsidP="00110A91">
      <w:pPr>
        <w:pStyle w:val="BodyText"/>
        <w:ind w:left="0"/>
        <w:jc w:val="both"/>
        <w:rPr>
          <w:rFonts w:ascii="Century Gothic" w:hAnsi="Century Gothic"/>
          <w:sz w:val="20"/>
          <w:szCs w:val="20"/>
        </w:rPr>
      </w:pPr>
      <w:r w:rsidRPr="00C71F1E">
        <w:rPr>
          <w:rFonts w:ascii="Century Gothic" w:hAnsi="Century Gothic"/>
          <w:sz w:val="20"/>
          <w:szCs w:val="20"/>
        </w:rPr>
        <w:t xml:space="preserve">In conjunction with systems, software/hardware, guard staff and related policies; physical security hardware and equipment is installed to support effective space access control and colleague safety. GSS is responsible for recommending the appropriate security hardware and equipment to best support the needs of </w:t>
      </w:r>
      <w:r w:rsidR="0064357A" w:rsidRPr="00C71F1E">
        <w:rPr>
          <w:rFonts w:ascii="Century Gothic" w:hAnsi="Century Gothic"/>
          <w:sz w:val="20"/>
          <w:szCs w:val="20"/>
        </w:rPr>
        <w:t>Alight</w:t>
      </w:r>
      <w:r w:rsidRPr="00C71F1E">
        <w:rPr>
          <w:rFonts w:ascii="Century Gothic" w:hAnsi="Century Gothic"/>
          <w:sz w:val="20"/>
          <w:szCs w:val="20"/>
        </w:rPr>
        <w:t>’s business locations.</w:t>
      </w:r>
    </w:p>
    <w:p w:rsidR="00110A91" w:rsidRPr="00C71F1E" w:rsidRDefault="00110A91" w:rsidP="00110A91">
      <w:pPr>
        <w:pStyle w:val="BodyText"/>
        <w:ind w:left="0"/>
        <w:jc w:val="both"/>
        <w:rPr>
          <w:rFonts w:ascii="Century Gothic" w:hAnsi="Century Gothic"/>
          <w:sz w:val="20"/>
          <w:szCs w:val="20"/>
        </w:rPr>
      </w:pPr>
      <w:r w:rsidRPr="00C71F1E">
        <w:rPr>
          <w:rFonts w:ascii="Century Gothic" w:hAnsi="Century Gothic"/>
          <w:sz w:val="20"/>
          <w:szCs w:val="20"/>
        </w:rPr>
        <w:t>Maintaining deployed security equipment, systems and hardware is a vital supporting element of an effective physical access control program.  GSS Global Protection Services (GSS GPS) works with the Corporate Real Estate and Facilities team and vetted service suppliers to prevent, identify and resolve security equipment malfunctions.</w:t>
      </w:r>
    </w:p>
    <w:p w:rsidR="00110A91" w:rsidRPr="00C71F1E" w:rsidRDefault="00110A91" w:rsidP="00110A91">
      <w:pPr>
        <w:pStyle w:val="BodyText"/>
        <w:spacing w:before="100" w:beforeAutospacing="1" w:line="240" w:lineRule="auto"/>
        <w:ind w:left="0"/>
        <w:rPr>
          <w:rStyle w:val="Heading1Char"/>
          <w:rFonts w:ascii="Century Gothic" w:hAnsi="Century Gothic"/>
          <w:sz w:val="32"/>
          <w:szCs w:val="32"/>
        </w:rPr>
      </w:pPr>
      <w:r w:rsidRPr="00C71F1E">
        <w:rPr>
          <w:rStyle w:val="Heading1Char"/>
          <w:rFonts w:ascii="Century Gothic" w:hAnsi="Century Gothic"/>
          <w:sz w:val="32"/>
          <w:szCs w:val="32"/>
        </w:rPr>
        <w:t>Standard Statements</w:t>
      </w:r>
      <w:bookmarkStart w:id="16" w:name="_Hlt103157950"/>
      <w:bookmarkEnd w:id="16"/>
    </w:p>
    <w:p w:rsidR="00110A91" w:rsidRPr="00C71F1E" w:rsidRDefault="00110A91" w:rsidP="00110A91">
      <w:pPr>
        <w:pStyle w:val="Heading3"/>
        <w:numPr>
          <w:ilvl w:val="0"/>
          <w:numId w:val="9"/>
        </w:numPr>
        <w:spacing w:after="0"/>
        <w:ind w:left="540" w:hanging="540"/>
        <w:jc w:val="both"/>
        <w:rPr>
          <w:rFonts w:ascii="Century Gothic" w:hAnsi="Century Gothic" w:cs="Arial"/>
        </w:rPr>
      </w:pPr>
      <w:bookmarkStart w:id="17" w:name="_Toc295918812"/>
      <w:bookmarkStart w:id="18" w:name="_Toc286662406"/>
      <w:bookmarkStart w:id="19" w:name="_Toc289842761"/>
      <w:r w:rsidRPr="00C71F1E">
        <w:rPr>
          <w:rFonts w:ascii="Century Gothic" w:hAnsi="Century Gothic" w:cs="Arial"/>
        </w:rPr>
        <w:t>Physical Security Service and Maintenance</w:t>
      </w:r>
      <w:bookmarkEnd w:id="17"/>
    </w:p>
    <w:p w:rsidR="00110A91" w:rsidRPr="00C71F1E" w:rsidRDefault="00110A91" w:rsidP="00110A91">
      <w:pPr>
        <w:pStyle w:val="ListParagraph"/>
        <w:numPr>
          <w:ilvl w:val="1"/>
          <w:numId w:val="9"/>
        </w:numPr>
        <w:spacing w:before="120" w:after="120"/>
        <w:ind w:left="1260" w:hanging="720"/>
        <w:contextualSpacing w:val="0"/>
        <w:jc w:val="both"/>
        <w:rPr>
          <w:rFonts w:ascii="Century Gothic" w:hAnsi="Century Gothic" w:cs="Arial"/>
        </w:rPr>
      </w:pPr>
      <w:r w:rsidRPr="00C71F1E">
        <w:rPr>
          <w:rFonts w:ascii="Century Gothic" w:hAnsi="Century Gothic" w:cs="Arial"/>
        </w:rPr>
        <w:t>Deployed physical security and safety systems, hardware and equipment must be maintained to operate reliably.</w:t>
      </w:r>
    </w:p>
    <w:p w:rsidR="00110A91" w:rsidRPr="00C71F1E" w:rsidRDefault="00110A91" w:rsidP="00110A91">
      <w:pPr>
        <w:pStyle w:val="ListParagraph"/>
        <w:numPr>
          <w:ilvl w:val="1"/>
          <w:numId w:val="9"/>
        </w:numPr>
        <w:spacing w:before="120" w:after="120"/>
        <w:ind w:left="1260" w:hanging="720"/>
        <w:contextualSpacing w:val="0"/>
        <w:jc w:val="both"/>
        <w:rPr>
          <w:rFonts w:ascii="Century Gothic" w:hAnsi="Century Gothic" w:cs="Arial"/>
        </w:rPr>
      </w:pPr>
      <w:r w:rsidRPr="00C71F1E">
        <w:rPr>
          <w:rFonts w:ascii="Century Gothic" w:hAnsi="Century Gothic" w:cs="Arial"/>
        </w:rPr>
        <w:t>Physical security systems and substantial equipment shall be covered by an ongoing service agreement to ensure reliability of the system and service.</w:t>
      </w:r>
    </w:p>
    <w:p w:rsidR="00110A91" w:rsidRPr="00C71F1E" w:rsidRDefault="0064357A" w:rsidP="00110A91">
      <w:pPr>
        <w:pStyle w:val="ListParagraph"/>
        <w:numPr>
          <w:ilvl w:val="1"/>
          <w:numId w:val="9"/>
        </w:numPr>
        <w:spacing w:before="120" w:after="120"/>
        <w:ind w:left="1260" w:hanging="720"/>
        <w:contextualSpacing w:val="0"/>
        <w:jc w:val="both"/>
        <w:rPr>
          <w:rFonts w:ascii="Century Gothic" w:hAnsi="Century Gothic" w:cs="Arial"/>
        </w:rPr>
      </w:pPr>
      <w:r w:rsidRPr="00C71F1E">
        <w:rPr>
          <w:rFonts w:ascii="Century Gothic" w:hAnsi="Century Gothic" w:cs="Arial"/>
        </w:rPr>
        <w:t>Alight</w:t>
      </w:r>
      <w:r w:rsidR="00110A91" w:rsidRPr="00C71F1E">
        <w:rPr>
          <w:rFonts w:ascii="Century Gothic" w:hAnsi="Century Gothic" w:cs="Arial"/>
        </w:rPr>
        <w:t xml:space="preserve"> should only use vetted service suppliers approved by GSS GPS.  Exceptions must be reviewed and approved by GSS GPS prior to commencement of any service/repair work on deployed security systems/equipment.</w:t>
      </w:r>
    </w:p>
    <w:p w:rsidR="00110A91" w:rsidRPr="00C71F1E" w:rsidRDefault="00110A91" w:rsidP="00110A91">
      <w:pPr>
        <w:pStyle w:val="ListParagraph"/>
        <w:numPr>
          <w:ilvl w:val="1"/>
          <w:numId w:val="9"/>
        </w:numPr>
        <w:spacing w:before="120" w:after="120"/>
        <w:ind w:left="1260" w:hanging="720"/>
        <w:contextualSpacing w:val="0"/>
        <w:jc w:val="both"/>
        <w:rPr>
          <w:rFonts w:ascii="Century Gothic" w:hAnsi="Century Gothic" w:cs="Arial"/>
        </w:rPr>
      </w:pPr>
      <w:r w:rsidRPr="00C71F1E">
        <w:rPr>
          <w:rFonts w:ascii="Century Gothic" w:hAnsi="Century Gothic" w:cs="Arial"/>
        </w:rPr>
        <w:t>The following shall be incorporated into any physical security service agreement:</w:t>
      </w:r>
    </w:p>
    <w:p w:rsidR="00110A91" w:rsidRPr="00C71F1E" w:rsidRDefault="00110A91" w:rsidP="00110A91">
      <w:pPr>
        <w:pStyle w:val="ListParagraph"/>
        <w:numPr>
          <w:ilvl w:val="2"/>
          <w:numId w:val="9"/>
        </w:numPr>
        <w:spacing w:before="120" w:after="120"/>
        <w:ind w:left="1980" w:hanging="720"/>
        <w:contextualSpacing w:val="0"/>
        <w:jc w:val="both"/>
        <w:rPr>
          <w:rFonts w:ascii="Century Gothic" w:hAnsi="Century Gothic" w:cs="Arial"/>
        </w:rPr>
      </w:pPr>
      <w:r w:rsidRPr="00C71F1E">
        <w:rPr>
          <w:rFonts w:ascii="Century Gothic" w:hAnsi="Century Gothic" w:cs="Arial"/>
        </w:rPr>
        <w:t>Parties authorized to place service requests.</w:t>
      </w:r>
    </w:p>
    <w:p w:rsidR="00110A91" w:rsidRPr="00C71F1E" w:rsidRDefault="00110A91" w:rsidP="00110A91">
      <w:pPr>
        <w:pStyle w:val="ListParagraph"/>
        <w:numPr>
          <w:ilvl w:val="2"/>
          <w:numId w:val="9"/>
        </w:numPr>
        <w:spacing w:before="120" w:after="120"/>
        <w:ind w:left="1980" w:hanging="720"/>
        <w:contextualSpacing w:val="0"/>
        <w:jc w:val="both"/>
        <w:rPr>
          <w:rFonts w:ascii="Century Gothic" w:hAnsi="Century Gothic" w:cs="Arial"/>
        </w:rPr>
      </w:pPr>
      <w:r w:rsidRPr="00C71F1E">
        <w:rPr>
          <w:rFonts w:ascii="Century Gothic" w:hAnsi="Century Gothic" w:cs="Arial"/>
        </w:rPr>
        <w:t>Contact information required to place service requests.</w:t>
      </w:r>
    </w:p>
    <w:p w:rsidR="00110A91" w:rsidRPr="00C71F1E" w:rsidRDefault="00110A91" w:rsidP="00110A91">
      <w:pPr>
        <w:pStyle w:val="ListParagraph"/>
        <w:numPr>
          <w:ilvl w:val="2"/>
          <w:numId w:val="9"/>
        </w:numPr>
        <w:spacing w:before="120" w:after="120"/>
        <w:ind w:left="1980" w:hanging="720"/>
        <w:contextualSpacing w:val="0"/>
        <w:jc w:val="both"/>
        <w:rPr>
          <w:rFonts w:ascii="Century Gothic" w:hAnsi="Century Gothic" w:cs="Arial"/>
        </w:rPr>
      </w:pPr>
      <w:r w:rsidRPr="00C71F1E">
        <w:rPr>
          <w:rFonts w:ascii="Century Gothic" w:hAnsi="Century Gothic" w:cs="Arial"/>
        </w:rPr>
        <w:t>Service supplier’s account representative’s contact information.</w:t>
      </w:r>
    </w:p>
    <w:p w:rsidR="00110A91" w:rsidRPr="00C71F1E" w:rsidRDefault="00110A91" w:rsidP="00110A91">
      <w:pPr>
        <w:pStyle w:val="ListParagraph"/>
        <w:numPr>
          <w:ilvl w:val="2"/>
          <w:numId w:val="9"/>
        </w:numPr>
        <w:spacing w:before="120" w:after="120"/>
        <w:ind w:left="1980" w:hanging="720"/>
        <w:contextualSpacing w:val="0"/>
        <w:jc w:val="both"/>
        <w:rPr>
          <w:rFonts w:ascii="Century Gothic" w:hAnsi="Century Gothic" w:cs="Arial"/>
        </w:rPr>
      </w:pPr>
      <w:r w:rsidRPr="00C71F1E">
        <w:rPr>
          <w:rFonts w:ascii="Century Gothic" w:hAnsi="Century Gothic" w:cs="Arial"/>
        </w:rPr>
        <w:t xml:space="preserve">The party required to receive the service ticket on behalf of </w:t>
      </w:r>
      <w:r w:rsidR="0064357A" w:rsidRPr="00C71F1E">
        <w:rPr>
          <w:rFonts w:ascii="Century Gothic" w:hAnsi="Century Gothic" w:cs="Arial"/>
        </w:rPr>
        <w:t>Alight</w:t>
      </w:r>
      <w:r w:rsidRPr="00C71F1E">
        <w:rPr>
          <w:rFonts w:ascii="Century Gothic" w:hAnsi="Century Gothic" w:cs="Arial"/>
        </w:rPr>
        <w:t>, once the work is completed.</w:t>
      </w:r>
    </w:p>
    <w:p w:rsidR="00110A91" w:rsidRPr="00C71F1E" w:rsidRDefault="00110A91" w:rsidP="00110A91">
      <w:pPr>
        <w:pStyle w:val="ListParagraph"/>
        <w:numPr>
          <w:ilvl w:val="2"/>
          <w:numId w:val="9"/>
        </w:numPr>
        <w:spacing w:before="120" w:after="120"/>
        <w:ind w:left="1980" w:hanging="720"/>
        <w:contextualSpacing w:val="0"/>
        <w:jc w:val="both"/>
        <w:rPr>
          <w:rFonts w:ascii="Century Gothic" w:hAnsi="Century Gothic" w:cs="Arial"/>
        </w:rPr>
      </w:pPr>
      <w:r w:rsidRPr="00C71F1E">
        <w:rPr>
          <w:rFonts w:ascii="Century Gothic" w:hAnsi="Century Gothic" w:cs="Arial"/>
        </w:rPr>
        <w:t>Any procedures that must be followed in order to gain access to facilities.</w:t>
      </w:r>
    </w:p>
    <w:p w:rsidR="00110A91" w:rsidRPr="00C71F1E" w:rsidRDefault="00110A91" w:rsidP="00110A91">
      <w:pPr>
        <w:pStyle w:val="ListParagraph"/>
        <w:numPr>
          <w:ilvl w:val="2"/>
          <w:numId w:val="9"/>
        </w:numPr>
        <w:spacing w:before="120" w:after="120"/>
        <w:ind w:left="1980" w:hanging="720"/>
        <w:contextualSpacing w:val="0"/>
        <w:jc w:val="both"/>
        <w:rPr>
          <w:rFonts w:ascii="Century Gothic" w:hAnsi="Century Gothic" w:cs="Arial"/>
        </w:rPr>
      </w:pPr>
      <w:r w:rsidRPr="00C71F1E">
        <w:rPr>
          <w:rFonts w:ascii="Century Gothic" w:hAnsi="Century Gothic" w:cs="Arial"/>
        </w:rPr>
        <w:lastRenderedPageBreak/>
        <w:t xml:space="preserve">Only qualified technicians trained to service equipment used at </w:t>
      </w:r>
      <w:r w:rsidR="0064357A" w:rsidRPr="00C71F1E">
        <w:rPr>
          <w:rFonts w:ascii="Century Gothic" w:hAnsi="Century Gothic" w:cs="Arial"/>
        </w:rPr>
        <w:t>Alight</w:t>
      </w:r>
      <w:r w:rsidRPr="00C71F1E">
        <w:rPr>
          <w:rFonts w:ascii="Century Gothic" w:hAnsi="Century Gothic" w:cs="Arial"/>
        </w:rPr>
        <w:t xml:space="preserve"> will be dispatched to </w:t>
      </w:r>
      <w:r w:rsidR="0064357A" w:rsidRPr="00C71F1E">
        <w:rPr>
          <w:rFonts w:ascii="Century Gothic" w:hAnsi="Century Gothic" w:cs="Arial"/>
        </w:rPr>
        <w:t>Alight</w:t>
      </w:r>
      <w:r w:rsidRPr="00C71F1E">
        <w:rPr>
          <w:rFonts w:ascii="Century Gothic" w:hAnsi="Century Gothic" w:cs="Arial"/>
        </w:rPr>
        <w:t>.</w:t>
      </w:r>
    </w:p>
    <w:p w:rsidR="00110A91" w:rsidRPr="00C71F1E" w:rsidRDefault="00110A91" w:rsidP="00110A91">
      <w:pPr>
        <w:pStyle w:val="ListParagraph"/>
        <w:numPr>
          <w:ilvl w:val="2"/>
          <w:numId w:val="9"/>
        </w:numPr>
        <w:spacing w:before="120" w:after="120"/>
        <w:ind w:left="1980" w:hanging="720"/>
        <w:contextualSpacing w:val="0"/>
        <w:jc w:val="both"/>
        <w:rPr>
          <w:rFonts w:ascii="Century Gothic" w:hAnsi="Century Gothic" w:cs="Arial"/>
        </w:rPr>
      </w:pPr>
      <w:r w:rsidRPr="00C71F1E">
        <w:rPr>
          <w:rFonts w:ascii="Century Gothic" w:hAnsi="Century Gothic" w:cs="Arial"/>
        </w:rPr>
        <w:t xml:space="preserve">The technicians will maintain a professional demeanor while on </w:t>
      </w:r>
      <w:proofErr w:type="gramStart"/>
      <w:r w:rsidR="0064357A" w:rsidRPr="00C71F1E">
        <w:rPr>
          <w:rFonts w:ascii="Century Gothic" w:hAnsi="Century Gothic" w:cs="Arial"/>
        </w:rPr>
        <w:t>Alight</w:t>
      </w:r>
      <w:proofErr w:type="gramEnd"/>
      <w:r w:rsidRPr="00C71F1E">
        <w:rPr>
          <w:rFonts w:ascii="Century Gothic" w:hAnsi="Century Gothic" w:cs="Arial"/>
        </w:rPr>
        <w:t xml:space="preserve"> property.</w:t>
      </w:r>
    </w:p>
    <w:p w:rsidR="00110A91" w:rsidRPr="00C71F1E" w:rsidRDefault="00110A91" w:rsidP="00110A91">
      <w:pPr>
        <w:pStyle w:val="ListParagraph"/>
        <w:numPr>
          <w:ilvl w:val="2"/>
          <w:numId w:val="9"/>
        </w:numPr>
        <w:spacing w:before="120" w:after="120"/>
        <w:ind w:left="1980" w:hanging="720"/>
        <w:contextualSpacing w:val="0"/>
        <w:jc w:val="both"/>
        <w:rPr>
          <w:rFonts w:ascii="Century Gothic" w:hAnsi="Century Gothic" w:cs="Arial"/>
        </w:rPr>
      </w:pPr>
      <w:r w:rsidRPr="00C71F1E">
        <w:rPr>
          <w:rFonts w:ascii="Century Gothic" w:hAnsi="Century Gothic" w:cs="Arial"/>
        </w:rPr>
        <w:t>Service response will be timely and regularly meet expectations.</w:t>
      </w:r>
    </w:p>
    <w:p w:rsidR="00110A91" w:rsidRPr="00C71F1E" w:rsidRDefault="00110A91" w:rsidP="00110A91">
      <w:pPr>
        <w:pStyle w:val="ListParagraph"/>
        <w:numPr>
          <w:ilvl w:val="2"/>
          <w:numId w:val="9"/>
        </w:numPr>
        <w:spacing w:before="120" w:after="120"/>
        <w:ind w:left="1980" w:hanging="720"/>
        <w:contextualSpacing w:val="0"/>
        <w:jc w:val="both"/>
        <w:rPr>
          <w:rFonts w:ascii="Century Gothic" w:hAnsi="Century Gothic" w:cs="Arial"/>
        </w:rPr>
      </w:pPr>
      <w:r w:rsidRPr="00C71F1E">
        <w:rPr>
          <w:rFonts w:ascii="Century Gothic" w:hAnsi="Century Gothic" w:cs="Arial"/>
        </w:rPr>
        <w:t>The technician will check in with the designated site representative or other authorized party upon arrival to the location.</w:t>
      </w:r>
    </w:p>
    <w:p w:rsidR="00110A91" w:rsidRPr="00C71F1E" w:rsidRDefault="00110A91" w:rsidP="00110A91">
      <w:pPr>
        <w:pStyle w:val="ListParagraph"/>
        <w:numPr>
          <w:ilvl w:val="2"/>
          <w:numId w:val="9"/>
        </w:numPr>
        <w:spacing w:before="120" w:after="120"/>
        <w:ind w:left="1980" w:hanging="720"/>
        <w:contextualSpacing w:val="0"/>
        <w:jc w:val="both"/>
        <w:rPr>
          <w:rFonts w:ascii="Century Gothic" w:hAnsi="Century Gothic" w:cs="Arial"/>
        </w:rPr>
      </w:pPr>
      <w:r w:rsidRPr="00C71F1E">
        <w:rPr>
          <w:rFonts w:ascii="Century Gothic" w:hAnsi="Century Gothic" w:cs="Arial"/>
        </w:rPr>
        <w:t xml:space="preserve">If a technician is brought along on a service call, to be trained on </w:t>
      </w:r>
      <w:proofErr w:type="gramStart"/>
      <w:r w:rsidR="0064357A" w:rsidRPr="00C71F1E">
        <w:rPr>
          <w:rFonts w:ascii="Century Gothic" w:hAnsi="Century Gothic" w:cs="Arial"/>
        </w:rPr>
        <w:t>Alight</w:t>
      </w:r>
      <w:proofErr w:type="gramEnd"/>
      <w:r w:rsidRPr="00C71F1E">
        <w:rPr>
          <w:rFonts w:ascii="Century Gothic" w:hAnsi="Century Gothic" w:cs="Arial"/>
        </w:rPr>
        <w:t xml:space="preserve"> equipment, then </w:t>
      </w:r>
      <w:r w:rsidR="0064357A" w:rsidRPr="00C71F1E">
        <w:rPr>
          <w:rFonts w:ascii="Century Gothic" w:hAnsi="Century Gothic" w:cs="Arial"/>
        </w:rPr>
        <w:t>Alight</w:t>
      </w:r>
      <w:r w:rsidRPr="00C71F1E">
        <w:rPr>
          <w:rFonts w:ascii="Century Gothic" w:hAnsi="Century Gothic" w:cs="Arial"/>
        </w:rPr>
        <w:t xml:space="preserve"> does not pay full price for two technicians.</w:t>
      </w:r>
    </w:p>
    <w:p w:rsidR="00110A91" w:rsidRPr="00C71F1E" w:rsidRDefault="00110A91" w:rsidP="00110A91">
      <w:pPr>
        <w:pStyle w:val="ListParagraph"/>
        <w:numPr>
          <w:ilvl w:val="2"/>
          <w:numId w:val="9"/>
        </w:numPr>
        <w:spacing w:before="120" w:after="120"/>
        <w:ind w:left="1980" w:hanging="720"/>
        <w:contextualSpacing w:val="0"/>
        <w:jc w:val="both"/>
        <w:rPr>
          <w:rFonts w:ascii="Century Gothic" w:hAnsi="Century Gothic" w:cs="Arial"/>
        </w:rPr>
      </w:pPr>
      <w:r w:rsidRPr="00C71F1E">
        <w:rPr>
          <w:rFonts w:ascii="Century Gothic" w:hAnsi="Century Gothic" w:cs="Arial"/>
        </w:rPr>
        <w:t>If a technician is having trouble identifying or correcting a problem that lasts beyond 3 hours, the vendor must contact their service manager and/or system manufacturer for assistance.</w:t>
      </w:r>
    </w:p>
    <w:p w:rsidR="00110A91" w:rsidRPr="00C71F1E" w:rsidRDefault="00110A91" w:rsidP="00110A91">
      <w:pPr>
        <w:pStyle w:val="ListParagraph"/>
        <w:numPr>
          <w:ilvl w:val="2"/>
          <w:numId w:val="9"/>
        </w:numPr>
        <w:spacing w:before="120" w:after="120"/>
        <w:ind w:left="1980" w:hanging="720"/>
        <w:contextualSpacing w:val="0"/>
        <w:jc w:val="both"/>
        <w:rPr>
          <w:rFonts w:ascii="Century Gothic" w:hAnsi="Century Gothic" w:cs="Arial"/>
        </w:rPr>
      </w:pPr>
      <w:r w:rsidRPr="00C71F1E">
        <w:rPr>
          <w:rFonts w:ascii="Century Gothic" w:hAnsi="Century Gothic" w:cs="Arial"/>
        </w:rPr>
        <w:t xml:space="preserve">When a service ticket is completed, the technician must reference the Vendor Contract number on that ticket. </w:t>
      </w:r>
    </w:p>
    <w:p w:rsidR="00110A91" w:rsidRPr="00C71F1E" w:rsidRDefault="00110A91" w:rsidP="00110A91">
      <w:pPr>
        <w:pStyle w:val="ListParagraph"/>
        <w:numPr>
          <w:ilvl w:val="2"/>
          <w:numId w:val="9"/>
        </w:numPr>
        <w:spacing w:before="120" w:after="120"/>
        <w:ind w:left="1980" w:hanging="720"/>
        <w:contextualSpacing w:val="0"/>
        <w:jc w:val="both"/>
        <w:rPr>
          <w:rFonts w:ascii="Century Gothic" w:hAnsi="Century Gothic" w:cs="Arial"/>
        </w:rPr>
      </w:pPr>
      <w:r w:rsidRPr="00C71F1E">
        <w:rPr>
          <w:rFonts w:ascii="Century Gothic" w:hAnsi="Century Gothic" w:cs="Arial"/>
        </w:rPr>
        <w:t xml:space="preserve">The </w:t>
      </w:r>
      <w:r w:rsidR="0064357A" w:rsidRPr="00C71F1E">
        <w:rPr>
          <w:rFonts w:ascii="Century Gothic" w:hAnsi="Century Gothic" w:cs="Arial"/>
        </w:rPr>
        <w:t>Alight</w:t>
      </w:r>
      <w:r w:rsidRPr="00C71F1E">
        <w:rPr>
          <w:rFonts w:ascii="Century Gothic" w:hAnsi="Century Gothic" w:cs="Arial"/>
        </w:rPr>
        <w:t xml:space="preserve"> site representative must sign the copy that the technician takes with them.</w:t>
      </w:r>
    </w:p>
    <w:p w:rsidR="00110A91" w:rsidRPr="00C71F1E" w:rsidRDefault="00110A91" w:rsidP="00110A91">
      <w:pPr>
        <w:pStyle w:val="ListParagraph"/>
        <w:numPr>
          <w:ilvl w:val="1"/>
          <w:numId w:val="9"/>
        </w:numPr>
        <w:spacing w:before="120" w:after="120"/>
        <w:ind w:left="1260" w:hanging="720"/>
        <w:contextualSpacing w:val="0"/>
        <w:jc w:val="both"/>
        <w:rPr>
          <w:rFonts w:ascii="Century Gothic" w:hAnsi="Century Gothic" w:cs="Arial"/>
        </w:rPr>
      </w:pPr>
      <w:r w:rsidRPr="00C71F1E">
        <w:rPr>
          <w:rFonts w:ascii="Century Gothic" w:hAnsi="Century Gothic" w:cs="Arial"/>
        </w:rPr>
        <w:t>When an access control system is deployed as a Security Management System (SMS) (e.g. monitoring alarms and other alerting), the SMS must be monitored and maintained to ensure operational reliability.</w:t>
      </w:r>
    </w:p>
    <w:p w:rsidR="00110A91" w:rsidRPr="00C71F1E" w:rsidRDefault="00110A91" w:rsidP="00110A91">
      <w:pPr>
        <w:pStyle w:val="ListParagraph"/>
        <w:numPr>
          <w:ilvl w:val="2"/>
          <w:numId w:val="9"/>
        </w:numPr>
        <w:spacing w:before="120" w:after="120"/>
        <w:ind w:left="1980" w:hanging="720"/>
        <w:contextualSpacing w:val="0"/>
        <w:jc w:val="both"/>
        <w:rPr>
          <w:rFonts w:ascii="Century Gothic" w:hAnsi="Century Gothic" w:cs="Arial"/>
        </w:rPr>
      </w:pPr>
      <w:r w:rsidRPr="00C71F1E">
        <w:rPr>
          <w:rFonts w:ascii="Century Gothic" w:hAnsi="Century Gothic" w:cs="Arial"/>
        </w:rPr>
        <w:t>Deployed Security Management Systems shall be maintained by point of service repair and/or preventive maintenance agreement.</w:t>
      </w:r>
    </w:p>
    <w:p w:rsidR="00110A91" w:rsidRPr="00C71F1E" w:rsidRDefault="00110A91" w:rsidP="00110A91">
      <w:pPr>
        <w:pStyle w:val="ListParagraph"/>
        <w:numPr>
          <w:ilvl w:val="2"/>
          <w:numId w:val="9"/>
        </w:numPr>
        <w:spacing w:before="120" w:after="120"/>
        <w:ind w:left="1980" w:hanging="720"/>
        <w:contextualSpacing w:val="0"/>
        <w:jc w:val="both"/>
        <w:rPr>
          <w:rFonts w:ascii="Century Gothic" w:hAnsi="Century Gothic" w:cs="Arial"/>
        </w:rPr>
      </w:pPr>
      <w:r w:rsidRPr="00C71F1E">
        <w:rPr>
          <w:rFonts w:ascii="Century Gothic" w:hAnsi="Century Gothic" w:cs="Arial"/>
        </w:rPr>
        <w:t>Deployed Security Management System requests for service must be recorded, accompanied by the retention of work orders and invoices.</w:t>
      </w:r>
    </w:p>
    <w:p w:rsidR="00110A91" w:rsidRPr="00C71F1E" w:rsidRDefault="00110A91" w:rsidP="00110A91">
      <w:pPr>
        <w:pStyle w:val="ListParagraph"/>
        <w:numPr>
          <w:ilvl w:val="1"/>
          <w:numId w:val="9"/>
        </w:numPr>
        <w:spacing w:before="120" w:after="120"/>
        <w:ind w:left="1260" w:hanging="720"/>
        <w:contextualSpacing w:val="0"/>
        <w:jc w:val="both"/>
        <w:rPr>
          <w:rFonts w:ascii="Century Gothic" w:hAnsi="Century Gothic" w:cs="Arial"/>
        </w:rPr>
      </w:pPr>
      <w:r w:rsidRPr="00C71F1E">
        <w:rPr>
          <w:rFonts w:ascii="Century Gothic" w:hAnsi="Century Gothic" w:cs="Arial"/>
        </w:rPr>
        <w:t>Permanently deployed video equipment/systems must be recorded, monitored and maintained to ensure operational reliability.</w:t>
      </w:r>
    </w:p>
    <w:p w:rsidR="00110A91" w:rsidRPr="00C71F1E" w:rsidRDefault="00110A91" w:rsidP="00110A91">
      <w:pPr>
        <w:pStyle w:val="ListParagraph"/>
        <w:numPr>
          <w:ilvl w:val="2"/>
          <w:numId w:val="9"/>
        </w:numPr>
        <w:spacing w:before="120" w:after="120"/>
        <w:ind w:left="1980" w:hanging="720"/>
        <w:contextualSpacing w:val="0"/>
        <w:jc w:val="both"/>
        <w:rPr>
          <w:rFonts w:ascii="Century Gothic" w:hAnsi="Century Gothic" w:cs="Arial"/>
        </w:rPr>
      </w:pPr>
      <w:r w:rsidRPr="00C71F1E">
        <w:rPr>
          <w:rFonts w:ascii="Century Gothic" w:hAnsi="Century Gothic" w:cs="Arial"/>
        </w:rPr>
        <w:t>Deployed CCTV systems must be connected, powered and fully functional, and must not be deployed as “non-operational” CCTV systems for deterrent effect purposes only.</w:t>
      </w:r>
    </w:p>
    <w:p w:rsidR="00110A91" w:rsidRPr="00C71F1E" w:rsidRDefault="00110A91" w:rsidP="00110A91">
      <w:pPr>
        <w:pStyle w:val="ListParagraph"/>
        <w:numPr>
          <w:ilvl w:val="2"/>
          <w:numId w:val="9"/>
        </w:numPr>
        <w:spacing w:before="120" w:after="120"/>
        <w:ind w:left="1980" w:hanging="720"/>
        <w:contextualSpacing w:val="0"/>
        <w:jc w:val="both"/>
        <w:rPr>
          <w:rFonts w:ascii="Century Gothic" w:hAnsi="Century Gothic" w:cs="Arial"/>
        </w:rPr>
      </w:pPr>
      <w:r w:rsidRPr="00C71F1E">
        <w:rPr>
          <w:rFonts w:ascii="Century Gothic" w:hAnsi="Century Gothic" w:cs="Arial"/>
        </w:rPr>
        <w:t>Deployed CCTV systems shall be maintained by point of service repair or preventive maintenance agreement.</w:t>
      </w:r>
    </w:p>
    <w:p w:rsidR="00110A91" w:rsidRPr="00C71F1E" w:rsidRDefault="00110A91" w:rsidP="00110A91">
      <w:pPr>
        <w:pStyle w:val="ListParagraph"/>
        <w:numPr>
          <w:ilvl w:val="2"/>
          <w:numId w:val="9"/>
        </w:numPr>
        <w:spacing w:before="120" w:after="120"/>
        <w:ind w:left="1980" w:hanging="720"/>
        <w:contextualSpacing w:val="0"/>
        <w:jc w:val="both"/>
        <w:rPr>
          <w:rFonts w:ascii="Century Gothic" w:hAnsi="Century Gothic" w:cs="Arial"/>
        </w:rPr>
      </w:pPr>
      <w:r w:rsidRPr="00C71F1E">
        <w:rPr>
          <w:rFonts w:ascii="Century Gothic" w:hAnsi="Century Gothic" w:cs="Arial"/>
        </w:rPr>
        <w:t>Deployed CCTV system maintenance requests for service must be recorded, accompanied by the retention of work orders and invoices.</w:t>
      </w:r>
    </w:p>
    <w:p w:rsidR="00110A91" w:rsidRPr="00C71F1E" w:rsidRDefault="00110A91" w:rsidP="00110A91">
      <w:pPr>
        <w:pStyle w:val="ListParagraph"/>
        <w:numPr>
          <w:ilvl w:val="2"/>
          <w:numId w:val="9"/>
        </w:numPr>
        <w:spacing w:before="120" w:after="120"/>
        <w:ind w:left="1980" w:hanging="720"/>
        <w:contextualSpacing w:val="0"/>
        <w:jc w:val="both"/>
        <w:rPr>
          <w:rFonts w:ascii="Century Gothic" w:hAnsi="Century Gothic" w:cs="Arial"/>
        </w:rPr>
      </w:pPr>
      <w:r w:rsidRPr="00C71F1E">
        <w:rPr>
          <w:rFonts w:ascii="Century Gothic" w:hAnsi="Century Gothic" w:cs="Arial"/>
        </w:rPr>
        <w:t>An obsolescence schedule should be developed for all equipment so that the systems remain in a fully operational and usable condition, and are replaced in a timely manner.</w:t>
      </w:r>
    </w:p>
    <w:p w:rsidR="00110A91" w:rsidRPr="00C71F1E" w:rsidRDefault="00110A91" w:rsidP="00110A91">
      <w:pPr>
        <w:pStyle w:val="ListParagraph"/>
        <w:numPr>
          <w:ilvl w:val="2"/>
          <w:numId w:val="9"/>
        </w:numPr>
        <w:spacing w:before="120" w:after="120"/>
        <w:ind w:left="1980" w:hanging="720"/>
        <w:contextualSpacing w:val="0"/>
        <w:jc w:val="both"/>
        <w:rPr>
          <w:rFonts w:ascii="Century Gothic" w:hAnsi="Century Gothic" w:cs="Arial"/>
        </w:rPr>
      </w:pPr>
      <w:r w:rsidRPr="00C71F1E">
        <w:rPr>
          <w:rFonts w:ascii="Century Gothic" w:hAnsi="Century Gothic" w:cs="Arial"/>
        </w:rPr>
        <w:t>Regular testing should be conducted periodically to provide assurance that systems are working as designed.</w:t>
      </w:r>
    </w:p>
    <w:p w:rsidR="00110A91" w:rsidRPr="00C71F1E" w:rsidRDefault="00110A91" w:rsidP="00110A91">
      <w:pPr>
        <w:pStyle w:val="ListParagraph"/>
        <w:numPr>
          <w:ilvl w:val="1"/>
          <w:numId w:val="9"/>
        </w:numPr>
        <w:spacing w:before="120" w:after="120"/>
        <w:ind w:left="1260" w:hanging="720"/>
        <w:contextualSpacing w:val="0"/>
        <w:jc w:val="both"/>
        <w:rPr>
          <w:rFonts w:ascii="Century Gothic" w:hAnsi="Century Gothic" w:cs="Arial"/>
        </w:rPr>
      </w:pPr>
      <w:r w:rsidRPr="00C71F1E">
        <w:rPr>
          <w:rFonts w:ascii="Century Gothic" w:hAnsi="Century Gothic" w:cs="Arial"/>
        </w:rPr>
        <w:t>All locking hardware must be monitored and maintained to ensure operational reliability.</w:t>
      </w:r>
    </w:p>
    <w:p w:rsidR="00110A91" w:rsidRPr="00C71F1E" w:rsidRDefault="00110A91" w:rsidP="00110A91">
      <w:pPr>
        <w:pStyle w:val="ListParagraph"/>
        <w:numPr>
          <w:ilvl w:val="2"/>
          <w:numId w:val="9"/>
        </w:numPr>
        <w:spacing w:before="120" w:after="120"/>
        <w:ind w:left="1980" w:hanging="720"/>
        <w:contextualSpacing w:val="0"/>
        <w:jc w:val="both"/>
        <w:rPr>
          <w:rFonts w:ascii="Century Gothic" w:hAnsi="Century Gothic" w:cs="Arial"/>
        </w:rPr>
      </w:pPr>
      <w:r w:rsidRPr="00C71F1E">
        <w:rPr>
          <w:rFonts w:ascii="Century Gothic" w:hAnsi="Century Gothic" w:cs="Arial"/>
        </w:rPr>
        <w:lastRenderedPageBreak/>
        <w:t>Locking hardware shall be maintained by point of service repair or preventive maintenance agreement.</w:t>
      </w:r>
    </w:p>
    <w:p w:rsidR="00110A91" w:rsidRPr="00C71F1E" w:rsidRDefault="00110A91" w:rsidP="00110A91">
      <w:pPr>
        <w:pStyle w:val="ListParagraph"/>
        <w:numPr>
          <w:ilvl w:val="2"/>
          <w:numId w:val="9"/>
        </w:numPr>
        <w:spacing w:before="120" w:after="120"/>
        <w:ind w:left="1980" w:hanging="720"/>
        <w:contextualSpacing w:val="0"/>
        <w:jc w:val="both"/>
        <w:rPr>
          <w:rFonts w:ascii="Century Gothic" w:hAnsi="Century Gothic" w:cs="Arial"/>
        </w:rPr>
      </w:pPr>
      <w:r w:rsidRPr="00C71F1E">
        <w:rPr>
          <w:rFonts w:ascii="Century Gothic" w:hAnsi="Century Gothic" w:cs="Arial"/>
        </w:rPr>
        <w:t>Locking hardware maintenance requests for service must be recorded, accompanied by the retention of work orders and invoices.</w:t>
      </w:r>
    </w:p>
    <w:p w:rsidR="00110A91" w:rsidRPr="00C71F1E" w:rsidRDefault="00110A91" w:rsidP="0064357A">
      <w:pPr>
        <w:pStyle w:val="Heading1"/>
        <w:keepNext w:val="0"/>
        <w:keepLines w:val="0"/>
        <w:pageBreakBefore w:val="0"/>
        <w:spacing w:before="100" w:beforeAutospacing="1" w:after="240" w:line="240" w:lineRule="auto"/>
        <w:jc w:val="left"/>
        <w:rPr>
          <w:rFonts w:ascii="Century Gothic" w:hAnsi="Century Gothic"/>
          <w:sz w:val="32"/>
          <w:szCs w:val="32"/>
        </w:rPr>
      </w:pPr>
      <w:r w:rsidRPr="00C71F1E">
        <w:rPr>
          <w:rFonts w:ascii="Century Gothic" w:hAnsi="Century Gothic"/>
          <w:sz w:val="32"/>
          <w:szCs w:val="32"/>
        </w:rPr>
        <w:t>Communications</w:t>
      </w:r>
      <w:bookmarkEnd w:id="18"/>
    </w:p>
    <w:p w:rsidR="00110A91" w:rsidRPr="00C71F1E" w:rsidRDefault="00110A91" w:rsidP="00110A91">
      <w:pPr>
        <w:pStyle w:val="ListParagraph"/>
        <w:spacing w:before="120" w:after="120"/>
        <w:ind w:left="0"/>
        <w:contextualSpacing w:val="0"/>
        <w:jc w:val="both"/>
        <w:rPr>
          <w:rFonts w:ascii="Century Gothic" w:hAnsi="Century Gothic" w:cs="Arial"/>
        </w:rPr>
      </w:pPr>
      <w:r w:rsidRPr="00C71F1E">
        <w:rPr>
          <w:rFonts w:ascii="Century Gothic" w:hAnsi="Century Gothic" w:cs="Arial"/>
        </w:rPr>
        <w:t>Questions regarding this Standard should be directed to the GSS GPS lead in your region.</w:t>
      </w:r>
    </w:p>
    <w:p w:rsidR="00110A91" w:rsidRPr="00C71F1E" w:rsidRDefault="00110A91" w:rsidP="0064357A">
      <w:pPr>
        <w:pStyle w:val="Heading1"/>
        <w:keepNext w:val="0"/>
        <w:keepLines w:val="0"/>
        <w:pageBreakBefore w:val="0"/>
        <w:spacing w:before="100" w:beforeAutospacing="1" w:after="240" w:line="240" w:lineRule="auto"/>
        <w:jc w:val="left"/>
        <w:rPr>
          <w:rFonts w:ascii="Century Gothic" w:hAnsi="Century Gothic"/>
          <w:sz w:val="32"/>
          <w:szCs w:val="32"/>
        </w:rPr>
      </w:pPr>
      <w:bookmarkStart w:id="20" w:name="_Toc289842764"/>
      <w:bookmarkStart w:id="21" w:name="_Toc63227083"/>
      <w:bookmarkEnd w:id="19"/>
      <w:r w:rsidRPr="00C71F1E">
        <w:rPr>
          <w:rFonts w:ascii="Century Gothic" w:hAnsi="Century Gothic"/>
          <w:sz w:val="32"/>
          <w:szCs w:val="32"/>
        </w:rPr>
        <w:t xml:space="preserve">Legal Conflicts </w:t>
      </w:r>
    </w:p>
    <w:p w:rsidR="00110A91" w:rsidRPr="00C71F1E" w:rsidRDefault="0064357A" w:rsidP="00110A91">
      <w:pPr>
        <w:pStyle w:val="BodyText"/>
        <w:ind w:left="0"/>
        <w:jc w:val="both"/>
        <w:rPr>
          <w:rFonts w:ascii="Century Gothic" w:hAnsi="Century Gothic"/>
          <w:sz w:val="20"/>
          <w:szCs w:val="20"/>
        </w:rPr>
      </w:pPr>
      <w:r w:rsidRPr="00C71F1E">
        <w:rPr>
          <w:rFonts w:ascii="Century Gothic" w:hAnsi="Century Gothic"/>
          <w:sz w:val="20"/>
          <w:szCs w:val="20"/>
        </w:rPr>
        <w:t>Alight</w:t>
      </w:r>
      <w:r w:rsidR="00110A91" w:rsidRPr="00C71F1E">
        <w:rPr>
          <w:rFonts w:ascii="Century Gothic" w:hAnsi="Century Gothic"/>
          <w:sz w:val="20"/>
          <w:szCs w:val="20"/>
        </w:rPr>
        <w:t>’s Security Policies and Standards were drafted to address the protections found in existing laws and regulations and may be amended as necessary due to law, regulation, or business requirements.  There is no intent to conflict with relevant local laws or regulations.  In the event of any conflict with relevant local laws or regulations, they will control.</w:t>
      </w:r>
    </w:p>
    <w:p w:rsidR="007F7C93" w:rsidRPr="00C71F1E" w:rsidRDefault="0064357A" w:rsidP="007F7C93">
      <w:pPr>
        <w:pStyle w:val="BodyText"/>
        <w:ind w:left="0"/>
        <w:jc w:val="both"/>
        <w:rPr>
          <w:rFonts w:ascii="Century Gothic" w:hAnsi="Century Gothic"/>
          <w:sz w:val="20"/>
          <w:szCs w:val="20"/>
        </w:rPr>
      </w:pPr>
      <w:r w:rsidRPr="00C71F1E">
        <w:rPr>
          <w:rFonts w:ascii="Century Gothic" w:hAnsi="Century Gothic"/>
          <w:sz w:val="20"/>
          <w:szCs w:val="20"/>
        </w:rPr>
        <w:t>Alight</w:t>
      </w:r>
      <w:r w:rsidR="00110A91" w:rsidRPr="00C71F1E">
        <w:rPr>
          <w:rFonts w:ascii="Century Gothic" w:hAnsi="Century Gothic"/>
          <w:sz w:val="20"/>
          <w:szCs w:val="20"/>
        </w:rPr>
        <w:t xml:space="preserve">’s Security Policies and Standards may be supplemented by other policies or standards of </w:t>
      </w:r>
      <w:r w:rsidRPr="00C71F1E">
        <w:rPr>
          <w:rFonts w:ascii="Century Gothic" w:hAnsi="Century Gothic"/>
          <w:sz w:val="20"/>
          <w:szCs w:val="20"/>
        </w:rPr>
        <w:t>Alight</w:t>
      </w:r>
      <w:r w:rsidR="00110A91" w:rsidRPr="00C71F1E">
        <w:rPr>
          <w:rFonts w:ascii="Century Gothic" w:hAnsi="Century Gothic"/>
          <w:sz w:val="20"/>
          <w:szCs w:val="20"/>
        </w:rPr>
        <w:t xml:space="preserve">.  In the case of a conflict or ambiguity, the more specific provisions of any such policy or standard of </w:t>
      </w:r>
      <w:r w:rsidRPr="00C71F1E">
        <w:rPr>
          <w:rFonts w:ascii="Century Gothic" w:hAnsi="Century Gothic"/>
          <w:sz w:val="20"/>
          <w:szCs w:val="20"/>
        </w:rPr>
        <w:t>Alight</w:t>
      </w:r>
      <w:r w:rsidR="00110A91" w:rsidRPr="00C71F1E">
        <w:rPr>
          <w:rFonts w:ascii="Century Gothic" w:hAnsi="Century Gothic"/>
          <w:sz w:val="20"/>
          <w:szCs w:val="20"/>
        </w:rPr>
        <w:t xml:space="preserve"> shall take precedence over the more general provisions contained in </w:t>
      </w:r>
      <w:r w:rsidRPr="00C71F1E">
        <w:rPr>
          <w:rFonts w:ascii="Century Gothic" w:hAnsi="Century Gothic"/>
          <w:sz w:val="20"/>
          <w:szCs w:val="20"/>
        </w:rPr>
        <w:t>Alight</w:t>
      </w:r>
      <w:r w:rsidR="00110A91" w:rsidRPr="00C71F1E">
        <w:rPr>
          <w:rFonts w:ascii="Century Gothic" w:hAnsi="Century Gothic"/>
          <w:sz w:val="20"/>
          <w:szCs w:val="20"/>
        </w:rPr>
        <w:t>’s Security Policies and Standards.</w:t>
      </w:r>
      <w:bookmarkStart w:id="22" w:name="_Toc300658447"/>
      <w:bookmarkStart w:id="23" w:name="_Toc304990099"/>
    </w:p>
    <w:p w:rsidR="00110A91" w:rsidRPr="00C71F1E" w:rsidRDefault="00110A91" w:rsidP="007F7C93">
      <w:pPr>
        <w:pStyle w:val="BodyText"/>
        <w:ind w:left="0"/>
        <w:jc w:val="both"/>
        <w:rPr>
          <w:rFonts w:ascii="Century Gothic" w:hAnsi="Century Gothic"/>
          <w:sz w:val="32"/>
          <w:szCs w:val="32"/>
        </w:rPr>
      </w:pPr>
      <w:r w:rsidRPr="00C71F1E">
        <w:rPr>
          <w:rFonts w:ascii="Century Gothic" w:hAnsi="Century Gothic"/>
          <w:sz w:val="32"/>
          <w:szCs w:val="32"/>
        </w:rPr>
        <w:t>Exceptions</w:t>
      </w:r>
      <w:bookmarkEnd w:id="22"/>
      <w:bookmarkEnd w:id="23"/>
    </w:p>
    <w:p w:rsidR="007F7C93" w:rsidRPr="00C71F1E" w:rsidRDefault="00110A91" w:rsidP="007F7C93">
      <w:pPr>
        <w:pStyle w:val="BodyText"/>
        <w:ind w:left="0"/>
        <w:jc w:val="both"/>
        <w:rPr>
          <w:rFonts w:ascii="Century Gothic" w:hAnsi="Century Gothic"/>
          <w:sz w:val="20"/>
          <w:szCs w:val="20"/>
        </w:rPr>
      </w:pPr>
      <w:r w:rsidRPr="00C71F1E">
        <w:rPr>
          <w:rFonts w:ascii="Century Gothic" w:hAnsi="Century Gothic"/>
          <w:sz w:val="20"/>
          <w:szCs w:val="20"/>
        </w:rPr>
        <w:t xml:space="preserve">Application of the global physical security policies and standards may vary by region and office, and exceptions and variations may occur, if and when approved by GSS GPS.  Please contact GSS GPS at </w:t>
      </w:r>
      <w:hyperlink r:id="rId12" w:history="1">
        <w:r w:rsidRPr="00C71F1E">
          <w:rPr>
            <w:rFonts w:ascii="Century Gothic" w:eastAsia="Times New Roman" w:hAnsi="Century Gothic" w:cs="Arial"/>
            <w:sz w:val="20"/>
            <w:szCs w:val="20"/>
          </w:rPr>
          <w:t>global.security.services@</w:t>
        </w:r>
        <w:r w:rsidR="007F7C93" w:rsidRPr="00C71F1E">
          <w:rPr>
            <w:rFonts w:ascii="Century Gothic" w:eastAsia="Times New Roman" w:hAnsi="Century Gothic" w:cs="Arial"/>
            <w:sz w:val="20"/>
            <w:szCs w:val="20"/>
          </w:rPr>
          <w:t>aon</w:t>
        </w:r>
        <w:r w:rsidRPr="00C71F1E">
          <w:rPr>
            <w:rFonts w:ascii="Century Gothic" w:eastAsia="Times New Roman" w:hAnsi="Century Gothic" w:cs="Arial"/>
            <w:sz w:val="20"/>
            <w:szCs w:val="20"/>
          </w:rPr>
          <w:t>.com</w:t>
        </w:r>
      </w:hyperlink>
      <w:r w:rsidRPr="00C71F1E">
        <w:rPr>
          <w:rFonts w:ascii="Century Gothic" w:hAnsi="Century Gothic"/>
          <w:sz w:val="20"/>
          <w:szCs w:val="20"/>
        </w:rPr>
        <w:t xml:space="preserve"> for further guidance on any exceptions or variations that may apply.</w:t>
      </w:r>
    </w:p>
    <w:p w:rsidR="007F7C93" w:rsidRPr="00C71F1E" w:rsidRDefault="00110A91" w:rsidP="007F7C93">
      <w:pPr>
        <w:pStyle w:val="BodyText"/>
        <w:ind w:left="0"/>
        <w:jc w:val="both"/>
        <w:rPr>
          <w:rFonts w:ascii="Century Gothic" w:hAnsi="Century Gothic"/>
          <w:sz w:val="32"/>
          <w:szCs w:val="32"/>
        </w:rPr>
      </w:pPr>
      <w:r w:rsidRPr="00C71F1E">
        <w:rPr>
          <w:rFonts w:ascii="Century Gothic" w:hAnsi="Century Gothic"/>
          <w:sz w:val="32"/>
          <w:szCs w:val="32"/>
        </w:rPr>
        <w:t>Comments</w:t>
      </w:r>
      <w:bookmarkEnd w:id="20"/>
    </w:p>
    <w:p w:rsidR="007F7C93" w:rsidRPr="00C71F1E" w:rsidRDefault="00110A91" w:rsidP="007F7C93">
      <w:pPr>
        <w:pStyle w:val="BodyText"/>
        <w:ind w:left="0"/>
        <w:jc w:val="both"/>
        <w:rPr>
          <w:rFonts w:ascii="Century Gothic" w:hAnsi="Century Gothic" w:cs="Arial"/>
          <w:color w:val="000000"/>
          <w:sz w:val="20"/>
          <w:szCs w:val="20"/>
        </w:rPr>
      </w:pPr>
      <w:r w:rsidRPr="00C71F1E">
        <w:rPr>
          <w:rFonts w:ascii="Century Gothic" w:hAnsi="Century Gothic" w:cs="Arial"/>
          <w:color w:val="000000"/>
          <w:sz w:val="20"/>
          <w:szCs w:val="20"/>
        </w:rPr>
        <w:t>Consult your local Corporate Real Estate contact for any questions or issues related to installation of locking hardware or other security features in relation to their applicability to local fire protection requirements.</w:t>
      </w:r>
    </w:p>
    <w:p w:rsidR="00110A91" w:rsidRPr="00C71F1E" w:rsidRDefault="00110A91" w:rsidP="007F7C93">
      <w:pPr>
        <w:pStyle w:val="BodyText"/>
        <w:ind w:left="0"/>
        <w:jc w:val="both"/>
        <w:rPr>
          <w:rFonts w:ascii="Century Gothic" w:hAnsi="Century Gothic"/>
          <w:sz w:val="32"/>
          <w:szCs w:val="32"/>
        </w:rPr>
      </w:pPr>
      <w:r w:rsidRPr="00C71F1E">
        <w:rPr>
          <w:rFonts w:ascii="Century Gothic" w:hAnsi="Century Gothic"/>
          <w:sz w:val="32"/>
          <w:szCs w:val="32"/>
        </w:rPr>
        <w:t>Applicable Standards</w:t>
      </w:r>
    </w:p>
    <w:p w:rsidR="007F7C93" w:rsidRPr="00C71F1E" w:rsidRDefault="00110A91" w:rsidP="007F7C93">
      <w:pPr>
        <w:pStyle w:val="AonBullet1"/>
        <w:numPr>
          <w:ilvl w:val="0"/>
          <w:numId w:val="15"/>
        </w:numPr>
        <w:spacing w:after="240" w:line="276" w:lineRule="auto"/>
        <w:rPr>
          <w:rFonts w:ascii="Century Gothic" w:hAnsi="Century Gothic"/>
          <w:sz w:val="32"/>
          <w:szCs w:val="32"/>
        </w:rPr>
      </w:pPr>
      <w:r w:rsidRPr="00C71F1E">
        <w:rPr>
          <w:rFonts w:ascii="Century Gothic" w:hAnsi="Century Gothic" w:cs="Arial"/>
        </w:rPr>
        <w:t>300.02 Physical Security Systems and Space Design Standard</w:t>
      </w:r>
      <w:bookmarkStart w:id="24" w:name="_Toc289842766"/>
      <w:bookmarkStart w:id="25" w:name="_Toc292146380"/>
      <w:bookmarkStart w:id="26" w:name="_Toc158805972"/>
      <w:bookmarkStart w:id="27" w:name="_Toc289842767"/>
      <w:bookmarkEnd w:id="21"/>
    </w:p>
    <w:p w:rsidR="00110A91" w:rsidRPr="00C71F1E" w:rsidRDefault="00110A91" w:rsidP="007F7C93">
      <w:pPr>
        <w:pStyle w:val="AonBullet1"/>
        <w:numPr>
          <w:ilvl w:val="0"/>
          <w:numId w:val="0"/>
        </w:numPr>
        <w:spacing w:after="240" w:line="276" w:lineRule="auto"/>
        <w:rPr>
          <w:rFonts w:ascii="Century Gothic" w:hAnsi="Century Gothic"/>
          <w:sz w:val="32"/>
          <w:szCs w:val="32"/>
        </w:rPr>
      </w:pPr>
      <w:r w:rsidRPr="00C71F1E">
        <w:rPr>
          <w:rFonts w:ascii="Century Gothic" w:hAnsi="Century Gothic"/>
          <w:sz w:val="32"/>
          <w:szCs w:val="32"/>
        </w:rPr>
        <w:t>References</w:t>
      </w:r>
      <w:bookmarkEnd w:id="24"/>
      <w:bookmarkEnd w:id="25"/>
      <w:r w:rsidRPr="00C71F1E">
        <w:rPr>
          <w:rFonts w:ascii="Century Gothic" w:hAnsi="Century Gothic"/>
          <w:sz w:val="32"/>
          <w:szCs w:val="32"/>
        </w:rPr>
        <w:t xml:space="preserve"> &amp; Mandates</w:t>
      </w:r>
    </w:p>
    <w:p w:rsidR="00110A91" w:rsidRPr="00C71F1E" w:rsidRDefault="00110A91" w:rsidP="007F7C93">
      <w:pPr>
        <w:pStyle w:val="AonBullet1"/>
        <w:numPr>
          <w:ilvl w:val="0"/>
          <w:numId w:val="16"/>
        </w:numPr>
        <w:spacing w:line="276" w:lineRule="auto"/>
        <w:rPr>
          <w:rFonts w:ascii="Century Gothic" w:hAnsi="Century Gothic" w:cs="Arial"/>
        </w:rPr>
      </w:pPr>
      <w:r w:rsidRPr="00C71F1E">
        <w:rPr>
          <w:rFonts w:ascii="Century Gothic" w:hAnsi="Century Gothic" w:cs="Arial"/>
        </w:rPr>
        <w:t>US OSHA Standard 29CFR1910.38</w:t>
      </w:r>
    </w:p>
    <w:p w:rsidR="00110A91" w:rsidRPr="00C71F1E" w:rsidRDefault="00110A91" w:rsidP="007F7C93">
      <w:pPr>
        <w:pStyle w:val="AonBullet1"/>
        <w:numPr>
          <w:ilvl w:val="0"/>
          <w:numId w:val="16"/>
        </w:numPr>
        <w:spacing w:after="240" w:line="276" w:lineRule="auto"/>
        <w:rPr>
          <w:rFonts w:ascii="Century Gothic" w:hAnsi="Century Gothic"/>
        </w:rPr>
      </w:pPr>
      <w:r w:rsidRPr="00C71F1E">
        <w:rPr>
          <w:rFonts w:ascii="Century Gothic" w:hAnsi="Century Gothic" w:cs="Arial"/>
        </w:rPr>
        <w:t>UK Standard: Regulatory Reform (Fire Safety) Order 2005</w:t>
      </w:r>
      <w:bookmarkEnd w:id="26"/>
      <w:bookmarkEnd w:id="27"/>
    </w:p>
    <w:p w:rsidR="00237A54" w:rsidRPr="00C71F1E" w:rsidRDefault="00237A54" w:rsidP="00237A54">
      <w:pPr>
        <w:pStyle w:val="Heading1"/>
        <w:spacing w:after="240"/>
        <w:rPr>
          <w:rFonts w:ascii="Century Gothic" w:hAnsi="Century Gothic"/>
        </w:rPr>
      </w:pPr>
      <w:bookmarkStart w:id="28" w:name="_Toc528945611"/>
      <w:bookmarkStart w:id="29" w:name="_Toc529855774"/>
      <w:bookmarkStart w:id="30" w:name="_Toc529856551"/>
      <w:bookmarkStart w:id="31" w:name="_Toc531756491"/>
      <w:bookmarkStart w:id="32" w:name="_Toc1631615"/>
      <w:bookmarkStart w:id="33" w:name="_Toc133747320"/>
      <w:bookmarkStart w:id="34" w:name="_Toc158457851"/>
      <w:bookmarkStart w:id="35" w:name="_Toc158805969"/>
      <w:bookmarkStart w:id="36" w:name="_Toc289842769"/>
      <w:bookmarkStart w:id="37" w:name="_Toc306014657"/>
      <w:bookmarkEnd w:id="0"/>
      <w:bookmarkEnd w:id="1"/>
      <w:bookmarkEnd w:id="2"/>
      <w:bookmarkEnd w:id="3"/>
      <w:bookmarkEnd w:id="4"/>
      <w:bookmarkEnd w:id="5"/>
      <w:bookmarkEnd w:id="6"/>
      <w:bookmarkEnd w:id="7"/>
      <w:bookmarkEnd w:id="13"/>
      <w:bookmarkEnd w:id="14"/>
      <w:r w:rsidRPr="00C71F1E">
        <w:rPr>
          <w:rFonts w:ascii="Century Gothic" w:hAnsi="Century Gothic"/>
          <w:sz w:val="32"/>
          <w:szCs w:val="32"/>
        </w:rPr>
        <w:lastRenderedPageBreak/>
        <w:t>Document Control Information</w:t>
      </w:r>
      <w:bookmarkStart w:id="38" w:name="_Toc488220669"/>
      <w:r w:rsidRPr="00C71F1E">
        <w:rPr>
          <w:rFonts w:ascii="Century Gothic" w:hAnsi="Century Gothic"/>
          <w:sz w:val="32"/>
          <w:szCs w:val="32"/>
        </w:rPr>
        <w:t xml:space="preserve"> </w:t>
      </w:r>
      <w:bookmarkEnd w:id="38"/>
    </w:p>
    <w:p w:rsidR="00237A54" w:rsidRPr="00C71F1E" w:rsidRDefault="00237A54" w:rsidP="00237A54">
      <w:pPr>
        <w:pStyle w:val="TableTitle"/>
        <w:rPr>
          <w:rFonts w:ascii="Century Gothic" w:hAnsi="Century Gothic"/>
        </w:rPr>
      </w:pPr>
      <w:r w:rsidRPr="00C71F1E">
        <w:rPr>
          <w:rFonts w:ascii="Century Gothic" w:hAnsi="Century Gothic"/>
        </w:rPr>
        <w:t xml:space="preserve">Document Control Information </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3355"/>
        <w:gridCol w:w="6210"/>
      </w:tblGrid>
      <w:tr w:rsidR="00237A54" w:rsidRPr="00C71F1E" w:rsidTr="009418C5">
        <w:trPr>
          <w:cantSplit/>
        </w:trPr>
        <w:tc>
          <w:tcPr>
            <w:tcW w:w="3355" w:type="dxa"/>
            <w:tcBorders>
              <w:top w:val="nil"/>
              <w:bottom w:val="single" w:sz="12" w:space="0" w:color="808080" w:themeColor="background1" w:themeShade="80"/>
            </w:tcBorders>
            <w:shd w:val="clear" w:color="auto" w:fill="auto"/>
            <w:vAlign w:val="bottom"/>
          </w:tcPr>
          <w:p w:rsidR="00237A54" w:rsidRPr="00C71F1E" w:rsidRDefault="00237A54" w:rsidP="009418C5">
            <w:pPr>
              <w:pStyle w:val="TableColumnHead"/>
              <w:rPr>
                <w:rFonts w:ascii="Century Gothic" w:hAnsi="Century Gothic"/>
              </w:rPr>
            </w:pPr>
          </w:p>
        </w:tc>
        <w:tc>
          <w:tcPr>
            <w:tcW w:w="6210" w:type="dxa"/>
            <w:tcBorders>
              <w:top w:val="nil"/>
              <w:bottom w:val="single" w:sz="12" w:space="0" w:color="808080" w:themeColor="background1" w:themeShade="80"/>
            </w:tcBorders>
            <w:shd w:val="clear" w:color="auto" w:fill="auto"/>
            <w:vAlign w:val="bottom"/>
          </w:tcPr>
          <w:p w:rsidR="00237A54" w:rsidRPr="00C71F1E" w:rsidRDefault="00237A54" w:rsidP="009418C5">
            <w:pPr>
              <w:pStyle w:val="TableColumnHead"/>
              <w:rPr>
                <w:rFonts w:ascii="Century Gothic" w:hAnsi="Century Gothic"/>
              </w:rPr>
            </w:pPr>
          </w:p>
        </w:tc>
      </w:tr>
      <w:tr w:rsidR="00237A54" w:rsidRPr="00C71F1E" w:rsidTr="009418C5">
        <w:trPr>
          <w:cantSplit/>
          <w:trHeight w:val="483"/>
        </w:trPr>
        <w:tc>
          <w:tcPr>
            <w:tcW w:w="3355" w:type="dxa"/>
            <w:tcBorders>
              <w:top w:val="single" w:sz="12" w:space="0" w:color="808080" w:themeColor="background1" w:themeShade="80"/>
              <w:bottom w:val="single" w:sz="4" w:space="0" w:color="808080" w:themeColor="background1" w:themeShade="80"/>
            </w:tcBorders>
            <w:shd w:val="clear" w:color="auto" w:fill="auto"/>
          </w:tcPr>
          <w:p w:rsidR="00237A54" w:rsidRPr="00C71F1E" w:rsidRDefault="00237A54" w:rsidP="009418C5">
            <w:pPr>
              <w:pStyle w:val="TableCopy"/>
              <w:rPr>
                <w:rFonts w:ascii="Century Gothic" w:hAnsi="Century Gothic"/>
              </w:rPr>
            </w:pPr>
            <w:r w:rsidRPr="00C71F1E">
              <w:rPr>
                <w:rFonts w:ascii="Century Gothic" w:hAnsi="Century Gothic"/>
              </w:rPr>
              <w:t>Primary Contact</w:t>
            </w:r>
          </w:p>
        </w:tc>
        <w:tc>
          <w:tcPr>
            <w:tcW w:w="6210" w:type="dxa"/>
            <w:tcBorders>
              <w:top w:val="single" w:sz="12" w:space="0" w:color="808080" w:themeColor="background1" w:themeShade="80"/>
              <w:bottom w:val="single" w:sz="4" w:space="0" w:color="808080" w:themeColor="background1" w:themeShade="80"/>
            </w:tcBorders>
            <w:shd w:val="clear" w:color="auto" w:fill="auto"/>
          </w:tcPr>
          <w:p w:rsidR="00237A54" w:rsidRPr="00C71F1E" w:rsidRDefault="00237A54" w:rsidP="009418C5">
            <w:pPr>
              <w:pStyle w:val="Bullet4Table"/>
              <w:numPr>
                <w:ilvl w:val="0"/>
                <w:numId w:val="0"/>
              </w:numPr>
              <w:rPr>
                <w:rFonts w:ascii="Century Gothic" w:hAnsi="Century Gothic"/>
              </w:rPr>
            </w:pPr>
            <w:r w:rsidRPr="00C71F1E">
              <w:rPr>
                <w:rFonts w:ascii="Century Gothic" w:hAnsi="Century Gothic" w:cs="Arial"/>
              </w:rPr>
              <w:t xml:space="preserve">Alight Global Security Services | </w:t>
            </w:r>
            <w:hyperlink r:id="rId13" w:history="1">
              <w:r w:rsidRPr="00C71F1E">
                <w:rPr>
                  <w:rStyle w:val="Hyperlink"/>
                  <w:rFonts w:ascii="Century Gothic" w:hAnsi="Century Gothic" w:cs="Arial"/>
                </w:rPr>
                <w:t>global.security.services@aon.com</w:t>
              </w:r>
            </w:hyperlink>
          </w:p>
        </w:tc>
      </w:tr>
      <w:tr w:rsidR="00237A54" w:rsidRPr="00C71F1E"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237A54" w:rsidRPr="00C71F1E" w:rsidRDefault="00237A54" w:rsidP="009418C5">
            <w:pPr>
              <w:pStyle w:val="TableCopy"/>
              <w:rPr>
                <w:rFonts w:ascii="Century Gothic" w:hAnsi="Century Gothic"/>
              </w:rPr>
            </w:pPr>
            <w:r w:rsidRPr="00C71F1E">
              <w:rPr>
                <w:rFonts w:ascii="Century Gothic" w:hAnsi="Century Gothic"/>
              </w:rPr>
              <w:t>Version Number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237A54" w:rsidRPr="00C71F1E" w:rsidRDefault="00237A54" w:rsidP="009418C5">
            <w:pPr>
              <w:pStyle w:val="TableCopy"/>
              <w:rPr>
                <w:rFonts w:ascii="Century Gothic" w:hAnsi="Century Gothic"/>
              </w:rPr>
            </w:pPr>
            <w:r w:rsidRPr="00C71F1E">
              <w:rPr>
                <w:rFonts w:ascii="Century Gothic" w:hAnsi="Century Gothic"/>
              </w:rPr>
              <w:t>1.6</w:t>
            </w:r>
          </w:p>
        </w:tc>
      </w:tr>
      <w:tr w:rsidR="00237A54" w:rsidRPr="00C71F1E"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237A54" w:rsidRPr="00C71F1E" w:rsidRDefault="00237A54" w:rsidP="009418C5">
            <w:pPr>
              <w:pStyle w:val="TableCopy"/>
              <w:rPr>
                <w:rFonts w:ascii="Century Gothic" w:hAnsi="Century Gothic"/>
              </w:rPr>
            </w:pPr>
            <w:r w:rsidRPr="00C71F1E">
              <w:rPr>
                <w:rFonts w:ascii="Century Gothic" w:hAnsi="Century Gothic"/>
              </w:rPr>
              <w:t>Owner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237A54" w:rsidRPr="00C71F1E" w:rsidRDefault="00237A54" w:rsidP="009418C5">
            <w:pPr>
              <w:pStyle w:val="TableCopy"/>
              <w:rPr>
                <w:rFonts w:ascii="Century Gothic" w:hAnsi="Century Gothic"/>
              </w:rPr>
            </w:pPr>
            <w:r w:rsidRPr="00C71F1E">
              <w:rPr>
                <w:rFonts w:ascii="Century Gothic" w:hAnsi="Century Gothic"/>
              </w:rPr>
              <w:t xml:space="preserve">Alight Global Security Services | </w:t>
            </w:r>
            <w:r w:rsidRPr="00C71F1E">
              <w:rPr>
                <w:rFonts w:ascii="Century Gothic" w:eastAsia="Times New Roman" w:hAnsi="Century Gothic"/>
              </w:rPr>
              <w:t>Global Protection Services</w:t>
            </w:r>
          </w:p>
        </w:tc>
      </w:tr>
      <w:tr w:rsidR="00237A54" w:rsidRPr="00C71F1E"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237A54" w:rsidRPr="00C71F1E" w:rsidRDefault="00237A54" w:rsidP="009418C5">
            <w:pPr>
              <w:pStyle w:val="TableCopy"/>
              <w:rPr>
                <w:rFonts w:ascii="Century Gothic" w:hAnsi="Century Gothic"/>
              </w:rPr>
            </w:pPr>
            <w:r w:rsidRPr="00C71F1E">
              <w:rPr>
                <w:rFonts w:ascii="Century Gothic" w:hAnsi="Century Gothic"/>
              </w:rPr>
              <w:t>Author(s)</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237A54" w:rsidRPr="00C71F1E" w:rsidRDefault="00237A54" w:rsidP="009418C5">
            <w:pPr>
              <w:pStyle w:val="TableCopy"/>
              <w:rPr>
                <w:rFonts w:ascii="Century Gothic" w:hAnsi="Century Gothic"/>
              </w:rPr>
            </w:pPr>
            <w:r w:rsidRPr="00C71F1E">
              <w:rPr>
                <w:rFonts w:ascii="Century Gothic" w:hAnsi="Century Gothic"/>
              </w:rPr>
              <w:t xml:space="preserve">Alight Global Security Services | </w:t>
            </w:r>
            <w:r w:rsidRPr="00C71F1E">
              <w:rPr>
                <w:rFonts w:ascii="Century Gothic" w:eastAsia="Times New Roman" w:hAnsi="Century Gothic"/>
              </w:rPr>
              <w:t>Global Protection Services</w:t>
            </w:r>
          </w:p>
        </w:tc>
      </w:tr>
      <w:tr w:rsidR="00237A54" w:rsidRPr="00C71F1E"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237A54" w:rsidRPr="00C71F1E" w:rsidRDefault="00237A54" w:rsidP="009418C5">
            <w:pPr>
              <w:pStyle w:val="TableCopy"/>
              <w:rPr>
                <w:rFonts w:ascii="Century Gothic" w:hAnsi="Century Gothic"/>
              </w:rPr>
            </w:pPr>
            <w:r w:rsidRPr="00C71F1E">
              <w:rPr>
                <w:rFonts w:ascii="Century Gothic" w:hAnsi="Century Gothic"/>
              </w:rPr>
              <w:t>Approved By</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237A54" w:rsidRPr="00C71F1E" w:rsidRDefault="00237A54" w:rsidP="009418C5">
            <w:pPr>
              <w:pStyle w:val="TableCopy"/>
              <w:rPr>
                <w:rFonts w:ascii="Century Gothic" w:hAnsi="Century Gothic"/>
              </w:rPr>
            </w:pPr>
            <w:r w:rsidRPr="00C71F1E">
              <w:rPr>
                <w:rFonts w:ascii="Century Gothic" w:hAnsi="Century Gothic"/>
              </w:rPr>
              <w:t>Jim Hartley, Chief Information Security Officer</w:t>
            </w:r>
          </w:p>
        </w:tc>
      </w:tr>
      <w:tr w:rsidR="00237A54" w:rsidRPr="00C71F1E"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237A54" w:rsidRPr="00C71F1E" w:rsidRDefault="00237A54" w:rsidP="009418C5">
            <w:pPr>
              <w:pStyle w:val="TableCopy"/>
              <w:rPr>
                <w:rFonts w:ascii="Century Gothic" w:hAnsi="Century Gothic"/>
              </w:rPr>
            </w:pPr>
            <w:r w:rsidRPr="00C71F1E">
              <w:rPr>
                <w:rFonts w:ascii="Century Gothic" w:hAnsi="Century Gothic"/>
              </w:rPr>
              <w:t>Approval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237A54" w:rsidRPr="00C71F1E" w:rsidRDefault="00237A54" w:rsidP="009418C5">
            <w:pPr>
              <w:pStyle w:val="TableCopy"/>
              <w:rPr>
                <w:rFonts w:ascii="Century Gothic" w:hAnsi="Century Gothic"/>
              </w:rPr>
            </w:pPr>
            <w:r w:rsidRPr="00C71F1E">
              <w:rPr>
                <w:rFonts w:ascii="Century Gothic" w:hAnsi="Century Gothic"/>
              </w:rPr>
              <w:t>May 1, 2017</w:t>
            </w:r>
          </w:p>
        </w:tc>
      </w:tr>
      <w:tr w:rsidR="00237A54" w:rsidRPr="00C71F1E"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237A54" w:rsidRPr="00C71F1E" w:rsidRDefault="00237A54" w:rsidP="009418C5">
            <w:pPr>
              <w:pStyle w:val="TableCopy"/>
              <w:rPr>
                <w:rFonts w:ascii="Century Gothic" w:hAnsi="Century Gothic"/>
              </w:rPr>
            </w:pPr>
            <w:r w:rsidRPr="00C71F1E">
              <w:rPr>
                <w:rFonts w:ascii="Century Gothic" w:hAnsi="Century Gothic"/>
              </w:rPr>
              <w:t>Effective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237A54" w:rsidRPr="00C71F1E" w:rsidRDefault="00237A54" w:rsidP="009418C5">
            <w:pPr>
              <w:pStyle w:val="TableCopy"/>
              <w:rPr>
                <w:rFonts w:ascii="Century Gothic" w:hAnsi="Century Gothic"/>
              </w:rPr>
            </w:pPr>
            <w:r w:rsidRPr="00C71F1E">
              <w:rPr>
                <w:rFonts w:ascii="Century Gothic" w:hAnsi="Century Gothic"/>
              </w:rPr>
              <w:t>May 1, 2017</w:t>
            </w:r>
          </w:p>
        </w:tc>
      </w:tr>
      <w:tr w:rsidR="00237A54" w:rsidRPr="00C71F1E"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237A54" w:rsidRPr="00C71F1E" w:rsidRDefault="00237A54" w:rsidP="009418C5">
            <w:pPr>
              <w:pStyle w:val="TableCopy"/>
              <w:rPr>
                <w:rFonts w:ascii="Century Gothic" w:hAnsi="Century Gothic"/>
              </w:rPr>
            </w:pPr>
            <w:r w:rsidRPr="00C71F1E">
              <w:rPr>
                <w:rFonts w:ascii="Century Gothic" w:hAnsi="Century Gothic"/>
              </w:rPr>
              <w:t>Creation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237A54" w:rsidRPr="00C71F1E" w:rsidRDefault="00237A54" w:rsidP="00237A54">
            <w:pPr>
              <w:pStyle w:val="TableCopy"/>
              <w:rPr>
                <w:rFonts w:ascii="Century Gothic" w:hAnsi="Century Gothic"/>
              </w:rPr>
            </w:pPr>
            <w:r w:rsidRPr="00C71F1E">
              <w:rPr>
                <w:rFonts w:ascii="Century Gothic" w:hAnsi="Century Gothic"/>
              </w:rPr>
              <w:t>May 1, 2011</w:t>
            </w:r>
          </w:p>
        </w:tc>
      </w:tr>
      <w:tr w:rsidR="00237A54" w:rsidRPr="00C71F1E"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237A54" w:rsidRPr="00C71F1E" w:rsidRDefault="00237A54" w:rsidP="009418C5">
            <w:pPr>
              <w:pStyle w:val="TableCopy"/>
              <w:rPr>
                <w:rFonts w:ascii="Century Gothic" w:hAnsi="Century Gothic"/>
              </w:rPr>
            </w:pPr>
            <w:r w:rsidRPr="00C71F1E">
              <w:rPr>
                <w:rFonts w:ascii="Century Gothic" w:hAnsi="Century Gothic"/>
              </w:rPr>
              <w:t>Information Classification</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237A54" w:rsidRPr="00C71F1E" w:rsidRDefault="00237A54" w:rsidP="009418C5">
            <w:pPr>
              <w:pStyle w:val="TableCopy"/>
              <w:rPr>
                <w:rFonts w:ascii="Century Gothic" w:hAnsi="Century Gothic"/>
              </w:rPr>
            </w:pPr>
            <w:r w:rsidRPr="00C71F1E">
              <w:rPr>
                <w:rFonts w:ascii="Century Gothic" w:hAnsi="Century Gothic"/>
              </w:rPr>
              <w:t>General Internal – Low Business Impact (Green)</w:t>
            </w:r>
          </w:p>
        </w:tc>
      </w:tr>
    </w:tbl>
    <w:p w:rsidR="00237A54" w:rsidRPr="00C71F1E" w:rsidRDefault="00237A54" w:rsidP="00237A54">
      <w:pPr>
        <w:pStyle w:val="Heading1"/>
        <w:spacing w:after="240"/>
        <w:rPr>
          <w:rFonts w:ascii="Century Gothic" w:hAnsi="Century Gothic"/>
        </w:rPr>
      </w:pPr>
      <w:bookmarkStart w:id="39" w:name="_Toc488220670"/>
      <w:bookmarkEnd w:id="8"/>
      <w:bookmarkEnd w:id="9"/>
      <w:bookmarkEnd w:id="28"/>
      <w:bookmarkEnd w:id="29"/>
      <w:bookmarkEnd w:id="30"/>
      <w:bookmarkEnd w:id="31"/>
      <w:bookmarkEnd w:id="32"/>
      <w:bookmarkEnd w:id="33"/>
      <w:bookmarkEnd w:id="34"/>
      <w:bookmarkEnd w:id="35"/>
      <w:bookmarkEnd w:id="36"/>
      <w:bookmarkEnd w:id="37"/>
      <w:r w:rsidRPr="00C71F1E">
        <w:rPr>
          <w:rFonts w:ascii="Century Gothic" w:hAnsi="Century Gothic"/>
        </w:rPr>
        <w:lastRenderedPageBreak/>
        <w:t>Revision History</w:t>
      </w:r>
      <w:bookmarkEnd w:id="39"/>
    </w:p>
    <w:p w:rsidR="00237A54" w:rsidRPr="00C71F1E" w:rsidRDefault="00237A54" w:rsidP="00237A54">
      <w:pPr>
        <w:pStyle w:val="TableTitle"/>
        <w:rPr>
          <w:rFonts w:ascii="Century Gothic" w:hAnsi="Century Gothic"/>
        </w:rPr>
      </w:pPr>
      <w:r w:rsidRPr="00C71F1E">
        <w:rPr>
          <w:rFonts w:ascii="Century Gothic" w:hAnsi="Century Gothic"/>
        </w:rPr>
        <w:t>Revision History</w:t>
      </w:r>
    </w:p>
    <w:tbl>
      <w:tblPr>
        <w:tblW w:w="4175"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1646"/>
        <w:gridCol w:w="1441"/>
        <w:gridCol w:w="1979"/>
        <w:gridCol w:w="2942"/>
      </w:tblGrid>
      <w:tr w:rsidR="00237A54" w:rsidRPr="00C71F1E" w:rsidTr="009418C5">
        <w:trPr>
          <w:cantSplit/>
        </w:trPr>
        <w:tc>
          <w:tcPr>
            <w:tcW w:w="1646" w:type="dxa"/>
            <w:tcBorders>
              <w:top w:val="nil"/>
              <w:bottom w:val="single" w:sz="12" w:space="0" w:color="808080" w:themeColor="background1" w:themeShade="80"/>
            </w:tcBorders>
            <w:shd w:val="clear" w:color="auto" w:fill="auto"/>
            <w:vAlign w:val="bottom"/>
          </w:tcPr>
          <w:p w:rsidR="00237A54" w:rsidRPr="00C71F1E" w:rsidRDefault="00237A54" w:rsidP="009418C5">
            <w:pPr>
              <w:pStyle w:val="TableColumnHead"/>
              <w:rPr>
                <w:rFonts w:ascii="Century Gothic" w:hAnsi="Century Gothic"/>
              </w:rPr>
            </w:pPr>
            <w:r w:rsidRPr="00C71F1E">
              <w:rPr>
                <w:rFonts w:ascii="Century Gothic" w:hAnsi="Century Gothic"/>
              </w:rPr>
              <w:t>Revision Level</w:t>
            </w:r>
          </w:p>
        </w:tc>
        <w:tc>
          <w:tcPr>
            <w:tcW w:w="1441" w:type="dxa"/>
            <w:tcBorders>
              <w:top w:val="nil"/>
              <w:bottom w:val="single" w:sz="12" w:space="0" w:color="808080" w:themeColor="background1" w:themeShade="80"/>
            </w:tcBorders>
            <w:shd w:val="clear" w:color="auto" w:fill="auto"/>
            <w:vAlign w:val="bottom"/>
          </w:tcPr>
          <w:p w:rsidR="00237A54" w:rsidRPr="00C71F1E" w:rsidRDefault="00237A54" w:rsidP="009418C5">
            <w:pPr>
              <w:pStyle w:val="TableColumnHead"/>
              <w:rPr>
                <w:rFonts w:ascii="Century Gothic" w:hAnsi="Century Gothic"/>
              </w:rPr>
            </w:pPr>
            <w:r w:rsidRPr="00C71F1E">
              <w:rPr>
                <w:rFonts w:ascii="Century Gothic" w:hAnsi="Century Gothic"/>
              </w:rPr>
              <w:t>Date</w:t>
            </w:r>
          </w:p>
        </w:tc>
        <w:tc>
          <w:tcPr>
            <w:tcW w:w="1979" w:type="dxa"/>
            <w:tcBorders>
              <w:top w:val="nil"/>
              <w:bottom w:val="single" w:sz="12" w:space="0" w:color="808080" w:themeColor="background1" w:themeShade="80"/>
            </w:tcBorders>
            <w:shd w:val="clear" w:color="auto" w:fill="auto"/>
            <w:vAlign w:val="bottom"/>
          </w:tcPr>
          <w:p w:rsidR="00237A54" w:rsidRPr="00C71F1E" w:rsidRDefault="00237A54" w:rsidP="009418C5">
            <w:pPr>
              <w:pStyle w:val="TableColumnHead"/>
              <w:rPr>
                <w:rFonts w:ascii="Century Gothic" w:hAnsi="Century Gothic"/>
              </w:rPr>
            </w:pPr>
            <w:r w:rsidRPr="00C71F1E">
              <w:rPr>
                <w:rFonts w:ascii="Century Gothic" w:hAnsi="Century Gothic"/>
              </w:rPr>
              <w:t xml:space="preserve">Description </w:t>
            </w:r>
          </w:p>
        </w:tc>
        <w:tc>
          <w:tcPr>
            <w:tcW w:w="2942" w:type="dxa"/>
            <w:tcBorders>
              <w:top w:val="nil"/>
              <w:bottom w:val="single" w:sz="12" w:space="0" w:color="808080" w:themeColor="background1" w:themeShade="80"/>
            </w:tcBorders>
          </w:tcPr>
          <w:p w:rsidR="00237A54" w:rsidRPr="00C71F1E" w:rsidRDefault="00237A54" w:rsidP="009418C5">
            <w:pPr>
              <w:pStyle w:val="TableColumnHead"/>
              <w:rPr>
                <w:rFonts w:ascii="Century Gothic" w:hAnsi="Century Gothic"/>
              </w:rPr>
            </w:pPr>
            <w:r w:rsidRPr="00C71F1E">
              <w:rPr>
                <w:rFonts w:ascii="Century Gothic" w:hAnsi="Century Gothic"/>
              </w:rPr>
              <w:t>Change Summary</w:t>
            </w:r>
          </w:p>
        </w:tc>
      </w:tr>
      <w:tr w:rsidR="00237A54" w:rsidRPr="00C71F1E" w:rsidTr="009418C5">
        <w:trPr>
          <w:cantSplit/>
          <w:trHeight w:val="573"/>
        </w:trPr>
        <w:tc>
          <w:tcPr>
            <w:tcW w:w="1646" w:type="dxa"/>
            <w:tcBorders>
              <w:top w:val="single" w:sz="12" w:space="0" w:color="808080" w:themeColor="background1" w:themeShade="80"/>
              <w:bottom w:val="single" w:sz="4" w:space="0" w:color="808080" w:themeColor="background1" w:themeShade="80"/>
            </w:tcBorders>
            <w:shd w:val="clear" w:color="auto" w:fill="auto"/>
          </w:tcPr>
          <w:p w:rsidR="00237A54" w:rsidRPr="00C71F1E" w:rsidRDefault="00237A54" w:rsidP="009418C5">
            <w:pPr>
              <w:rPr>
                <w:rFonts w:ascii="Century Gothic" w:hAnsi="Century Gothic"/>
                <w:sz w:val="18"/>
                <w:szCs w:val="18"/>
              </w:rPr>
            </w:pPr>
            <w:r w:rsidRPr="00C71F1E">
              <w:rPr>
                <w:rFonts w:ascii="Century Gothic" w:hAnsi="Century Gothic"/>
                <w:sz w:val="18"/>
                <w:szCs w:val="18"/>
              </w:rPr>
              <w:t>1.0</w:t>
            </w:r>
          </w:p>
        </w:tc>
        <w:tc>
          <w:tcPr>
            <w:tcW w:w="1441" w:type="dxa"/>
            <w:tcBorders>
              <w:top w:val="single" w:sz="12" w:space="0" w:color="808080" w:themeColor="background1" w:themeShade="80"/>
              <w:bottom w:val="single" w:sz="4" w:space="0" w:color="808080" w:themeColor="background1" w:themeShade="80"/>
            </w:tcBorders>
            <w:shd w:val="clear" w:color="auto" w:fill="auto"/>
          </w:tcPr>
          <w:p w:rsidR="00237A54" w:rsidRPr="00C71F1E" w:rsidRDefault="00237A54" w:rsidP="009418C5">
            <w:pPr>
              <w:rPr>
                <w:rFonts w:ascii="Century Gothic" w:hAnsi="Century Gothic"/>
                <w:sz w:val="18"/>
                <w:szCs w:val="18"/>
              </w:rPr>
            </w:pPr>
            <w:r w:rsidRPr="00C71F1E">
              <w:rPr>
                <w:rFonts w:ascii="Century Gothic" w:hAnsi="Century Gothic"/>
                <w:sz w:val="18"/>
                <w:szCs w:val="18"/>
              </w:rPr>
              <w:t>2012 March</w:t>
            </w:r>
          </w:p>
        </w:tc>
        <w:tc>
          <w:tcPr>
            <w:tcW w:w="1979" w:type="dxa"/>
            <w:tcBorders>
              <w:top w:val="single" w:sz="12" w:space="0" w:color="808080" w:themeColor="background1" w:themeShade="80"/>
              <w:bottom w:val="single" w:sz="4" w:space="0" w:color="808080" w:themeColor="background1" w:themeShade="80"/>
            </w:tcBorders>
            <w:shd w:val="clear" w:color="auto" w:fill="auto"/>
          </w:tcPr>
          <w:p w:rsidR="00237A54" w:rsidRPr="00C71F1E" w:rsidRDefault="00237A54" w:rsidP="009418C5">
            <w:pPr>
              <w:rPr>
                <w:rFonts w:ascii="Century Gothic" w:hAnsi="Century Gothic"/>
                <w:sz w:val="18"/>
                <w:szCs w:val="18"/>
              </w:rPr>
            </w:pPr>
            <w:r w:rsidRPr="00C71F1E">
              <w:rPr>
                <w:rFonts w:ascii="Century Gothic" w:hAnsi="Century Gothic"/>
                <w:sz w:val="18"/>
                <w:szCs w:val="18"/>
              </w:rPr>
              <w:t>Original</w:t>
            </w:r>
          </w:p>
        </w:tc>
        <w:tc>
          <w:tcPr>
            <w:tcW w:w="2942" w:type="dxa"/>
            <w:tcBorders>
              <w:top w:val="single" w:sz="12" w:space="0" w:color="808080" w:themeColor="background1" w:themeShade="80"/>
              <w:bottom w:val="single" w:sz="4" w:space="0" w:color="808080" w:themeColor="background1" w:themeShade="80"/>
            </w:tcBorders>
          </w:tcPr>
          <w:p w:rsidR="00237A54" w:rsidRPr="00C71F1E" w:rsidRDefault="00237A54" w:rsidP="009418C5">
            <w:pPr>
              <w:rPr>
                <w:rFonts w:ascii="Century Gothic" w:hAnsi="Century Gothic"/>
                <w:sz w:val="18"/>
                <w:szCs w:val="18"/>
              </w:rPr>
            </w:pPr>
            <w:r w:rsidRPr="00C71F1E">
              <w:rPr>
                <w:rFonts w:ascii="Century Gothic" w:hAnsi="Century Gothic"/>
                <w:sz w:val="18"/>
                <w:szCs w:val="18"/>
              </w:rPr>
              <w:t>Restructured policy due to Aon Hewitt acquisition</w:t>
            </w:r>
          </w:p>
        </w:tc>
      </w:tr>
      <w:tr w:rsidR="00237A54" w:rsidRPr="00C71F1E" w:rsidTr="009418C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237A54" w:rsidRPr="00C71F1E" w:rsidRDefault="00237A54" w:rsidP="009418C5">
            <w:pPr>
              <w:rPr>
                <w:rFonts w:ascii="Century Gothic" w:hAnsi="Century Gothic"/>
                <w:sz w:val="18"/>
                <w:szCs w:val="18"/>
              </w:rPr>
            </w:pPr>
            <w:r w:rsidRPr="00C71F1E">
              <w:rPr>
                <w:rFonts w:ascii="Century Gothic" w:hAnsi="Century Gothic"/>
                <w:sz w:val="18"/>
                <w:szCs w:val="18"/>
              </w:rPr>
              <w:t>1.1</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237A54" w:rsidRPr="00C71F1E" w:rsidRDefault="00237A54" w:rsidP="009418C5">
            <w:pPr>
              <w:rPr>
                <w:rFonts w:ascii="Century Gothic" w:hAnsi="Century Gothic"/>
                <w:sz w:val="18"/>
                <w:szCs w:val="18"/>
              </w:rPr>
            </w:pPr>
            <w:r w:rsidRPr="00C71F1E">
              <w:rPr>
                <w:rFonts w:ascii="Century Gothic" w:hAnsi="Century Gothic"/>
                <w:sz w:val="18"/>
                <w:szCs w:val="18"/>
              </w:rPr>
              <w:t>2013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237A54" w:rsidRPr="00C71F1E" w:rsidRDefault="00237A54" w:rsidP="009418C5">
            <w:pPr>
              <w:rPr>
                <w:rFonts w:ascii="Century Gothic" w:hAnsi="Century Gothic"/>
                <w:sz w:val="18"/>
                <w:szCs w:val="18"/>
              </w:rPr>
            </w:pPr>
            <w:r w:rsidRPr="00C71F1E">
              <w:rPr>
                <w:rFonts w:ascii="Century Gothic" w:hAnsi="Century Gothic"/>
                <w:sz w:val="18"/>
                <w:szCs w:val="18"/>
              </w:rPr>
              <w:t>2013 Annual Review</w:t>
            </w:r>
          </w:p>
        </w:tc>
        <w:tc>
          <w:tcPr>
            <w:tcW w:w="2942" w:type="dxa"/>
            <w:tcBorders>
              <w:top w:val="single" w:sz="4" w:space="0" w:color="808080" w:themeColor="background1" w:themeShade="80"/>
              <w:bottom w:val="single" w:sz="4" w:space="0" w:color="808080" w:themeColor="background1" w:themeShade="80"/>
            </w:tcBorders>
          </w:tcPr>
          <w:p w:rsidR="00237A54" w:rsidRPr="00C71F1E" w:rsidRDefault="00237A54" w:rsidP="009418C5">
            <w:pPr>
              <w:rPr>
                <w:rFonts w:ascii="Century Gothic" w:hAnsi="Century Gothic"/>
                <w:sz w:val="18"/>
                <w:szCs w:val="18"/>
              </w:rPr>
            </w:pPr>
            <w:r w:rsidRPr="00C71F1E">
              <w:rPr>
                <w:rFonts w:ascii="Century Gothic" w:hAnsi="Century Gothic" w:cs="Arial"/>
                <w:color w:val="000000"/>
                <w:sz w:val="18"/>
                <w:szCs w:val="18"/>
              </w:rPr>
              <w:t>Reviewed and validated</w:t>
            </w:r>
          </w:p>
        </w:tc>
      </w:tr>
      <w:tr w:rsidR="00237A54" w:rsidRPr="00C71F1E" w:rsidTr="009418C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237A54" w:rsidRPr="00C71F1E" w:rsidRDefault="00237A54" w:rsidP="009418C5">
            <w:pPr>
              <w:rPr>
                <w:rFonts w:ascii="Century Gothic" w:hAnsi="Century Gothic"/>
                <w:sz w:val="18"/>
                <w:szCs w:val="18"/>
              </w:rPr>
            </w:pPr>
            <w:r w:rsidRPr="00C71F1E">
              <w:rPr>
                <w:rFonts w:ascii="Century Gothic" w:hAnsi="Century Gothic"/>
                <w:sz w:val="18"/>
                <w:szCs w:val="18"/>
              </w:rPr>
              <w:t>1.2</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237A54" w:rsidRPr="00C71F1E" w:rsidRDefault="00237A54" w:rsidP="009418C5">
            <w:pPr>
              <w:rPr>
                <w:rFonts w:ascii="Century Gothic" w:hAnsi="Century Gothic"/>
                <w:sz w:val="18"/>
                <w:szCs w:val="18"/>
              </w:rPr>
            </w:pPr>
            <w:r w:rsidRPr="00C71F1E">
              <w:rPr>
                <w:rFonts w:ascii="Century Gothic" w:hAnsi="Century Gothic"/>
                <w:sz w:val="18"/>
                <w:szCs w:val="18"/>
              </w:rPr>
              <w:t>2014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237A54" w:rsidRPr="00C71F1E" w:rsidRDefault="00237A54" w:rsidP="009418C5">
            <w:pPr>
              <w:rPr>
                <w:rFonts w:ascii="Century Gothic" w:hAnsi="Century Gothic"/>
                <w:sz w:val="18"/>
                <w:szCs w:val="18"/>
              </w:rPr>
            </w:pPr>
            <w:r w:rsidRPr="00C71F1E">
              <w:rPr>
                <w:rFonts w:ascii="Century Gothic" w:hAnsi="Century Gothic"/>
                <w:sz w:val="18"/>
                <w:szCs w:val="18"/>
              </w:rPr>
              <w:t>2014 Annual Review</w:t>
            </w:r>
          </w:p>
        </w:tc>
        <w:tc>
          <w:tcPr>
            <w:tcW w:w="2942" w:type="dxa"/>
            <w:tcBorders>
              <w:top w:val="single" w:sz="4" w:space="0" w:color="808080" w:themeColor="background1" w:themeShade="80"/>
              <w:bottom w:val="single" w:sz="4" w:space="0" w:color="808080" w:themeColor="background1" w:themeShade="80"/>
            </w:tcBorders>
          </w:tcPr>
          <w:p w:rsidR="00237A54" w:rsidRPr="00C71F1E" w:rsidRDefault="00237A54" w:rsidP="009418C5">
            <w:pPr>
              <w:rPr>
                <w:rFonts w:ascii="Century Gothic" w:hAnsi="Century Gothic"/>
                <w:sz w:val="18"/>
                <w:szCs w:val="18"/>
              </w:rPr>
            </w:pPr>
            <w:r w:rsidRPr="00C71F1E">
              <w:rPr>
                <w:rFonts w:ascii="Century Gothic" w:hAnsi="Century Gothic" w:cs="Arial"/>
                <w:color w:val="000000"/>
                <w:sz w:val="18"/>
                <w:szCs w:val="18"/>
              </w:rPr>
              <w:t>Reviewed and validated</w:t>
            </w:r>
          </w:p>
        </w:tc>
      </w:tr>
      <w:tr w:rsidR="00237A54" w:rsidRPr="00C71F1E" w:rsidTr="009418C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237A54" w:rsidRPr="00C71F1E" w:rsidRDefault="00237A54" w:rsidP="009418C5">
            <w:pPr>
              <w:rPr>
                <w:rFonts w:ascii="Century Gothic" w:hAnsi="Century Gothic"/>
                <w:sz w:val="18"/>
                <w:szCs w:val="18"/>
              </w:rPr>
            </w:pPr>
            <w:r w:rsidRPr="00C71F1E">
              <w:rPr>
                <w:rFonts w:ascii="Century Gothic" w:hAnsi="Century Gothic"/>
                <w:sz w:val="18"/>
                <w:szCs w:val="18"/>
              </w:rPr>
              <w:t>1.3</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237A54" w:rsidRPr="00C71F1E" w:rsidRDefault="00237A54" w:rsidP="009418C5">
            <w:pPr>
              <w:rPr>
                <w:rFonts w:ascii="Century Gothic" w:hAnsi="Century Gothic"/>
                <w:sz w:val="18"/>
                <w:szCs w:val="18"/>
              </w:rPr>
            </w:pPr>
            <w:r w:rsidRPr="00C71F1E">
              <w:rPr>
                <w:rFonts w:ascii="Century Gothic" w:hAnsi="Century Gothic"/>
                <w:sz w:val="18"/>
                <w:szCs w:val="18"/>
              </w:rPr>
              <w:t>2015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237A54" w:rsidRPr="00C71F1E" w:rsidRDefault="00237A54" w:rsidP="009418C5">
            <w:pPr>
              <w:rPr>
                <w:rFonts w:ascii="Century Gothic" w:hAnsi="Century Gothic"/>
                <w:sz w:val="18"/>
                <w:szCs w:val="18"/>
              </w:rPr>
            </w:pPr>
            <w:r w:rsidRPr="00C71F1E">
              <w:rPr>
                <w:rFonts w:ascii="Century Gothic" w:hAnsi="Century Gothic"/>
                <w:sz w:val="18"/>
                <w:szCs w:val="18"/>
              </w:rPr>
              <w:t>2015 Annual Review</w:t>
            </w:r>
          </w:p>
        </w:tc>
        <w:tc>
          <w:tcPr>
            <w:tcW w:w="2942" w:type="dxa"/>
            <w:tcBorders>
              <w:top w:val="single" w:sz="4" w:space="0" w:color="808080" w:themeColor="background1" w:themeShade="80"/>
              <w:bottom w:val="single" w:sz="4" w:space="0" w:color="808080" w:themeColor="background1" w:themeShade="80"/>
            </w:tcBorders>
          </w:tcPr>
          <w:p w:rsidR="00237A54" w:rsidRPr="00C71F1E" w:rsidRDefault="00237A54" w:rsidP="009418C5">
            <w:pPr>
              <w:rPr>
                <w:rFonts w:ascii="Century Gothic" w:hAnsi="Century Gothic"/>
                <w:sz w:val="18"/>
                <w:szCs w:val="18"/>
              </w:rPr>
            </w:pPr>
            <w:r w:rsidRPr="00C71F1E">
              <w:rPr>
                <w:rFonts w:ascii="Century Gothic" w:hAnsi="Century Gothic" w:cs="Arial"/>
                <w:color w:val="000000"/>
                <w:sz w:val="18"/>
                <w:szCs w:val="18"/>
              </w:rPr>
              <w:t>Reviewed and validated</w:t>
            </w:r>
          </w:p>
        </w:tc>
      </w:tr>
      <w:tr w:rsidR="00237A54" w:rsidRPr="00C71F1E" w:rsidTr="009418C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237A54" w:rsidRPr="00C71F1E" w:rsidRDefault="00237A54" w:rsidP="009418C5">
            <w:pPr>
              <w:rPr>
                <w:rFonts w:ascii="Century Gothic" w:hAnsi="Century Gothic"/>
                <w:sz w:val="18"/>
                <w:szCs w:val="18"/>
              </w:rPr>
            </w:pPr>
            <w:r w:rsidRPr="00C71F1E">
              <w:rPr>
                <w:rFonts w:ascii="Century Gothic" w:hAnsi="Century Gothic"/>
                <w:sz w:val="18"/>
                <w:szCs w:val="18"/>
              </w:rPr>
              <w:t>1.4</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237A54" w:rsidRPr="00C71F1E" w:rsidRDefault="00237A54" w:rsidP="00237A54">
            <w:pPr>
              <w:rPr>
                <w:rFonts w:ascii="Century Gothic" w:hAnsi="Century Gothic"/>
                <w:sz w:val="18"/>
                <w:szCs w:val="18"/>
              </w:rPr>
            </w:pPr>
            <w:r w:rsidRPr="00C71F1E">
              <w:rPr>
                <w:rFonts w:ascii="Century Gothic" w:hAnsi="Century Gothic"/>
                <w:sz w:val="18"/>
                <w:szCs w:val="18"/>
              </w:rPr>
              <w:t>2016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237A54" w:rsidRPr="00C71F1E" w:rsidRDefault="00237A54" w:rsidP="009418C5">
            <w:pPr>
              <w:rPr>
                <w:rFonts w:ascii="Century Gothic" w:hAnsi="Century Gothic"/>
                <w:sz w:val="18"/>
                <w:szCs w:val="18"/>
              </w:rPr>
            </w:pPr>
            <w:r w:rsidRPr="00C71F1E">
              <w:rPr>
                <w:rFonts w:ascii="Century Gothic" w:hAnsi="Century Gothic"/>
                <w:sz w:val="18"/>
                <w:szCs w:val="18"/>
              </w:rPr>
              <w:t>2016 Annual Review</w:t>
            </w:r>
          </w:p>
        </w:tc>
        <w:tc>
          <w:tcPr>
            <w:tcW w:w="2942" w:type="dxa"/>
            <w:tcBorders>
              <w:top w:val="single" w:sz="4" w:space="0" w:color="808080" w:themeColor="background1" w:themeShade="80"/>
              <w:bottom w:val="single" w:sz="4" w:space="0" w:color="808080" w:themeColor="background1" w:themeShade="80"/>
            </w:tcBorders>
          </w:tcPr>
          <w:p w:rsidR="00237A54" w:rsidRPr="00C71F1E" w:rsidRDefault="00237A54" w:rsidP="009418C5">
            <w:pPr>
              <w:rPr>
                <w:rFonts w:ascii="Century Gothic" w:hAnsi="Century Gothic"/>
                <w:sz w:val="18"/>
                <w:szCs w:val="18"/>
              </w:rPr>
            </w:pPr>
            <w:r w:rsidRPr="00C71F1E">
              <w:rPr>
                <w:rFonts w:ascii="Century Gothic" w:hAnsi="Century Gothic" w:cs="Arial"/>
                <w:sz w:val="18"/>
                <w:szCs w:val="18"/>
              </w:rPr>
              <w:t>Clarified wording and replaced all instances of Security Risk Management (SRM) with Global Security Services (GSS) to reflect new organization name</w:t>
            </w:r>
          </w:p>
        </w:tc>
      </w:tr>
      <w:tr w:rsidR="00237A54" w:rsidRPr="00C71F1E" w:rsidTr="009418C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237A54" w:rsidRPr="00C71F1E" w:rsidRDefault="00237A54" w:rsidP="009418C5">
            <w:pPr>
              <w:rPr>
                <w:rFonts w:ascii="Century Gothic" w:hAnsi="Century Gothic"/>
                <w:sz w:val="18"/>
                <w:szCs w:val="18"/>
              </w:rPr>
            </w:pPr>
            <w:r w:rsidRPr="00C71F1E">
              <w:rPr>
                <w:rFonts w:ascii="Century Gothic" w:hAnsi="Century Gothic"/>
                <w:sz w:val="18"/>
                <w:szCs w:val="18"/>
              </w:rPr>
              <w:t>1.5</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237A54" w:rsidRPr="00C71F1E" w:rsidRDefault="00237A54" w:rsidP="009418C5">
            <w:pPr>
              <w:rPr>
                <w:rFonts w:ascii="Century Gothic" w:hAnsi="Century Gothic"/>
                <w:sz w:val="18"/>
                <w:szCs w:val="18"/>
              </w:rPr>
            </w:pPr>
            <w:r w:rsidRPr="00C71F1E">
              <w:rPr>
                <w:rFonts w:ascii="Century Gothic" w:hAnsi="Century Gothic"/>
                <w:sz w:val="18"/>
                <w:szCs w:val="18"/>
              </w:rPr>
              <w:t>2017 January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237A54" w:rsidRPr="00C71F1E" w:rsidRDefault="00237A54" w:rsidP="009418C5">
            <w:pPr>
              <w:rPr>
                <w:rFonts w:ascii="Century Gothic" w:hAnsi="Century Gothic"/>
                <w:sz w:val="18"/>
                <w:szCs w:val="18"/>
              </w:rPr>
            </w:pPr>
            <w:r w:rsidRPr="00C71F1E">
              <w:rPr>
                <w:rFonts w:ascii="Century Gothic" w:hAnsi="Century Gothic"/>
                <w:sz w:val="18"/>
                <w:szCs w:val="18"/>
              </w:rPr>
              <w:t>2017 Update</w:t>
            </w:r>
          </w:p>
        </w:tc>
        <w:tc>
          <w:tcPr>
            <w:tcW w:w="2942" w:type="dxa"/>
            <w:tcBorders>
              <w:top w:val="single" w:sz="4" w:space="0" w:color="808080" w:themeColor="background1" w:themeShade="80"/>
              <w:bottom w:val="single" w:sz="4" w:space="0" w:color="808080" w:themeColor="background1" w:themeShade="80"/>
            </w:tcBorders>
          </w:tcPr>
          <w:p w:rsidR="00237A54" w:rsidRPr="00C71F1E" w:rsidRDefault="00237A54" w:rsidP="009418C5">
            <w:pPr>
              <w:rPr>
                <w:rFonts w:ascii="Century Gothic" w:hAnsi="Century Gothic"/>
                <w:sz w:val="18"/>
                <w:szCs w:val="18"/>
              </w:rPr>
            </w:pPr>
            <w:r w:rsidRPr="00C71F1E">
              <w:rPr>
                <w:rFonts w:ascii="Century Gothic" w:hAnsi="Century Gothic" w:cs="Arial"/>
                <w:sz w:val="18"/>
                <w:szCs w:val="18"/>
              </w:rPr>
              <w:t>Name change from Corporate Protection Services (CPS) to Global Protection Services (GPS)</w:t>
            </w:r>
          </w:p>
        </w:tc>
      </w:tr>
      <w:tr w:rsidR="00237A54" w:rsidRPr="00C71F1E" w:rsidTr="009418C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237A54" w:rsidRPr="00C71F1E" w:rsidRDefault="00237A54" w:rsidP="009418C5">
            <w:pPr>
              <w:rPr>
                <w:rFonts w:ascii="Century Gothic" w:hAnsi="Century Gothic"/>
                <w:sz w:val="18"/>
                <w:szCs w:val="18"/>
              </w:rPr>
            </w:pPr>
            <w:r w:rsidRPr="00C71F1E">
              <w:rPr>
                <w:rFonts w:ascii="Century Gothic" w:hAnsi="Century Gothic"/>
                <w:sz w:val="18"/>
                <w:szCs w:val="18"/>
              </w:rPr>
              <w:t>1.6</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237A54" w:rsidRPr="00C71F1E" w:rsidRDefault="00237A54" w:rsidP="009418C5">
            <w:pPr>
              <w:rPr>
                <w:rFonts w:ascii="Century Gothic" w:hAnsi="Century Gothic"/>
                <w:sz w:val="18"/>
                <w:szCs w:val="18"/>
              </w:rPr>
            </w:pPr>
            <w:r w:rsidRPr="00C71F1E">
              <w:rPr>
                <w:rFonts w:ascii="Century Gothic" w:hAnsi="Century Gothic"/>
                <w:sz w:val="18"/>
                <w:szCs w:val="18"/>
              </w:rPr>
              <w:t>2017 May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237A54" w:rsidRPr="00C71F1E" w:rsidRDefault="00237A54" w:rsidP="009418C5">
            <w:pPr>
              <w:rPr>
                <w:rFonts w:ascii="Century Gothic" w:hAnsi="Century Gothic"/>
                <w:sz w:val="18"/>
                <w:szCs w:val="18"/>
              </w:rPr>
            </w:pPr>
            <w:r w:rsidRPr="00C71F1E">
              <w:rPr>
                <w:rFonts w:ascii="Century Gothic" w:hAnsi="Century Gothic"/>
                <w:sz w:val="18"/>
                <w:szCs w:val="18"/>
              </w:rPr>
              <w:t>2017 Rebranding</w:t>
            </w:r>
          </w:p>
        </w:tc>
        <w:tc>
          <w:tcPr>
            <w:tcW w:w="2942" w:type="dxa"/>
            <w:tcBorders>
              <w:top w:val="single" w:sz="4" w:space="0" w:color="808080" w:themeColor="background1" w:themeShade="80"/>
              <w:bottom w:val="single" w:sz="4" w:space="0" w:color="808080" w:themeColor="background1" w:themeShade="80"/>
            </w:tcBorders>
          </w:tcPr>
          <w:p w:rsidR="00237A54" w:rsidRPr="00C71F1E" w:rsidRDefault="00237A54" w:rsidP="009418C5">
            <w:pPr>
              <w:pStyle w:val="NormalDS"/>
              <w:rPr>
                <w:rFonts w:ascii="Century Gothic" w:hAnsi="Century Gothic"/>
                <w:sz w:val="18"/>
                <w:szCs w:val="18"/>
              </w:rPr>
            </w:pPr>
            <w:r w:rsidRPr="00C71F1E">
              <w:rPr>
                <w:rFonts w:ascii="Century Gothic" w:hAnsi="Century Gothic"/>
                <w:sz w:val="18"/>
                <w:szCs w:val="18"/>
              </w:rPr>
              <w:t>Rebranded policy due to Aon Hewitt divestiture</w:t>
            </w:r>
          </w:p>
        </w:tc>
      </w:tr>
      <w:tr w:rsidR="00237A54" w:rsidRPr="00C71F1E" w:rsidTr="009418C5">
        <w:trPr>
          <w:cantSplit/>
        </w:trPr>
        <w:tc>
          <w:tcPr>
            <w:tcW w:w="1646" w:type="dxa"/>
            <w:tcBorders>
              <w:top w:val="single" w:sz="4" w:space="0" w:color="808080" w:themeColor="background1" w:themeShade="80"/>
              <w:bottom w:val="nil"/>
            </w:tcBorders>
            <w:shd w:val="clear" w:color="auto" w:fill="auto"/>
          </w:tcPr>
          <w:p w:rsidR="00237A54" w:rsidRPr="00C71F1E" w:rsidRDefault="00237A54" w:rsidP="009418C5">
            <w:pPr>
              <w:pStyle w:val="TableCopy"/>
              <w:rPr>
                <w:rFonts w:ascii="Century Gothic" w:hAnsi="Century Gothic"/>
              </w:rPr>
            </w:pPr>
          </w:p>
        </w:tc>
        <w:tc>
          <w:tcPr>
            <w:tcW w:w="1441" w:type="dxa"/>
            <w:tcBorders>
              <w:top w:val="single" w:sz="4" w:space="0" w:color="808080" w:themeColor="background1" w:themeShade="80"/>
              <w:bottom w:val="nil"/>
            </w:tcBorders>
            <w:shd w:val="clear" w:color="auto" w:fill="auto"/>
          </w:tcPr>
          <w:p w:rsidR="00237A54" w:rsidRPr="00C71F1E" w:rsidRDefault="00237A54" w:rsidP="009418C5">
            <w:pPr>
              <w:pStyle w:val="NormalDS"/>
              <w:rPr>
                <w:rFonts w:ascii="Century Gothic" w:hAnsi="Century Gothic"/>
              </w:rPr>
            </w:pPr>
          </w:p>
        </w:tc>
        <w:tc>
          <w:tcPr>
            <w:tcW w:w="1979" w:type="dxa"/>
            <w:tcBorders>
              <w:top w:val="single" w:sz="4" w:space="0" w:color="808080" w:themeColor="background1" w:themeShade="80"/>
              <w:bottom w:val="nil"/>
            </w:tcBorders>
            <w:shd w:val="clear" w:color="auto" w:fill="auto"/>
          </w:tcPr>
          <w:p w:rsidR="00237A54" w:rsidRPr="00C71F1E" w:rsidRDefault="00237A54" w:rsidP="009418C5">
            <w:pPr>
              <w:pStyle w:val="TableCopy"/>
              <w:rPr>
                <w:rFonts w:ascii="Century Gothic" w:hAnsi="Century Gothic"/>
              </w:rPr>
            </w:pPr>
          </w:p>
        </w:tc>
        <w:tc>
          <w:tcPr>
            <w:tcW w:w="2942" w:type="dxa"/>
            <w:tcBorders>
              <w:top w:val="single" w:sz="4" w:space="0" w:color="808080" w:themeColor="background1" w:themeShade="80"/>
              <w:bottom w:val="nil"/>
            </w:tcBorders>
          </w:tcPr>
          <w:p w:rsidR="00237A54" w:rsidRPr="00C71F1E" w:rsidRDefault="00237A54" w:rsidP="009418C5">
            <w:pPr>
              <w:pStyle w:val="TableCopy"/>
              <w:rPr>
                <w:rFonts w:ascii="Century Gothic" w:hAnsi="Century Gothic"/>
              </w:rPr>
            </w:pPr>
          </w:p>
        </w:tc>
      </w:tr>
    </w:tbl>
    <w:p w:rsidR="00237A54" w:rsidRPr="00C71F1E" w:rsidRDefault="00237A54" w:rsidP="005D6101">
      <w:pPr>
        <w:pStyle w:val="BodyText"/>
        <w:ind w:left="0"/>
        <w:rPr>
          <w:rFonts w:ascii="Century Gothic" w:hAnsi="Century Gothic" w:cs="Arial"/>
        </w:rPr>
      </w:pPr>
    </w:p>
    <w:sectPr w:rsidR="00237A54" w:rsidRPr="00C71F1E" w:rsidSect="00075357">
      <w:footerReference w:type="default" r:id="rId14"/>
      <w:footerReference w:type="first" r:id="rId15"/>
      <w:pgSz w:w="12240" w:h="15840" w:code="1"/>
      <w:pgMar w:top="1260" w:right="1440" w:bottom="1440" w:left="1440" w:header="720" w:footer="8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490A" w:rsidRDefault="00EF490A" w:rsidP="005B402B">
      <w:r>
        <w:separator/>
      </w:r>
    </w:p>
  </w:endnote>
  <w:endnote w:type="continuationSeparator" w:id="0">
    <w:p w:rsidR="00EF490A" w:rsidRDefault="00EF490A"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S Thrive Elliot">
    <w:altName w:val="Nyala"/>
    <w:panose1 w:val="00000000000000000000"/>
    <w:charset w:val="00"/>
    <w:family w:val="roman"/>
    <w:notTrueType/>
    <w:pitch w:val="variable"/>
    <w:sig w:usb0="00000001" w:usb1="4000207A" w:usb2="00000000" w:usb3="00000000" w:csb0="00000093" w:csb1="00000000"/>
  </w:font>
  <w:font w:name="FS Thrive Elliot Heavy">
    <w:altName w:val="Nyala"/>
    <w:panose1 w:val="00000000000000000000"/>
    <w:charset w:val="00"/>
    <w:family w:val="roman"/>
    <w:notTrueType/>
    <w:pitch w:val="variable"/>
    <w:sig w:usb0="00000001"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Times">
    <w:panose1 w:val="02020603050405020304"/>
    <w:charset w:val="00"/>
    <w:family w:val="roman"/>
    <w:pitch w:val="variable"/>
    <w:sig w:usb0="E0002AFF" w:usb1="C0007841" w:usb2="00000009" w:usb3="00000000" w:csb0="000001FF"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45" w:rsidRDefault="003B4445" w:rsidP="003B4445">
    <w:pPr>
      <w:pStyle w:val="Footer"/>
      <w:tabs>
        <w:tab w:val="clear" w:pos="4680"/>
      </w:tabs>
    </w:pPr>
    <w:r>
      <w:br/>
    </w:r>
    <w:r w:rsidR="00237A54">
      <w:t xml:space="preserve">300.05 </w:t>
    </w:r>
    <w:r w:rsidR="00110A91">
      <w:t xml:space="preserve">Physical Security Equipment Maintenance </w:t>
    </w:r>
    <w:r w:rsidR="009C7FD4">
      <w:t>Standard</w:t>
    </w:r>
    <w:r>
      <w:tab/>
    </w:r>
    <w:r>
      <w:fldChar w:fldCharType="begin"/>
    </w:r>
    <w:r>
      <w:instrText xml:space="preserve"> PAGE   \* MERGEFORMAT </w:instrText>
    </w:r>
    <w:r>
      <w:fldChar w:fldCharType="separate"/>
    </w:r>
    <w:r w:rsidR="00C71F1E">
      <w:rPr>
        <w:noProof/>
      </w:rPr>
      <w:t>5</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357" w:rsidRDefault="00075357">
    <w:pPr>
      <w:pStyle w:val="Footer"/>
    </w:pPr>
    <w:r>
      <w:rPr>
        <w:noProof/>
      </w:rPr>
      <w:drawing>
        <wp:anchor distT="0" distB="0" distL="114300" distR="114300" simplePos="0" relativeHeight="251659264" behindDoc="1" locked="0" layoutInCell="1" allowOverlap="1" wp14:anchorId="597BDFC9" wp14:editId="0044FA24">
          <wp:simplePos x="0" y="0"/>
          <wp:positionH relativeFrom="column">
            <wp:posOffset>4792980</wp:posOffset>
          </wp:positionH>
          <wp:positionV relativeFrom="paragraph">
            <wp:posOffset>-135890</wp:posOffset>
          </wp:positionV>
          <wp:extent cx="1380490" cy="642620"/>
          <wp:effectExtent l="0" t="0" r="0" b="0"/>
          <wp:wrapTight wrapText="bothSides">
            <wp:wrapPolygon edited="0">
              <wp:start x="7750" y="640"/>
              <wp:lineTo x="3875" y="2561"/>
              <wp:lineTo x="298" y="7043"/>
              <wp:lineTo x="596" y="13447"/>
              <wp:lineTo x="10134" y="19850"/>
              <wp:lineTo x="12817" y="19850"/>
              <wp:lineTo x="20567" y="13447"/>
              <wp:lineTo x="21163" y="4482"/>
              <wp:lineTo x="18778" y="2561"/>
              <wp:lineTo x="8942" y="640"/>
              <wp:lineTo x="7750" y="6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490" cy="6426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490A" w:rsidRDefault="00EF490A" w:rsidP="005B402B">
      <w:r>
        <w:separator/>
      </w:r>
    </w:p>
  </w:footnote>
  <w:footnote w:type="continuationSeparator" w:id="0">
    <w:p w:rsidR="00EF490A" w:rsidRDefault="00EF490A" w:rsidP="005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28FC7CCC"/>
    <w:multiLevelType w:val="multilevel"/>
    <w:tmpl w:val="EE1C6446"/>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2">
    <w:nsid w:val="290554C5"/>
    <w:multiLevelType w:val="multilevel"/>
    <w:tmpl w:val="A41E7A48"/>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3">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9663067"/>
    <w:multiLevelType w:val="hybridMultilevel"/>
    <w:tmpl w:val="2F7CF7C6"/>
    <w:lvl w:ilvl="0" w:tplc="0292D60C">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F64E1C"/>
    <w:multiLevelType w:val="multilevel"/>
    <w:tmpl w:val="0409001F"/>
    <w:lvl w:ilvl="0">
      <w:start w:val="1"/>
      <w:numFmt w:val="decimal"/>
      <w:lvlText w:val="%1."/>
      <w:lvlJc w:val="left"/>
      <w:pPr>
        <w:ind w:left="72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21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nsid w:val="3A3C50CD"/>
    <w:multiLevelType w:val="multilevel"/>
    <w:tmpl w:val="118C9114"/>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8">
    <w:nsid w:val="3D923D33"/>
    <w:multiLevelType w:val="hybridMultilevel"/>
    <w:tmpl w:val="344E0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ED4CFD"/>
    <w:multiLevelType w:val="multilevel"/>
    <w:tmpl w:val="8DE2C01E"/>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0">
    <w:nsid w:val="4AC81173"/>
    <w:multiLevelType w:val="multilevel"/>
    <w:tmpl w:val="B3C4D8B2"/>
    <w:numStyleLink w:val="AonList"/>
  </w:abstractNum>
  <w:abstractNum w:abstractNumId="11">
    <w:nsid w:val="54423CA2"/>
    <w:multiLevelType w:val="multilevel"/>
    <w:tmpl w:val="89867F82"/>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2">
    <w:nsid w:val="5B3F43BF"/>
    <w:multiLevelType w:val="hybridMultilevel"/>
    <w:tmpl w:val="EB5A6786"/>
    <w:lvl w:ilvl="0" w:tplc="20687E7E">
      <w:start w:val="1"/>
      <w:numFmt w:val="bullet"/>
      <w:pStyle w:val="Bullet2"/>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CA9143F"/>
    <w:multiLevelType w:val="multilevel"/>
    <w:tmpl w:val="F3548542"/>
    <w:lvl w:ilvl="0">
      <w:start w:val="1"/>
      <w:numFmt w:val="bullet"/>
      <w:pStyle w:val="Bullet1Table"/>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4">
    <w:nsid w:val="5CD1110D"/>
    <w:multiLevelType w:val="hybridMultilevel"/>
    <w:tmpl w:val="1E3093D6"/>
    <w:lvl w:ilvl="0" w:tplc="13F600C8">
      <w:start w:val="1"/>
      <w:numFmt w:val="bullet"/>
      <w:pStyle w:val="Bullet4"/>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2"/>
  </w:num>
  <w:num w:numId="3">
    <w:abstractNumId w:val="5"/>
  </w:num>
  <w:num w:numId="4">
    <w:abstractNumId w:val="13"/>
  </w:num>
  <w:num w:numId="5">
    <w:abstractNumId w:val="14"/>
  </w:num>
  <w:num w:numId="6">
    <w:abstractNumId w:val="4"/>
  </w:num>
  <w:num w:numId="7">
    <w:abstractNumId w:val="0"/>
  </w:num>
  <w:num w:numId="8">
    <w:abstractNumId w:val="10"/>
  </w:num>
  <w:num w:numId="9">
    <w:abstractNumId w:val="6"/>
  </w:num>
  <w:num w:numId="10">
    <w:abstractNumId w:val="1"/>
  </w:num>
  <w:num w:numId="11">
    <w:abstractNumId w:val="10"/>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2"/>
  </w:num>
  <w:num w:numId="15">
    <w:abstractNumId w:val="9"/>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01"/>
    <w:rsid w:val="00004CB7"/>
    <w:rsid w:val="00012EB6"/>
    <w:rsid w:val="00016ED0"/>
    <w:rsid w:val="00026D6E"/>
    <w:rsid w:val="000373AB"/>
    <w:rsid w:val="00046D27"/>
    <w:rsid w:val="00075357"/>
    <w:rsid w:val="00087709"/>
    <w:rsid w:val="000B2B20"/>
    <w:rsid w:val="000C237C"/>
    <w:rsid w:val="001052D9"/>
    <w:rsid w:val="00110A91"/>
    <w:rsid w:val="00130EFA"/>
    <w:rsid w:val="00132EAB"/>
    <w:rsid w:val="00133EB8"/>
    <w:rsid w:val="00161C38"/>
    <w:rsid w:val="00193FB9"/>
    <w:rsid w:val="001D01D4"/>
    <w:rsid w:val="00207AC9"/>
    <w:rsid w:val="00230498"/>
    <w:rsid w:val="00234A8F"/>
    <w:rsid w:val="00237A54"/>
    <w:rsid w:val="00243AAD"/>
    <w:rsid w:val="0026509A"/>
    <w:rsid w:val="00274338"/>
    <w:rsid w:val="002757BF"/>
    <w:rsid w:val="002C43A9"/>
    <w:rsid w:val="003122D5"/>
    <w:rsid w:val="003641B4"/>
    <w:rsid w:val="003B4445"/>
    <w:rsid w:val="003D11EF"/>
    <w:rsid w:val="004A6699"/>
    <w:rsid w:val="004C19C5"/>
    <w:rsid w:val="004F6723"/>
    <w:rsid w:val="00546370"/>
    <w:rsid w:val="00572B9B"/>
    <w:rsid w:val="0058699E"/>
    <w:rsid w:val="00596FE5"/>
    <w:rsid w:val="005B402B"/>
    <w:rsid w:val="005D08C9"/>
    <w:rsid w:val="005D6101"/>
    <w:rsid w:val="00631213"/>
    <w:rsid w:val="0064357A"/>
    <w:rsid w:val="0064411E"/>
    <w:rsid w:val="00657BDB"/>
    <w:rsid w:val="00666F6C"/>
    <w:rsid w:val="006F2AD3"/>
    <w:rsid w:val="0074779E"/>
    <w:rsid w:val="007B6C0D"/>
    <w:rsid w:val="007F7C93"/>
    <w:rsid w:val="00877C5D"/>
    <w:rsid w:val="008F152A"/>
    <w:rsid w:val="009349C9"/>
    <w:rsid w:val="00942648"/>
    <w:rsid w:val="009837F6"/>
    <w:rsid w:val="009A1695"/>
    <w:rsid w:val="009A3A28"/>
    <w:rsid w:val="009C15C5"/>
    <w:rsid w:val="009C7FD4"/>
    <w:rsid w:val="009F7CF9"/>
    <w:rsid w:val="00A667E0"/>
    <w:rsid w:val="00A855D2"/>
    <w:rsid w:val="00AE73C1"/>
    <w:rsid w:val="00B33A2C"/>
    <w:rsid w:val="00B606E6"/>
    <w:rsid w:val="00B62B24"/>
    <w:rsid w:val="00B71DB5"/>
    <w:rsid w:val="00C16A23"/>
    <w:rsid w:val="00C57EE1"/>
    <w:rsid w:val="00C71F1E"/>
    <w:rsid w:val="00D33649"/>
    <w:rsid w:val="00D563B0"/>
    <w:rsid w:val="00D5712B"/>
    <w:rsid w:val="00D80981"/>
    <w:rsid w:val="00D81842"/>
    <w:rsid w:val="00D94A05"/>
    <w:rsid w:val="00DF3ECD"/>
    <w:rsid w:val="00E147BB"/>
    <w:rsid w:val="00E269A3"/>
    <w:rsid w:val="00E542BC"/>
    <w:rsid w:val="00E82861"/>
    <w:rsid w:val="00EF490A"/>
    <w:rsid w:val="00F06404"/>
    <w:rsid w:val="00FB3C3F"/>
    <w:rsid w:val="00FC2C8C"/>
    <w:rsid w:val="00FD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uiPriority w:val="99"/>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uiPriority w:val="99"/>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249370">
      <w:bodyDiv w:val="1"/>
      <w:marLeft w:val="0"/>
      <w:marRight w:val="0"/>
      <w:marTop w:val="0"/>
      <w:marBottom w:val="0"/>
      <w:divBdr>
        <w:top w:val="none" w:sz="0" w:space="0" w:color="auto"/>
        <w:left w:val="none" w:sz="0" w:space="0" w:color="auto"/>
        <w:bottom w:val="none" w:sz="0" w:space="0" w:color="auto"/>
        <w:right w:val="none" w:sz="0" w:space="0" w:color="auto"/>
      </w:divBdr>
    </w:div>
    <w:div w:id="7171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global.security.services@aon.com"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SRM.Mailbox@aon.com?subject=CSSP%20Policy%20Exception%20Inquir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Alight">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FE3A5E-8A54-4665-B729-2968631BA1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F225AA-B174-4E9D-A570-231D120A55EE}">
  <ds:schemaRefs>
    <ds:schemaRef ds:uri="http://schemas.microsoft.com/sharepoint/v3/contenttype/forms"/>
  </ds:schemaRefs>
</ds:datastoreItem>
</file>

<file path=customXml/itemProps3.xml><?xml version="1.0" encoding="utf-8"?>
<ds:datastoreItem xmlns:ds="http://schemas.openxmlformats.org/officeDocument/2006/customXml" ds:itemID="{2E604B34-BC60-4634-806C-6B87237606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D240EA8-4E7C-4B45-93FF-1A734F90E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7526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Dolezal</dc:creator>
  <cp:lastModifiedBy>Austin Songer</cp:lastModifiedBy>
  <cp:revision>4</cp:revision>
  <dcterms:created xsi:type="dcterms:W3CDTF">2017-07-15T02:38:00Z</dcterms:created>
  <dcterms:modified xsi:type="dcterms:W3CDTF">2018-04-20T16:48:00Z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