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FD4" w:rsidRPr="003122D5" w:rsidRDefault="00EA776A" w:rsidP="003122D5">
      <w:pPr>
        <w:pStyle w:val="Heading1"/>
        <w:spacing w:before="0" w:after="240"/>
        <w:rPr>
          <w:rFonts w:eastAsia="MS Mincho"/>
          <w:b w:val="0"/>
          <w:szCs w:val="22"/>
        </w:rPr>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rPr>
          <w:b w:val="0"/>
          <w:szCs w:val="22"/>
        </w:rPr>
        <w:t>Physical Security Audits and Compliance</w:t>
      </w:r>
      <w:r w:rsidR="009C7FD4" w:rsidRPr="003122D5">
        <w:rPr>
          <w:b w:val="0"/>
          <w:szCs w:val="22"/>
        </w:rPr>
        <w:t xml:space="preserve"> Standard</w:t>
      </w:r>
      <w:bookmarkStart w:id="10" w:name="_Toc304735574"/>
      <w:bookmarkStart w:id="11" w:name="_Toc301517818"/>
      <w:bookmarkStart w:id="12" w:name="_Toc289842747"/>
      <w:bookmarkStart w:id="13" w:name="_Toc300653622"/>
      <w:bookmarkStart w:id="14" w:name="_GoBack"/>
      <w:bookmarkEnd w:id="14"/>
    </w:p>
    <w:bookmarkEnd w:id="10"/>
    <w:bookmarkEnd w:id="11"/>
    <w:bookmarkEnd w:id="12"/>
    <w:p w:rsidR="009C7FD4" w:rsidRPr="009C7FD4" w:rsidRDefault="009C7FD4" w:rsidP="009C7FD4">
      <w:pPr>
        <w:pStyle w:val="BodyText"/>
        <w:ind w:left="0"/>
        <w:rPr>
          <w:rFonts w:asciiTheme="majorHAnsi" w:hAnsiTheme="majorHAnsi"/>
          <w:sz w:val="32"/>
          <w:szCs w:val="32"/>
        </w:rPr>
      </w:pPr>
      <w:r w:rsidRPr="009C7FD4">
        <w:rPr>
          <w:rFonts w:asciiTheme="majorHAnsi" w:hAnsiTheme="majorHAnsi"/>
          <w:sz w:val="32"/>
          <w:szCs w:val="32"/>
        </w:rPr>
        <w:t>Related Policy</w:t>
      </w:r>
    </w:p>
    <w:p w:rsidR="00110A91" w:rsidRDefault="009C7FD4" w:rsidP="004C7C43">
      <w:pPr>
        <w:pStyle w:val="BodyText"/>
        <w:numPr>
          <w:ilvl w:val="0"/>
          <w:numId w:val="20"/>
        </w:numPr>
        <w:rPr>
          <w:rFonts w:asciiTheme="minorHAnsi" w:hAnsiTheme="minorHAnsi"/>
          <w:sz w:val="20"/>
          <w:szCs w:val="20"/>
        </w:rPr>
      </w:pPr>
      <w:r w:rsidRPr="000373AB">
        <w:rPr>
          <w:rFonts w:asciiTheme="minorHAnsi" w:hAnsiTheme="minorHAnsi"/>
          <w:sz w:val="20"/>
          <w:szCs w:val="20"/>
        </w:rPr>
        <w:t>300.00 Physical Security Policy</w:t>
      </w:r>
      <w:bookmarkStart w:id="15" w:name="_Toc304735578"/>
    </w:p>
    <w:p w:rsidR="00110A91" w:rsidRPr="00110A91" w:rsidRDefault="00110A91" w:rsidP="00EA776A">
      <w:pPr>
        <w:pStyle w:val="BodyText"/>
        <w:ind w:left="0"/>
        <w:rPr>
          <w:rFonts w:asciiTheme="majorHAnsi" w:hAnsiTheme="majorHAnsi"/>
          <w:sz w:val="32"/>
          <w:szCs w:val="32"/>
        </w:rPr>
      </w:pPr>
      <w:r w:rsidRPr="00110A91">
        <w:rPr>
          <w:rFonts w:asciiTheme="majorHAnsi" w:hAnsiTheme="majorHAnsi"/>
          <w:sz w:val="32"/>
          <w:szCs w:val="32"/>
        </w:rPr>
        <w:t>Purpose</w:t>
      </w:r>
    </w:p>
    <w:p w:rsidR="00EA776A" w:rsidRPr="00EA776A" w:rsidRDefault="00EA776A" w:rsidP="00EA776A">
      <w:pPr>
        <w:pStyle w:val="BodyText"/>
        <w:ind w:left="0"/>
        <w:jc w:val="both"/>
        <w:rPr>
          <w:rFonts w:asciiTheme="minorHAnsi" w:hAnsiTheme="minorHAnsi"/>
          <w:sz w:val="20"/>
          <w:szCs w:val="20"/>
        </w:rPr>
      </w:pPr>
      <w:r w:rsidRPr="00EA776A">
        <w:rPr>
          <w:rFonts w:asciiTheme="minorHAnsi" w:hAnsiTheme="minorHAnsi"/>
          <w:sz w:val="20"/>
          <w:szCs w:val="20"/>
        </w:rPr>
        <w:t xml:space="preserve">The purpose of this standard is to ensure that effective physical access controls are present at every </w:t>
      </w:r>
      <w:proofErr w:type="gramStart"/>
      <w:r w:rsidR="0067552A">
        <w:rPr>
          <w:rFonts w:asciiTheme="minorHAnsi" w:hAnsiTheme="minorHAnsi"/>
          <w:sz w:val="20"/>
          <w:szCs w:val="20"/>
        </w:rPr>
        <w:t>Alight</w:t>
      </w:r>
      <w:proofErr w:type="gramEnd"/>
      <w:r w:rsidRPr="00EA776A">
        <w:rPr>
          <w:rFonts w:asciiTheme="minorHAnsi" w:hAnsiTheme="minorHAnsi"/>
          <w:sz w:val="20"/>
          <w:szCs w:val="20"/>
        </w:rPr>
        <w:t xml:space="preserve"> office location.  Effective physical access control includes the use of people, technology, policies and procedures to secure </w:t>
      </w:r>
      <w:proofErr w:type="gramStart"/>
      <w:r w:rsidR="0067552A">
        <w:rPr>
          <w:rFonts w:asciiTheme="minorHAnsi" w:hAnsiTheme="minorHAnsi"/>
          <w:sz w:val="20"/>
          <w:szCs w:val="20"/>
        </w:rPr>
        <w:t>Alight</w:t>
      </w:r>
      <w:proofErr w:type="gramEnd"/>
      <w:r w:rsidRPr="00EA776A">
        <w:rPr>
          <w:rFonts w:asciiTheme="minorHAnsi" w:hAnsiTheme="minorHAnsi"/>
          <w:sz w:val="20"/>
          <w:szCs w:val="20"/>
        </w:rPr>
        <w:t xml:space="preserve"> space from unauthorized persons.  Physical access controls reduce the risk to </w:t>
      </w:r>
      <w:proofErr w:type="gramStart"/>
      <w:r w:rsidR="0067552A">
        <w:rPr>
          <w:rFonts w:asciiTheme="minorHAnsi" w:hAnsiTheme="minorHAnsi"/>
          <w:sz w:val="20"/>
          <w:szCs w:val="20"/>
        </w:rPr>
        <w:t>Alight</w:t>
      </w:r>
      <w:proofErr w:type="gramEnd"/>
      <w:r w:rsidRPr="00EA776A">
        <w:rPr>
          <w:rFonts w:asciiTheme="minorHAnsi" w:hAnsiTheme="minorHAnsi"/>
          <w:sz w:val="20"/>
          <w:szCs w:val="20"/>
        </w:rPr>
        <w:t xml:space="preserve"> colleagues, work product and client information. </w:t>
      </w:r>
    </w:p>
    <w:p w:rsidR="00EA776A" w:rsidRPr="00EA776A" w:rsidRDefault="00EA776A" w:rsidP="00EA776A">
      <w:pPr>
        <w:pStyle w:val="BodyText"/>
        <w:ind w:left="0"/>
        <w:jc w:val="both"/>
        <w:rPr>
          <w:rFonts w:asciiTheme="minorHAnsi" w:hAnsiTheme="minorHAnsi"/>
          <w:sz w:val="20"/>
          <w:szCs w:val="20"/>
        </w:rPr>
      </w:pPr>
      <w:r w:rsidRPr="00EA776A">
        <w:rPr>
          <w:rFonts w:asciiTheme="minorHAnsi" w:hAnsiTheme="minorHAnsi"/>
          <w:sz w:val="20"/>
          <w:szCs w:val="20"/>
        </w:rPr>
        <w:t>Audits &amp; Compliance is the process by which internal surveying and testing measures are taken to assess the presence, effectiveness, and accordance of physical security policies and controls.</w:t>
      </w:r>
    </w:p>
    <w:p w:rsidR="00EA776A" w:rsidRPr="00EA776A" w:rsidRDefault="00EA776A" w:rsidP="00EA776A">
      <w:pPr>
        <w:pStyle w:val="BodyText"/>
        <w:spacing w:before="100" w:beforeAutospacing="1" w:line="240" w:lineRule="auto"/>
        <w:ind w:left="0"/>
        <w:rPr>
          <w:rStyle w:val="Heading1Char"/>
          <w:sz w:val="32"/>
          <w:szCs w:val="32"/>
        </w:rPr>
      </w:pPr>
      <w:r w:rsidRPr="00EA776A">
        <w:rPr>
          <w:rStyle w:val="Heading1Char"/>
          <w:sz w:val="32"/>
          <w:szCs w:val="32"/>
        </w:rPr>
        <w:t>Standard Statements</w:t>
      </w:r>
      <w:bookmarkStart w:id="16" w:name="_Hlt103157950"/>
      <w:bookmarkEnd w:id="16"/>
    </w:p>
    <w:p w:rsidR="00EA776A" w:rsidRDefault="00EA776A" w:rsidP="00EA776A">
      <w:pPr>
        <w:pStyle w:val="Heading3"/>
        <w:numPr>
          <w:ilvl w:val="0"/>
          <w:numId w:val="9"/>
        </w:numPr>
        <w:spacing w:after="0"/>
        <w:ind w:left="540" w:hanging="540"/>
        <w:jc w:val="both"/>
        <w:rPr>
          <w:rFonts w:cs="Arial"/>
        </w:rPr>
      </w:pPr>
      <w:bookmarkStart w:id="17" w:name="_Toc309250747"/>
      <w:bookmarkStart w:id="18" w:name="_Toc286662406"/>
      <w:bookmarkStart w:id="19" w:name="_Toc289842761"/>
      <w:bookmarkStart w:id="20" w:name="_Toc289842764"/>
      <w:bookmarkStart w:id="21" w:name="_Toc63227083"/>
      <w:r>
        <w:rPr>
          <w:rFonts w:cs="Arial"/>
        </w:rPr>
        <w:t>Audits and Compliance</w:t>
      </w:r>
      <w:bookmarkEnd w:id="17"/>
      <w:r>
        <w:rPr>
          <w:rFonts w:cs="Arial"/>
        </w:rPr>
        <w:t xml:space="preserve"> </w:t>
      </w:r>
    </w:p>
    <w:p w:rsidR="00EA776A" w:rsidRPr="00EA776A" w:rsidRDefault="0067552A" w:rsidP="00EA776A">
      <w:pPr>
        <w:pStyle w:val="ListParagraph"/>
        <w:numPr>
          <w:ilvl w:val="1"/>
          <w:numId w:val="9"/>
        </w:numPr>
        <w:spacing w:before="120" w:after="120"/>
        <w:ind w:left="1080" w:hanging="540"/>
        <w:contextualSpacing w:val="0"/>
        <w:jc w:val="both"/>
        <w:rPr>
          <w:rFonts w:asciiTheme="minorHAnsi" w:hAnsiTheme="minorHAnsi" w:cs="Arial"/>
        </w:rPr>
      </w:pPr>
      <w:r>
        <w:rPr>
          <w:rFonts w:asciiTheme="minorHAnsi" w:hAnsiTheme="minorHAnsi" w:cs="Arial"/>
        </w:rPr>
        <w:t>Alight</w:t>
      </w:r>
      <w:r w:rsidR="00EA776A" w:rsidRPr="00EA776A">
        <w:rPr>
          <w:rFonts w:asciiTheme="minorHAnsi" w:hAnsiTheme="minorHAnsi" w:cs="Arial"/>
        </w:rPr>
        <w:t xml:space="preserve">’s Global Security Services (GSS) maintains an internal team, which is responsible for supporting </w:t>
      </w:r>
      <w:r>
        <w:rPr>
          <w:rFonts w:asciiTheme="minorHAnsi" w:hAnsiTheme="minorHAnsi" w:cs="Arial"/>
        </w:rPr>
        <w:t>Alight</w:t>
      </w:r>
      <w:r w:rsidR="00EA776A" w:rsidRPr="00EA776A">
        <w:rPr>
          <w:rFonts w:asciiTheme="minorHAnsi" w:hAnsiTheme="minorHAnsi" w:cs="Arial"/>
        </w:rPr>
        <w:t>’s compliance with Service Organization Controls (“SOC”), Sarbanes-Oxley regulations (“</w:t>
      </w:r>
      <w:proofErr w:type="spellStart"/>
      <w:r w:rsidR="00EA776A" w:rsidRPr="00EA776A">
        <w:rPr>
          <w:rFonts w:asciiTheme="minorHAnsi" w:hAnsiTheme="minorHAnsi" w:cs="Arial"/>
        </w:rPr>
        <w:t>SOx</w:t>
      </w:r>
      <w:proofErr w:type="spellEnd"/>
      <w:r w:rsidR="00EA776A" w:rsidRPr="00EA776A">
        <w:rPr>
          <w:rFonts w:asciiTheme="minorHAnsi" w:hAnsiTheme="minorHAnsi" w:cs="Arial"/>
        </w:rPr>
        <w:t>”), Payment Card Industry (PCI) and other regulations (may  vary by region and country) regarding physical security controls.</w:t>
      </w:r>
    </w:p>
    <w:p w:rsidR="00EA776A" w:rsidRPr="00EA776A" w:rsidRDefault="0067552A" w:rsidP="00EA776A">
      <w:pPr>
        <w:pStyle w:val="ListParagraph"/>
        <w:numPr>
          <w:ilvl w:val="2"/>
          <w:numId w:val="9"/>
        </w:numPr>
        <w:spacing w:before="120" w:after="120"/>
        <w:ind w:left="1800" w:hanging="720"/>
        <w:contextualSpacing w:val="0"/>
        <w:jc w:val="both"/>
        <w:rPr>
          <w:rFonts w:asciiTheme="minorHAnsi" w:hAnsiTheme="minorHAnsi" w:cs="Arial"/>
        </w:rPr>
      </w:pPr>
      <w:r>
        <w:rPr>
          <w:rFonts w:asciiTheme="minorHAnsi" w:hAnsiTheme="minorHAnsi" w:cs="Arial"/>
        </w:rPr>
        <w:t>Alight</w:t>
      </w:r>
      <w:r w:rsidR="00EA776A" w:rsidRPr="00EA776A">
        <w:rPr>
          <w:rFonts w:asciiTheme="minorHAnsi" w:hAnsiTheme="minorHAnsi" w:cs="Arial"/>
        </w:rPr>
        <w:t>’s Internal Audit measures/tests GSS’ execution of established building physical security access policies and procedures.</w:t>
      </w:r>
    </w:p>
    <w:p w:rsidR="00EA776A" w:rsidRPr="00EA776A" w:rsidRDefault="00EA776A" w:rsidP="00EA776A">
      <w:pPr>
        <w:pStyle w:val="ListParagraph"/>
        <w:numPr>
          <w:ilvl w:val="2"/>
          <w:numId w:val="9"/>
        </w:numPr>
        <w:spacing w:before="120" w:after="120"/>
        <w:ind w:left="1800" w:hanging="720"/>
        <w:contextualSpacing w:val="0"/>
        <w:jc w:val="both"/>
        <w:rPr>
          <w:rFonts w:asciiTheme="minorHAnsi" w:hAnsiTheme="minorHAnsi" w:cs="Arial"/>
        </w:rPr>
      </w:pPr>
      <w:r w:rsidRPr="00EA776A">
        <w:rPr>
          <w:rFonts w:asciiTheme="minorHAnsi" w:hAnsiTheme="minorHAnsi" w:cs="Arial"/>
        </w:rPr>
        <w:t xml:space="preserve">GSS is required to support and assist with </w:t>
      </w:r>
      <w:r w:rsidR="0067552A">
        <w:rPr>
          <w:rFonts w:asciiTheme="minorHAnsi" w:hAnsiTheme="minorHAnsi" w:cs="Arial"/>
        </w:rPr>
        <w:t>Alight</w:t>
      </w:r>
      <w:r w:rsidRPr="00EA776A">
        <w:rPr>
          <w:rFonts w:asciiTheme="minorHAnsi" w:hAnsiTheme="minorHAnsi" w:cs="Arial"/>
        </w:rPr>
        <w:t>’s internal audit program.</w:t>
      </w:r>
    </w:p>
    <w:p w:rsidR="00EA776A" w:rsidRPr="00EA776A" w:rsidRDefault="0067552A" w:rsidP="00EA776A">
      <w:pPr>
        <w:pStyle w:val="ListParagraph"/>
        <w:numPr>
          <w:ilvl w:val="1"/>
          <w:numId w:val="9"/>
        </w:numPr>
        <w:spacing w:before="120" w:after="120"/>
        <w:ind w:left="1080" w:hanging="540"/>
        <w:contextualSpacing w:val="0"/>
        <w:jc w:val="both"/>
        <w:rPr>
          <w:rFonts w:asciiTheme="minorHAnsi" w:hAnsiTheme="minorHAnsi" w:cs="Arial"/>
        </w:rPr>
      </w:pPr>
      <w:r>
        <w:rPr>
          <w:rFonts w:asciiTheme="minorHAnsi" w:hAnsiTheme="minorHAnsi" w:cs="Arial"/>
        </w:rPr>
        <w:t>Alight</w:t>
      </w:r>
      <w:r w:rsidR="00EA776A" w:rsidRPr="00EA776A">
        <w:rPr>
          <w:rFonts w:asciiTheme="minorHAnsi" w:hAnsiTheme="minorHAnsi" w:cs="Arial"/>
        </w:rPr>
        <w:t xml:space="preserve"> has commissioned an external auditing firm for testing </w:t>
      </w:r>
      <w:r>
        <w:rPr>
          <w:rFonts w:asciiTheme="minorHAnsi" w:hAnsiTheme="minorHAnsi" w:cs="Arial"/>
        </w:rPr>
        <w:t>Alight</w:t>
      </w:r>
      <w:r w:rsidR="00EA776A" w:rsidRPr="00EA776A">
        <w:rPr>
          <w:rFonts w:asciiTheme="minorHAnsi" w:hAnsiTheme="minorHAnsi" w:cs="Arial"/>
        </w:rPr>
        <w:t xml:space="preserve"> and GSS’ compliance with established physical security controls. </w:t>
      </w:r>
    </w:p>
    <w:p w:rsidR="00EA776A" w:rsidRPr="00EA776A" w:rsidRDefault="00EA776A" w:rsidP="00EA776A">
      <w:pPr>
        <w:pStyle w:val="ListParagraph"/>
        <w:numPr>
          <w:ilvl w:val="2"/>
          <w:numId w:val="9"/>
        </w:numPr>
        <w:spacing w:before="120" w:after="120"/>
        <w:ind w:left="1800" w:hanging="720"/>
        <w:contextualSpacing w:val="0"/>
        <w:jc w:val="both"/>
        <w:rPr>
          <w:rFonts w:asciiTheme="minorHAnsi" w:hAnsiTheme="minorHAnsi" w:cs="Arial"/>
        </w:rPr>
      </w:pPr>
      <w:r w:rsidRPr="00EA776A">
        <w:rPr>
          <w:rFonts w:asciiTheme="minorHAnsi" w:hAnsiTheme="minorHAnsi" w:cs="Arial"/>
        </w:rPr>
        <w:t xml:space="preserve">The auditor provides independent third-party verification regarding </w:t>
      </w:r>
      <w:proofErr w:type="gramStart"/>
      <w:r w:rsidR="0067552A">
        <w:rPr>
          <w:rFonts w:asciiTheme="minorHAnsi" w:hAnsiTheme="minorHAnsi" w:cs="Arial"/>
        </w:rPr>
        <w:t>Alight</w:t>
      </w:r>
      <w:r w:rsidRPr="00EA776A">
        <w:rPr>
          <w:rFonts w:asciiTheme="minorHAnsi" w:hAnsiTheme="minorHAnsi" w:cs="Arial"/>
        </w:rPr>
        <w:t>’s</w:t>
      </w:r>
      <w:proofErr w:type="gramEnd"/>
      <w:r w:rsidRPr="00EA776A">
        <w:rPr>
          <w:rFonts w:asciiTheme="minorHAnsi" w:hAnsiTheme="minorHAnsi" w:cs="Arial"/>
        </w:rPr>
        <w:t xml:space="preserve"> assertion that the defined controls are in place and operating effectively.</w:t>
      </w:r>
    </w:p>
    <w:p w:rsidR="00EA776A" w:rsidRPr="00EA776A" w:rsidRDefault="00EA776A" w:rsidP="00EA776A">
      <w:pPr>
        <w:pStyle w:val="ListParagraph"/>
        <w:numPr>
          <w:ilvl w:val="2"/>
          <w:numId w:val="9"/>
        </w:numPr>
        <w:spacing w:before="120" w:after="120"/>
        <w:ind w:left="1800" w:hanging="720"/>
        <w:contextualSpacing w:val="0"/>
        <w:jc w:val="both"/>
        <w:rPr>
          <w:rFonts w:asciiTheme="minorHAnsi" w:hAnsiTheme="minorHAnsi" w:cs="Arial"/>
        </w:rPr>
      </w:pPr>
      <w:r w:rsidRPr="00EA776A">
        <w:rPr>
          <w:rFonts w:asciiTheme="minorHAnsi" w:hAnsiTheme="minorHAnsi" w:cs="Arial"/>
        </w:rPr>
        <w:t xml:space="preserve">The auditor provides </w:t>
      </w:r>
      <w:r w:rsidR="0067552A">
        <w:rPr>
          <w:rFonts w:asciiTheme="minorHAnsi" w:hAnsiTheme="minorHAnsi" w:cs="Arial"/>
        </w:rPr>
        <w:t>Alight</w:t>
      </w:r>
      <w:r w:rsidRPr="00EA776A">
        <w:rPr>
          <w:rFonts w:asciiTheme="minorHAnsi" w:hAnsiTheme="minorHAnsi" w:cs="Arial"/>
        </w:rPr>
        <w:t xml:space="preserve"> and specified clients the Service Organization Controls (“SOC”) based on their independent assessment of compliance with the established controls at the established </w:t>
      </w:r>
      <w:proofErr w:type="gramStart"/>
      <w:r w:rsidR="0067552A">
        <w:rPr>
          <w:rFonts w:asciiTheme="minorHAnsi" w:hAnsiTheme="minorHAnsi" w:cs="Arial"/>
        </w:rPr>
        <w:t>Alight</w:t>
      </w:r>
      <w:proofErr w:type="gramEnd"/>
      <w:r w:rsidRPr="00EA776A">
        <w:rPr>
          <w:rFonts w:asciiTheme="minorHAnsi" w:hAnsiTheme="minorHAnsi" w:cs="Arial"/>
        </w:rPr>
        <w:t xml:space="preserve"> office locations.</w:t>
      </w:r>
    </w:p>
    <w:p w:rsidR="00EA776A" w:rsidRPr="00EA776A" w:rsidRDefault="0067552A" w:rsidP="00EA776A">
      <w:pPr>
        <w:pStyle w:val="ListParagraph"/>
        <w:numPr>
          <w:ilvl w:val="2"/>
          <w:numId w:val="9"/>
        </w:numPr>
        <w:spacing w:before="120" w:after="120"/>
        <w:ind w:left="1800" w:hanging="720"/>
        <w:contextualSpacing w:val="0"/>
        <w:jc w:val="both"/>
        <w:rPr>
          <w:rFonts w:asciiTheme="minorHAnsi" w:hAnsiTheme="minorHAnsi" w:cs="Arial"/>
        </w:rPr>
      </w:pPr>
      <w:r>
        <w:rPr>
          <w:rFonts w:asciiTheme="minorHAnsi" w:hAnsiTheme="minorHAnsi" w:cs="Arial"/>
        </w:rPr>
        <w:t>Alight</w:t>
      </w:r>
      <w:r w:rsidR="00EA776A" w:rsidRPr="00EA776A">
        <w:rPr>
          <w:rFonts w:asciiTheme="minorHAnsi" w:hAnsiTheme="minorHAnsi" w:cs="Arial"/>
        </w:rPr>
        <w:t xml:space="preserve"> GSS Global Protection Services (GSS GPS) is required to support and assist with the assessment of the following five (5) physical security controls:</w:t>
      </w:r>
    </w:p>
    <w:p w:rsidR="00EA776A" w:rsidRPr="00EA776A" w:rsidRDefault="00EA776A" w:rsidP="00EA776A">
      <w:pPr>
        <w:pStyle w:val="ListParagraph"/>
        <w:numPr>
          <w:ilvl w:val="3"/>
          <w:numId w:val="9"/>
        </w:numPr>
        <w:spacing w:before="120" w:after="120"/>
        <w:ind w:left="2700" w:hanging="900"/>
        <w:contextualSpacing w:val="0"/>
        <w:jc w:val="both"/>
        <w:rPr>
          <w:rFonts w:asciiTheme="minorHAnsi" w:hAnsiTheme="minorHAnsi" w:cs="Arial"/>
        </w:rPr>
      </w:pPr>
      <w:r w:rsidRPr="00EA776A">
        <w:rPr>
          <w:rFonts w:asciiTheme="minorHAnsi" w:hAnsiTheme="minorHAnsi" w:cs="Arial"/>
        </w:rPr>
        <w:t>Security devices (e.g., an electronic keycard system) control access to facilities.</w:t>
      </w:r>
    </w:p>
    <w:p w:rsidR="00EA776A" w:rsidRPr="00EA776A" w:rsidRDefault="00EA776A" w:rsidP="00EA776A">
      <w:pPr>
        <w:pStyle w:val="ListParagraph"/>
        <w:numPr>
          <w:ilvl w:val="3"/>
          <w:numId w:val="9"/>
        </w:numPr>
        <w:spacing w:before="120" w:after="120"/>
        <w:ind w:left="2700" w:hanging="900"/>
        <w:contextualSpacing w:val="0"/>
        <w:jc w:val="both"/>
        <w:rPr>
          <w:rFonts w:asciiTheme="minorHAnsi" w:hAnsiTheme="minorHAnsi" w:cs="Arial"/>
        </w:rPr>
      </w:pPr>
      <w:r w:rsidRPr="00EA776A">
        <w:rPr>
          <w:rFonts w:asciiTheme="minorHAnsi" w:hAnsiTheme="minorHAnsi" w:cs="Arial"/>
        </w:rPr>
        <w:t>Keycards are coded to only allow access to areas necessary to perform job functions.</w:t>
      </w:r>
    </w:p>
    <w:p w:rsidR="00EA776A" w:rsidRPr="00EA776A" w:rsidRDefault="00EA776A" w:rsidP="00EA776A">
      <w:pPr>
        <w:pStyle w:val="ListParagraph"/>
        <w:numPr>
          <w:ilvl w:val="3"/>
          <w:numId w:val="9"/>
        </w:numPr>
        <w:spacing w:before="120" w:after="120"/>
        <w:ind w:left="2700" w:hanging="900"/>
        <w:contextualSpacing w:val="0"/>
        <w:jc w:val="both"/>
        <w:rPr>
          <w:rFonts w:asciiTheme="minorHAnsi" w:hAnsiTheme="minorHAnsi" w:cs="Arial"/>
        </w:rPr>
      </w:pPr>
      <w:r w:rsidRPr="00EA776A">
        <w:rPr>
          <w:rFonts w:asciiTheme="minorHAnsi" w:hAnsiTheme="minorHAnsi" w:cs="Arial"/>
        </w:rPr>
        <w:lastRenderedPageBreak/>
        <w:t xml:space="preserve">Sensitive data processing areas (i.e., data rooms housing servers that support client applications, routers, check printing </w:t>
      </w:r>
      <w:proofErr w:type="gramStart"/>
      <w:r w:rsidRPr="00EA776A">
        <w:rPr>
          <w:rFonts w:asciiTheme="minorHAnsi" w:hAnsiTheme="minorHAnsi" w:cs="Arial"/>
        </w:rPr>
        <w:t>rooms,</w:t>
      </w:r>
      <w:proofErr w:type="gramEnd"/>
      <w:r w:rsidRPr="00EA776A">
        <w:rPr>
          <w:rFonts w:asciiTheme="minorHAnsi" w:hAnsiTheme="minorHAnsi" w:cs="Arial"/>
        </w:rPr>
        <w:t xml:space="preserve"> or other communications equipment) are restricted to the appropriately authorized individuals.</w:t>
      </w:r>
    </w:p>
    <w:p w:rsidR="00EA776A" w:rsidRPr="00EA776A" w:rsidRDefault="00EA776A" w:rsidP="00EA776A">
      <w:pPr>
        <w:pStyle w:val="ListParagraph"/>
        <w:numPr>
          <w:ilvl w:val="3"/>
          <w:numId w:val="9"/>
        </w:numPr>
        <w:spacing w:before="120" w:after="120"/>
        <w:ind w:left="2700" w:hanging="900"/>
        <w:contextualSpacing w:val="0"/>
        <w:jc w:val="both"/>
        <w:rPr>
          <w:rFonts w:asciiTheme="minorHAnsi" w:hAnsiTheme="minorHAnsi" w:cs="Arial"/>
        </w:rPr>
      </w:pPr>
      <w:r w:rsidRPr="00EA776A">
        <w:rPr>
          <w:rFonts w:asciiTheme="minorHAnsi" w:hAnsiTheme="minorHAnsi" w:cs="Arial"/>
        </w:rPr>
        <w:t>Access to sensitive data processing areas is subjected to periodic access reviews.</w:t>
      </w:r>
    </w:p>
    <w:p w:rsidR="00EA776A" w:rsidRPr="00EA776A" w:rsidRDefault="00EA776A" w:rsidP="00EA776A">
      <w:pPr>
        <w:pStyle w:val="ListParagraph"/>
        <w:numPr>
          <w:ilvl w:val="3"/>
          <w:numId w:val="9"/>
        </w:numPr>
        <w:spacing w:before="120" w:after="120"/>
        <w:ind w:left="2700" w:hanging="900"/>
        <w:contextualSpacing w:val="0"/>
        <w:jc w:val="both"/>
        <w:rPr>
          <w:rFonts w:asciiTheme="minorHAnsi" w:hAnsiTheme="minorHAnsi" w:cs="Arial"/>
        </w:rPr>
      </w:pPr>
      <w:r w:rsidRPr="00EA776A">
        <w:rPr>
          <w:rFonts w:asciiTheme="minorHAnsi" w:hAnsiTheme="minorHAnsi" w:cs="Arial"/>
        </w:rPr>
        <w:t xml:space="preserve">For terminated </w:t>
      </w:r>
      <w:proofErr w:type="gramStart"/>
      <w:r w:rsidR="0067552A">
        <w:rPr>
          <w:rFonts w:asciiTheme="minorHAnsi" w:hAnsiTheme="minorHAnsi" w:cs="Arial"/>
        </w:rPr>
        <w:t>Alight</w:t>
      </w:r>
      <w:proofErr w:type="gramEnd"/>
      <w:r w:rsidRPr="00EA776A">
        <w:rPr>
          <w:rFonts w:asciiTheme="minorHAnsi" w:hAnsiTheme="minorHAnsi" w:cs="Arial"/>
        </w:rPr>
        <w:t xml:space="preserve"> colleagues, keycard access is removed on a timely basis.</w:t>
      </w:r>
    </w:p>
    <w:p w:rsidR="00EA776A" w:rsidRPr="0067552A" w:rsidRDefault="00EA776A" w:rsidP="00EA776A">
      <w:pPr>
        <w:pStyle w:val="ListParagraph"/>
        <w:numPr>
          <w:ilvl w:val="2"/>
          <w:numId w:val="9"/>
        </w:numPr>
        <w:spacing w:before="120" w:after="120"/>
        <w:ind w:left="1800" w:hanging="720"/>
        <w:contextualSpacing w:val="0"/>
        <w:jc w:val="both"/>
        <w:rPr>
          <w:rFonts w:asciiTheme="minorHAnsi" w:hAnsiTheme="minorHAnsi" w:cs="Arial"/>
          <w:szCs w:val="20"/>
        </w:rPr>
      </w:pPr>
      <w:r w:rsidRPr="0067552A">
        <w:rPr>
          <w:rFonts w:asciiTheme="minorHAnsi" w:hAnsiTheme="minorHAnsi" w:cs="Arial"/>
          <w:szCs w:val="20"/>
        </w:rPr>
        <w:t xml:space="preserve">The five (5) controls are assessed periodically as coordinated by the independent auditor and </w:t>
      </w:r>
      <w:r w:rsidR="0067552A" w:rsidRPr="0067552A">
        <w:rPr>
          <w:rFonts w:asciiTheme="minorHAnsi" w:hAnsiTheme="minorHAnsi" w:cs="Arial"/>
          <w:szCs w:val="20"/>
        </w:rPr>
        <w:t>Alight</w:t>
      </w:r>
      <w:r w:rsidRPr="0067552A">
        <w:rPr>
          <w:rFonts w:asciiTheme="minorHAnsi" w:hAnsiTheme="minorHAnsi" w:cs="Arial"/>
          <w:szCs w:val="20"/>
        </w:rPr>
        <w:t xml:space="preserve"> Internal Audit. </w:t>
      </w:r>
    </w:p>
    <w:p w:rsidR="0067552A" w:rsidRPr="0067552A" w:rsidRDefault="0067552A" w:rsidP="00EA776A">
      <w:pPr>
        <w:pStyle w:val="ListParagraph"/>
        <w:numPr>
          <w:ilvl w:val="2"/>
          <w:numId w:val="9"/>
        </w:numPr>
        <w:spacing w:before="120" w:after="120"/>
        <w:ind w:left="1800" w:hanging="720"/>
        <w:contextualSpacing w:val="0"/>
        <w:jc w:val="both"/>
        <w:rPr>
          <w:szCs w:val="20"/>
        </w:rPr>
      </w:pPr>
      <w:r w:rsidRPr="0067552A">
        <w:rPr>
          <w:rFonts w:asciiTheme="minorHAnsi" w:hAnsiTheme="minorHAnsi" w:cs="Arial"/>
          <w:szCs w:val="20"/>
        </w:rPr>
        <w:t>Alight</w:t>
      </w:r>
      <w:r w:rsidR="00EA776A" w:rsidRPr="0067552A">
        <w:rPr>
          <w:rFonts w:asciiTheme="minorHAnsi" w:hAnsiTheme="minorHAnsi" w:cs="Arial"/>
          <w:szCs w:val="20"/>
        </w:rPr>
        <w:t xml:space="preserve"> is responsible for quarterly assertions attesting that physical security controls are in place and operating effectively. Any changes in the controls are communicated at the time of the assertion.</w:t>
      </w:r>
    </w:p>
    <w:p w:rsidR="00EA776A" w:rsidRPr="0067552A" w:rsidRDefault="00EA776A" w:rsidP="0067552A">
      <w:pPr>
        <w:spacing w:after="240"/>
        <w:jc w:val="both"/>
        <w:rPr>
          <w:rFonts w:asciiTheme="majorHAnsi" w:hAnsiTheme="majorHAnsi"/>
          <w:sz w:val="32"/>
          <w:szCs w:val="32"/>
        </w:rPr>
      </w:pPr>
      <w:r w:rsidRPr="0067552A">
        <w:rPr>
          <w:rFonts w:asciiTheme="majorHAnsi" w:hAnsiTheme="majorHAnsi"/>
          <w:sz w:val="32"/>
          <w:szCs w:val="32"/>
        </w:rPr>
        <w:t>Communications</w:t>
      </w:r>
      <w:bookmarkEnd w:id="18"/>
    </w:p>
    <w:p w:rsidR="0067552A" w:rsidRDefault="00EA776A" w:rsidP="0067552A">
      <w:pPr>
        <w:pStyle w:val="BodyText"/>
        <w:ind w:left="0"/>
        <w:rPr>
          <w:rFonts w:asciiTheme="minorHAnsi" w:hAnsiTheme="minorHAnsi"/>
          <w:sz w:val="20"/>
          <w:szCs w:val="20"/>
        </w:rPr>
      </w:pPr>
      <w:r w:rsidRPr="00EA776A">
        <w:rPr>
          <w:rFonts w:asciiTheme="minorHAnsi" w:hAnsiTheme="minorHAnsi"/>
          <w:sz w:val="20"/>
          <w:szCs w:val="20"/>
        </w:rPr>
        <w:t xml:space="preserve">Questions regarding this Standard should be directed to GSS GPS at </w:t>
      </w:r>
      <w:hyperlink r:id="rId9" w:history="1">
        <w:r w:rsidR="0067552A" w:rsidRPr="00372ABB">
          <w:rPr>
            <w:rStyle w:val="Hyperlink"/>
            <w:rFonts w:asciiTheme="minorHAnsi" w:eastAsia="Times New Roman" w:hAnsiTheme="minorHAnsi" w:cs="Arial"/>
            <w:sz w:val="20"/>
            <w:szCs w:val="20"/>
          </w:rPr>
          <w:t>global.security.services@aon.com</w:t>
        </w:r>
      </w:hyperlink>
      <w:r w:rsidRPr="00EA776A">
        <w:rPr>
          <w:rFonts w:asciiTheme="minorHAnsi" w:hAnsiTheme="minorHAnsi"/>
          <w:sz w:val="20"/>
          <w:szCs w:val="20"/>
        </w:rPr>
        <w:t xml:space="preserve">. </w:t>
      </w:r>
      <w:bookmarkEnd w:id="19"/>
    </w:p>
    <w:p w:rsidR="00EA776A" w:rsidRPr="0067552A" w:rsidRDefault="00EA776A" w:rsidP="0067552A">
      <w:pPr>
        <w:pStyle w:val="BodyText"/>
        <w:ind w:left="0"/>
        <w:rPr>
          <w:rFonts w:asciiTheme="majorHAnsi" w:hAnsiTheme="majorHAnsi"/>
          <w:sz w:val="32"/>
          <w:szCs w:val="32"/>
        </w:rPr>
      </w:pPr>
      <w:r w:rsidRPr="0067552A">
        <w:rPr>
          <w:rFonts w:asciiTheme="majorHAnsi" w:hAnsiTheme="majorHAnsi"/>
          <w:sz w:val="32"/>
          <w:szCs w:val="32"/>
        </w:rPr>
        <w:t xml:space="preserve">Legal Conflicts </w:t>
      </w:r>
    </w:p>
    <w:p w:rsidR="00EA776A" w:rsidRPr="00EA776A" w:rsidRDefault="0067552A" w:rsidP="00EA776A">
      <w:pPr>
        <w:pStyle w:val="BodyText"/>
        <w:ind w:left="0"/>
        <w:jc w:val="both"/>
        <w:rPr>
          <w:rFonts w:asciiTheme="minorHAnsi" w:hAnsiTheme="minorHAnsi"/>
          <w:sz w:val="20"/>
          <w:szCs w:val="20"/>
        </w:rPr>
      </w:pPr>
      <w:r>
        <w:rPr>
          <w:rFonts w:asciiTheme="minorHAnsi" w:hAnsiTheme="minorHAnsi"/>
          <w:sz w:val="20"/>
          <w:szCs w:val="20"/>
        </w:rPr>
        <w:t>Alight</w:t>
      </w:r>
      <w:r w:rsidR="00EA776A" w:rsidRPr="00EA776A">
        <w:rPr>
          <w:rFonts w:asciiTheme="minorHAnsi" w:hAnsiTheme="minorHAnsi"/>
          <w:sz w:val="20"/>
          <w:szCs w:val="20"/>
        </w:rPr>
        <w:t>’s Security 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67552A" w:rsidRDefault="0067552A" w:rsidP="0067552A">
      <w:pPr>
        <w:pStyle w:val="BodyText"/>
        <w:ind w:left="0"/>
        <w:jc w:val="both"/>
        <w:rPr>
          <w:rFonts w:asciiTheme="minorHAnsi" w:hAnsiTheme="minorHAnsi"/>
          <w:sz w:val="20"/>
          <w:szCs w:val="20"/>
        </w:rPr>
      </w:pPr>
      <w:r>
        <w:rPr>
          <w:rFonts w:asciiTheme="minorHAnsi" w:hAnsiTheme="minorHAnsi"/>
          <w:sz w:val="20"/>
          <w:szCs w:val="20"/>
        </w:rPr>
        <w:t>Alight</w:t>
      </w:r>
      <w:r w:rsidR="00EA776A" w:rsidRPr="00EA776A">
        <w:rPr>
          <w:rFonts w:asciiTheme="minorHAnsi" w:hAnsiTheme="minorHAnsi"/>
          <w:sz w:val="20"/>
          <w:szCs w:val="20"/>
        </w:rPr>
        <w:t xml:space="preserve">’s Security Policies and Standards may be supplemented by other policies or standards of </w:t>
      </w:r>
      <w:r>
        <w:rPr>
          <w:rFonts w:asciiTheme="minorHAnsi" w:hAnsiTheme="minorHAnsi"/>
          <w:sz w:val="20"/>
          <w:szCs w:val="20"/>
        </w:rPr>
        <w:t>Alight</w:t>
      </w:r>
      <w:r w:rsidR="00EA776A" w:rsidRPr="00EA776A">
        <w:rPr>
          <w:rFonts w:asciiTheme="minorHAnsi" w:hAnsiTheme="minorHAnsi"/>
          <w:sz w:val="20"/>
          <w:szCs w:val="20"/>
        </w:rPr>
        <w:t xml:space="preserve">.  In the case of a conflict or ambiguity, the more specific provisions of any such policy or standard of </w:t>
      </w:r>
      <w:r>
        <w:rPr>
          <w:rFonts w:asciiTheme="minorHAnsi" w:hAnsiTheme="minorHAnsi"/>
          <w:sz w:val="20"/>
          <w:szCs w:val="20"/>
        </w:rPr>
        <w:t>Alight</w:t>
      </w:r>
      <w:r w:rsidR="00EA776A" w:rsidRPr="00EA776A">
        <w:rPr>
          <w:rFonts w:asciiTheme="minorHAnsi" w:hAnsiTheme="minorHAnsi"/>
          <w:sz w:val="20"/>
          <w:szCs w:val="20"/>
        </w:rPr>
        <w:t xml:space="preserve"> shall take precedence over the more general provisions contained in </w:t>
      </w:r>
      <w:r>
        <w:rPr>
          <w:rFonts w:asciiTheme="minorHAnsi" w:hAnsiTheme="minorHAnsi"/>
          <w:sz w:val="20"/>
          <w:szCs w:val="20"/>
        </w:rPr>
        <w:t>Alight</w:t>
      </w:r>
      <w:r w:rsidR="00EA776A" w:rsidRPr="00EA776A">
        <w:rPr>
          <w:rFonts w:asciiTheme="minorHAnsi" w:hAnsiTheme="minorHAnsi"/>
          <w:sz w:val="20"/>
          <w:szCs w:val="20"/>
        </w:rPr>
        <w:t>’s Security Policies and Standards.</w:t>
      </w:r>
      <w:bookmarkStart w:id="22" w:name="_Toc300658447"/>
      <w:bookmarkStart w:id="23" w:name="_Toc304990099"/>
    </w:p>
    <w:p w:rsidR="00EA776A" w:rsidRPr="0067552A" w:rsidRDefault="00EA776A" w:rsidP="0067552A">
      <w:pPr>
        <w:pStyle w:val="BodyText"/>
        <w:ind w:left="0"/>
        <w:jc w:val="both"/>
        <w:rPr>
          <w:rFonts w:asciiTheme="majorHAnsi" w:hAnsiTheme="majorHAnsi"/>
          <w:sz w:val="32"/>
          <w:szCs w:val="32"/>
        </w:rPr>
      </w:pPr>
      <w:r w:rsidRPr="0067552A">
        <w:rPr>
          <w:rFonts w:asciiTheme="majorHAnsi" w:hAnsiTheme="majorHAnsi"/>
          <w:sz w:val="32"/>
          <w:szCs w:val="32"/>
        </w:rPr>
        <w:t>Exceptions</w:t>
      </w:r>
      <w:bookmarkEnd w:id="22"/>
      <w:bookmarkEnd w:id="23"/>
    </w:p>
    <w:p w:rsidR="0067552A" w:rsidRDefault="00EA776A" w:rsidP="0067552A">
      <w:pPr>
        <w:pStyle w:val="BodyText"/>
        <w:ind w:left="0"/>
        <w:jc w:val="both"/>
        <w:rPr>
          <w:rFonts w:asciiTheme="minorHAnsi" w:hAnsiTheme="minorHAnsi"/>
          <w:sz w:val="20"/>
          <w:szCs w:val="20"/>
        </w:rPr>
      </w:pPr>
      <w:r w:rsidRPr="00EA776A">
        <w:rPr>
          <w:rFonts w:asciiTheme="minorHAnsi" w:hAnsiTheme="minorHAnsi"/>
          <w:sz w:val="20"/>
          <w:szCs w:val="20"/>
        </w:rPr>
        <w:t xml:space="preserve">Application of the global physical security policies and standards may vary by region and office, and exceptions and variations may occur, if and when approved by GSS GPS.  Please contact GSS GPS at </w:t>
      </w:r>
      <w:hyperlink r:id="rId10" w:history="1">
        <w:r w:rsidR="00C43270" w:rsidRPr="00372ABB">
          <w:rPr>
            <w:rStyle w:val="Hyperlink"/>
            <w:rFonts w:asciiTheme="minorHAnsi" w:eastAsia="Times New Roman" w:hAnsiTheme="minorHAnsi" w:cs="Arial"/>
            <w:sz w:val="20"/>
            <w:szCs w:val="20"/>
          </w:rPr>
          <w:t>global.security.services@aon.com</w:t>
        </w:r>
      </w:hyperlink>
      <w:r w:rsidRPr="00EA776A">
        <w:rPr>
          <w:rFonts w:asciiTheme="minorHAnsi" w:hAnsiTheme="minorHAnsi"/>
          <w:sz w:val="20"/>
          <w:szCs w:val="20"/>
        </w:rPr>
        <w:t xml:space="preserve"> for further guidance on any exceptions or variations that may apply.</w:t>
      </w:r>
      <w:bookmarkStart w:id="24" w:name="_Toc289842766"/>
      <w:bookmarkStart w:id="25" w:name="_Toc292146380"/>
      <w:bookmarkStart w:id="26" w:name="_Toc158805972"/>
      <w:bookmarkStart w:id="27" w:name="_Toc289842767"/>
      <w:bookmarkEnd w:id="20"/>
      <w:bookmarkEnd w:id="21"/>
    </w:p>
    <w:p w:rsidR="00EA776A" w:rsidRPr="0067552A" w:rsidRDefault="00EA776A" w:rsidP="0067552A">
      <w:pPr>
        <w:pStyle w:val="BodyText"/>
        <w:ind w:left="0"/>
        <w:jc w:val="both"/>
        <w:rPr>
          <w:rFonts w:asciiTheme="majorHAnsi" w:hAnsiTheme="majorHAnsi"/>
          <w:sz w:val="32"/>
          <w:szCs w:val="32"/>
        </w:rPr>
      </w:pPr>
      <w:r w:rsidRPr="0067552A">
        <w:rPr>
          <w:rFonts w:asciiTheme="majorHAnsi" w:hAnsiTheme="majorHAnsi"/>
          <w:sz w:val="32"/>
          <w:szCs w:val="32"/>
        </w:rPr>
        <w:t>Applicable Standards</w:t>
      </w:r>
    </w:p>
    <w:p w:rsidR="00EA776A" w:rsidRPr="00EA776A" w:rsidRDefault="00EA776A" w:rsidP="0067552A">
      <w:pPr>
        <w:pStyle w:val="AonBullet1"/>
        <w:numPr>
          <w:ilvl w:val="0"/>
          <w:numId w:val="19"/>
        </w:numPr>
        <w:rPr>
          <w:rFonts w:asciiTheme="minorHAnsi" w:hAnsiTheme="minorHAnsi" w:cs="Arial"/>
        </w:rPr>
      </w:pPr>
      <w:r w:rsidRPr="00EA776A">
        <w:rPr>
          <w:rFonts w:asciiTheme="minorHAnsi" w:hAnsiTheme="minorHAnsi" w:cs="Arial"/>
        </w:rPr>
        <w:t>None</w:t>
      </w:r>
    </w:p>
    <w:p w:rsidR="00EA776A" w:rsidRPr="00EA776A" w:rsidRDefault="00EA776A" w:rsidP="00EA776A">
      <w:pPr>
        <w:pStyle w:val="Heading1"/>
        <w:spacing w:before="0" w:after="240"/>
        <w:rPr>
          <w:sz w:val="32"/>
          <w:szCs w:val="32"/>
        </w:rPr>
      </w:pPr>
      <w:r w:rsidRPr="00EA776A">
        <w:rPr>
          <w:sz w:val="32"/>
          <w:szCs w:val="32"/>
        </w:rPr>
        <w:lastRenderedPageBreak/>
        <w:t>References</w:t>
      </w:r>
      <w:bookmarkEnd w:id="24"/>
      <w:bookmarkEnd w:id="25"/>
      <w:r w:rsidRPr="00EA776A">
        <w:rPr>
          <w:sz w:val="32"/>
          <w:szCs w:val="32"/>
        </w:rPr>
        <w:t xml:space="preserve"> &amp; Mandates</w:t>
      </w:r>
    </w:p>
    <w:p w:rsidR="00EA776A" w:rsidRPr="00EA776A" w:rsidRDefault="00EA776A" w:rsidP="00EA776A">
      <w:pPr>
        <w:pStyle w:val="AonBullet1"/>
        <w:numPr>
          <w:ilvl w:val="0"/>
          <w:numId w:val="18"/>
        </w:numPr>
        <w:rPr>
          <w:rFonts w:asciiTheme="minorHAnsi" w:hAnsiTheme="minorHAnsi" w:cs="Arial"/>
        </w:rPr>
      </w:pPr>
      <w:r w:rsidRPr="00EA776A">
        <w:rPr>
          <w:rFonts w:asciiTheme="minorHAnsi" w:hAnsiTheme="minorHAnsi" w:cs="Arial"/>
        </w:rPr>
        <w:t>SSAE 16—Statement on Standards for Attestation Engagement No. 16</w:t>
      </w:r>
    </w:p>
    <w:p w:rsidR="00EA776A" w:rsidRPr="00EA776A" w:rsidRDefault="00EA776A" w:rsidP="00EA776A">
      <w:pPr>
        <w:pStyle w:val="AonBullet1"/>
        <w:numPr>
          <w:ilvl w:val="0"/>
          <w:numId w:val="18"/>
        </w:numPr>
        <w:spacing w:after="240"/>
        <w:rPr>
          <w:rFonts w:asciiTheme="minorHAnsi" w:hAnsiTheme="minorHAnsi" w:cs="Arial"/>
        </w:rPr>
      </w:pPr>
      <w:r w:rsidRPr="00EA776A">
        <w:rPr>
          <w:rFonts w:asciiTheme="minorHAnsi" w:hAnsiTheme="minorHAnsi" w:cs="Arial"/>
        </w:rPr>
        <w:t>ISAE 3402—International Standard on Assurance Engagements No. 3402</w:t>
      </w:r>
    </w:p>
    <w:p w:rsidR="004C7C43" w:rsidRPr="002311A6" w:rsidRDefault="004C7C43" w:rsidP="004C7C43">
      <w:pPr>
        <w:pStyle w:val="Heading1"/>
        <w:spacing w:after="240"/>
      </w:pPr>
      <w:bookmarkStart w:id="28" w:name="_Toc528945611"/>
      <w:bookmarkStart w:id="29" w:name="_Toc529855774"/>
      <w:bookmarkStart w:id="30" w:name="_Toc529856551"/>
      <w:bookmarkStart w:id="31" w:name="_Toc531756491"/>
      <w:bookmarkStart w:id="32" w:name="_Toc1631615"/>
      <w:bookmarkStart w:id="33" w:name="_Toc133747320"/>
      <w:bookmarkStart w:id="34" w:name="_Toc158457851"/>
      <w:bookmarkStart w:id="35" w:name="_Toc158805969"/>
      <w:bookmarkStart w:id="36" w:name="_Toc289842769"/>
      <w:bookmarkStart w:id="37" w:name="_Toc306014657"/>
      <w:bookmarkStart w:id="38" w:name="_Toc488220670"/>
      <w:bookmarkEnd w:id="0"/>
      <w:bookmarkEnd w:id="1"/>
      <w:bookmarkEnd w:id="2"/>
      <w:bookmarkEnd w:id="3"/>
      <w:bookmarkEnd w:id="4"/>
      <w:bookmarkEnd w:id="5"/>
      <w:bookmarkEnd w:id="6"/>
      <w:bookmarkEnd w:id="7"/>
      <w:bookmarkEnd w:id="13"/>
      <w:bookmarkEnd w:id="15"/>
      <w:bookmarkEnd w:id="26"/>
      <w:bookmarkEnd w:id="27"/>
      <w:r w:rsidRPr="002C43A9">
        <w:rPr>
          <w:sz w:val="32"/>
          <w:szCs w:val="32"/>
        </w:rPr>
        <w:lastRenderedPageBreak/>
        <w:t>Document Control Information</w:t>
      </w:r>
      <w:bookmarkStart w:id="39" w:name="_Toc488220669"/>
      <w:r>
        <w:rPr>
          <w:sz w:val="32"/>
          <w:szCs w:val="32"/>
        </w:rPr>
        <w:t xml:space="preserve"> </w:t>
      </w:r>
      <w:bookmarkEnd w:id="39"/>
    </w:p>
    <w:p w:rsidR="004C7C43" w:rsidRPr="00274338" w:rsidRDefault="004C7C43" w:rsidP="004C7C43">
      <w:pPr>
        <w:pStyle w:val="TableTitle"/>
      </w:pPr>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4C7C43" w:rsidRPr="00274338" w:rsidTr="009418C5">
        <w:trPr>
          <w:cantSplit/>
        </w:trPr>
        <w:tc>
          <w:tcPr>
            <w:tcW w:w="3355" w:type="dxa"/>
            <w:tcBorders>
              <w:top w:val="nil"/>
              <w:bottom w:val="single" w:sz="12" w:space="0" w:color="808080" w:themeColor="background1" w:themeShade="80"/>
            </w:tcBorders>
            <w:shd w:val="clear" w:color="auto" w:fill="auto"/>
            <w:vAlign w:val="bottom"/>
          </w:tcPr>
          <w:p w:rsidR="004C7C43" w:rsidRPr="00274338" w:rsidRDefault="004C7C43" w:rsidP="009418C5">
            <w:pPr>
              <w:pStyle w:val="TableColumnHead"/>
            </w:pPr>
          </w:p>
        </w:tc>
        <w:tc>
          <w:tcPr>
            <w:tcW w:w="6210" w:type="dxa"/>
            <w:tcBorders>
              <w:top w:val="nil"/>
              <w:bottom w:val="single" w:sz="12" w:space="0" w:color="808080" w:themeColor="background1" w:themeShade="80"/>
            </w:tcBorders>
            <w:shd w:val="clear" w:color="auto" w:fill="auto"/>
            <w:vAlign w:val="bottom"/>
          </w:tcPr>
          <w:p w:rsidR="004C7C43" w:rsidRPr="00274338" w:rsidRDefault="004C7C43" w:rsidP="009418C5">
            <w:pPr>
              <w:pStyle w:val="TableColumnHead"/>
            </w:pPr>
          </w:p>
        </w:tc>
      </w:tr>
      <w:tr w:rsidR="004C7C43" w:rsidRPr="00274338" w:rsidTr="009418C5">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4C7C43" w:rsidRPr="00274338" w:rsidRDefault="004C7C43" w:rsidP="009418C5">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4C7C43" w:rsidRPr="00274338" w:rsidRDefault="004C7C43" w:rsidP="009418C5">
            <w:pPr>
              <w:pStyle w:val="Bullet4Table"/>
              <w:numPr>
                <w:ilvl w:val="0"/>
                <w:numId w:val="0"/>
              </w:numPr>
            </w:pPr>
            <w:r>
              <w:rPr>
                <w:rFonts w:asciiTheme="minorHAnsi" w:hAnsiTheme="minorHAnsi" w:cs="Arial"/>
              </w:rPr>
              <w:t>Alight</w:t>
            </w:r>
            <w:r w:rsidRPr="0058699E">
              <w:rPr>
                <w:rFonts w:asciiTheme="minorHAnsi" w:hAnsiTheme="minorHAnsi" w:cs="Arial"/>
              </w:rPr>
              <w:t xml:space="preserve"> Global Security Services | </w:t>
            </w:r>
            <w:hyperlink r:id="rId11" w:history="1">
              <w:r w:rsidRPr="000D24E0">
                <w:rPr>
                  <w:rStyle w:val="Hyperlink"/>
                  <w:rFonts w:asciiTheme="minorHAnsi" w:hAnsiTheme="minorHAnsi" w:cs="Arial"/>
                </w:rPr>
                <w:t>global.security.services@aon.com</w:t>
              </w:r>
            </w:hyperlink>
          </w:p>
        </w:tc>
      </w:tr>
      <w:tr w:rsidR="004C7C43" w:rsidRPr="00274338"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C7C43" w:rsidRPr="00274338" w:rsidRDefault="004C7C43" w:rsidP="009418C5">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C7C43" w:rsidRPr="00274338" w:rsidRDefault="004C7C43" w:rsidP="009418C5">
            <w:pPr>
              <w:pStyle w:val="TableCopy"/>
            </w:pPr>
            <w:r>
              <w:t>1.6</w:t>
            </w:r>
          </w:p>
        </w:tc>
      </w:tr>
      <w:tr w:rsidR="004C7C43" w:rsidRPr="00274338"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C7C43" w:rsidRPr="00274338" w:rsidRDefault="004C7C43" w:rsidP="009418C5">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C7C43" w:rsidRPr="00274338" w:rsidRDefault="004C7C43" w:rsidP="009418C5">
            <w:pPr>
              <w:pStyle w:val="TableCopy"/>
            </w:pPr>
            <w:r>
              <w:t>Alight</w:t>
            </w:r>
            <w:r w:rsidRPr="009B6065">
              <w:t xml:space="preserve"> Global Security Services | </w:t>
            </w:r>
            <w:r w:rsidRPr="0058699E">
              <w:rPr>
                <w:rFonts w:asciiTheme="minorHAnsi" w:eastAsia="Times New Roman" w:hAnsiTheme="minorHAnsi"/>
              </w:rPr>
              <w:t>Global Protection Services</w:t>
            </w:r>
          </w:p>
        </w:tc>
      </w:tr>
      <w:tr w:rsidR="004C7C43" w:rsidRPr="00274338"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C7C43" w:rsidRPr="00274338" w:rsidRDefault="004C7C43" w:rsidP="009418C5">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C7C43" w:rsidRPr="00274338" w:rsidRDefault="004C7C43" w:rsidP="009418C5">
            <w:pPr>
              <w:pStyle w:val="TableCopy"/>
            </w:pPr>
            <w:r>
              <w:t>Alight</w:t>
            </w:r>
            <w:r w:rsidRPr="009B6065">
              <w:t xml:space="preserve"> Global Security Services | </w:t>
            </w:r>
            <w:r w:rsidRPr="0058699E">
              <w:rPr>
                <w:rFonts w:asciiTheme="minorHAnsi" w:eastAsia="Times New Roman" w:hAnsiTheme="minorHAnsi"/>
              </w:rPr>
              <w:t>Global Protection Services</w:t>
            </w:r>
          </w:p>
        </w:tc>
      </w:tr>
      <w:tr w:rsidR="004C7C43" w:rsidRPr="00274338"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C7C43" w:rsidRDefault="004C7C43" w:rsidP="009418C5">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C7C43" w:rsidRDefault="004C7C43" w:rsidP="009418C5">
            <w:pPr>
              <w:pStyle w:val="TableCopy"/>
            </w:pPr>
            <w:r>
              <w:t>Jim Hartley</w:t>
            </w:r>
            <w:r w:rsidRPr="009B6065">
              <w:t xml:space="preserve">, Chief </w:t>
            </w:r>
            <w:r>
              <w:t xml:space="preserve">Information </w:t>
            </w:r>
            <w:r w:rsidRPr="009B6065">
              <w:t>Security Officer</w:t>
            </w:r>
          </w:p>
        </w:tc>
      </w:tr>
      <w:tr w:rsidR="004C7C43" w:rsidRPr="00274338"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C7C43" w:rsidRDefault="004C7C43" w:rsidP="009418C5">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C7C43" w:rsidRDefault="004C7C43" w:rsidP="009418C5">
            <w:pPr>
              <w:pStyle w:val="TableCopy"/>
            </w:pPr>
            <w:r>
              <w:t>May 1, 2017</w:t>
            </w:r>
          </w:p>
        </w:tc>
      </w:tr>
      <w:tr w:rsidR="004C7C43" w:rsidRPr="00274338"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C7C43" w:rsidRDefault="004C7C43" w:rsidP="009418C5">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C7C43" w:rsidRDefault="004C7C43" w:rsidP="009418C5">
            <w:pPr>
              <w:pStyle w:val="TableCopy"/>
            </w:pPr>
            <w:r>
              <w:t>May 1, 2017</w:t>
            </w:r>
          </w:p>
        </w:tc>
      </w:tr>
      <w:tr w:rsidR="004C7C43" w:rsidRPr="00274338"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C7C43" w:rsidRDefault="004C7C43" w:rsidP="009418C5">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C7C43" w:rsidRDefault="004C7C43" w:rsidP="004C7C43">
            <w:pPr>
              <w:pStyle w:val="TableCopy"/>
            </w:pPr>
            <w:r>
              <w:t xml:space="preserve">May </w:t>
            </w:r>
            <w:r>
              <w:t>1</w:t>
            </w:r>
            <w:r>
              <w:t>, 2011</w:t>
            </w:r>
          </w:p>
        </w:tc>
      </w:tr>
      <w:tr w:rsidR="004C7C43" w:rsidRPr="00274338" w:rsidTr="009418C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C7C43" w:rsidRDefault="004C7C43" w:rsidP="009418C5">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C7C43" w:rsidRDefault="004C7C43" w:rsidP="009418C5">
            <w:pPr>
              <w:pStyle w:val="TableCopy"/>
            </w:pPr>
            <w:r w:rsidRPr="009B6065">
              <w:t>General Internal – Low Business Impact (Green)</w:t>
            </w:r>
          </w:p>
        </w:tc>
      </w:tr>
    </w:tbl>
    <w:p w:rsidR="004C7C43" w:rsidRDefault="004C7C43" w:rsidP="004C7C43"/>
    <w:p w:rsidR="004C7C43" w:rsidRDefault="004C7C43" w:rsidP="004C7C43">
      <w:pPr>
        <w:pStyle w:val="NormalDS"/>
      </w:pPr>
    </w:p>
    <w:p w:rsidR="004C7C43" w:rsidRPr="002311A6" w:rsidRDefault="004C7C43" w:rsidP="004C7C43">
      <w:pPr>
        <w:pStyle w:val="Heading1"/>
        <w:spacing w:after="240"/>
      </w:pPr>
      <w:r w:rsidRPr="002311A6">
        <w:lastRenderedPageBreak/>
        <w:t>Revision History</w:t>
      </w:r>
      <w:bookmarkEnd w:id="38"/>
    </w:p>
    <w:p w:rsidR="004C7C43" w:rsidRPr="00274338" w:rsidRDefault="004C7C43" w:rsidP="004C7C43">
      <w:pPr>
        <w:pStyle w:val="TableTitle"/>
      </w:pPr>
      <w: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4C7C43" w:rsidRPr="00274338" w:rsidTr="009418C5">
        <w:trPr>
          <w:cantSplit/>
        </w:trPr>
        <w:tc>
          <w:tcPr>
            <w:tcW w:w="1646" w:type="dxa"/>
            <w:tcBorders>
              <w:top w:val="nil"/>
              <w:bottom w:val="single" w:sz="12" w:space="0" w:color="808080" w:themeColor="background1" w:themeShade="80"/>
            </w:tcBorders>
            <w:shd w:val="clear" w:color="auto" w:fill="auto"/>
            <w:vAlign w:val="bottom"/>
          </w:tcPr>
          <w:p w:rsidR="004C7C43" w:rsidRPr="00274338" w:rsidRDefault="004C7C43" w:rsidP="009418C5">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4C7C43" w:rsidRPr="00274338" w:rsidRDefault="004C7C43" w:rsidP="009418C5">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4C7C43" w:rsidRPr="00274338" w:rsidRDefault="004C7C43" w:rsidP="009418C5">
            <w:pPr>
              <w:pStyle w:val="TableColumnHead"/>
            </w:pPr>
            <w:r>
              <w:t>Description</w:t>
            </w:r>
            <w:r w:rsidRPr="00274338">
              <w:t xml:space="preserve"> </w:t>
            </w:r>
          </w:p>
        </w:tc>
        <w:tc>
          <w:tcPr>
            <w:tcW w:w="2942" w:type="dxa"/>
            <w:tcBorders>
              <w:top w:val="nil"/>
              <w:bottom w:val="single" w:sz="12" w:space="0" w:color="808080" w:themeColor="background1" w:themeShade="80"/>
            </w:tcBorders>
          </w:tcPr>
          <w:p w:rsidR="004C7C43" w:rsidRDefault="004C7C43" w:rsidP="009418C5">
            <w:pPr>
              <w:pStyle w:val="TableColumnHead"/>
            </w:pPr>
            <w:r>
              <w:t>Change Summary</w:t>
            </w:r>
          </w:p>
        </w:tc>
      </w:tr>
      <w:tr w:rsidR="004C7C43" w:rsidRPr="00274338" w:rsidTr="009418C5">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4C7C43" w:rsidRPr="00BA6171" w:rsidRDefault="004C7C43" w:rsidP="009418C5">
            <w:pPr>
              <w:rPr>
                <w:sz w:val="18"/>
                <w:szCs w:val="18"/>
              </w:rPr>
            </w:pPr>
            <w:r w:rsidRPr="00BA6171">
              <w:rPr>
                <w:sz w:val="18"/>
                <w:szCs w:val="18"/>
              </w:rPr>
              <w:t>Restructured policy due to Aon Hewitt acquisition</w:t>
            </w:r>
          </w:p>
        </w:tc>
      </w:tr>
      <w:tr w:rsidR="004C7C43" w:rsidRPr="00274338"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2013 Annual Review</w:t>
            </w:r>
          </w:p>
        </w:tc>
        <w:tc>
          <w:tcPr>
            <w:tcW w:w="2942" w:type="dxa"/>
            <w:tcBorders>
              <w:top w:val="single" w:sz="4" w:space="0" w:color="808080" w:themeColor="background1" w:themeShade="80"/>
              <w:bottom w:val="single" w:sz="4" w:space="0" w:color="808080" w:themeColor="background1" w:themeShade="80"/>
            </w:tcBorders>
          </w:tcPr>
          <w:p w:rsidR="004C7C43" w:rsidRPr="00BA6171" w:rsidRDefault="004C7C43" w:rsidP="009418C5">
            <w:pPr>
              <w:rPr>
                <w:sz w:val="18"/>
                <w:szCs w:val="18"/>
              </w:rPr>
            </w:pPr>
            <w:r w:rsidRPr="00BA6171">
              <w:rPr>
                <w:rFonts w:asciiTheme="minorHAnsi" w:hAnsiTheme="minorHAnsi" w:cs="Arial"/>
                <w:color w:val="000000"/>
                <w:sz w:val="18"/>
                <w:szCs w:val="18"/>
              </w:rPr>
              <w:t>Reviewed and validated</w:t>
            </w:r>
          </w:p>
        </w:tc>
      </w:tr>
      <w:tr w:rsidR="004C7C43" w:rsidRPr="00274338"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2014 Annual Review</w:t>
            </w:r>
          </w:p>
        </w:tc>
        <w:tc>
          <w:tcPr>
            <w:tcW w:w="2942" w:type="dxa"/>
            <w:tcBorders>
              <w:top w:val="single" w:sz="4" w:space="0" w:color="808080" w:themeColor="background1" w:themeShade="80"/>
              <w:bottom w:val="single" w:sz="4" w:space="0" w:color="808080" w:themeColor="background1" w:themeShade="80"/>
            </w:tcBorders>
          </w:tcPr>
          <w:p w:rsidR="004C7C43" w:rsidRPr="00BA6171" w:rsidRDefault="004C7C43" w:rsidP="009418C5">
            <w:pPr>
              <w:rPr>
                <w:sz w:val="18"/>
                <w:szCs w:val="18"/>
              </w:rPr>
            </w:pPr>
            <w:r w:rsidRPr="00BA6171">
              <w:rPr>
                <w:rFonts w:asciiTheme="minorHAnsi" w:hAnsiTheme="minorHAnsi" w:cs="Arial"/>
                <w:color w:val="000000"/>
                <w:sz w:val="18"/>
                <w:szCs w:val="18"/>
              </w:rPr>
              <w:t>Reviewed and validated</w:t>
            </w:r>
          </w:p>
        </w:tc>
      </w:tr>
      <w:tr w:rsidR="004C7C43" w:rsidRPr="00274338"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2015 Annual Review</w:t>
            </w:r>
          </w:p>
        </w:tc>
        <w:tc>
          <w:tcPr>
            <w:tcW w:w="2942" w:type="dxa"/>
            <w:tcBorders>
              <w:top w:val="single" w:sz="4" w:space="0" w:color="808080" w:themeColor="background1" w:themeShade="80"/>
              <w:bottom w:val="single" w:sz="4" w:space="0" w:color="808080" w:themeColor="background1" w:themeShade="80"/>
            </w:tcBorders>
          </w:tcPr>
          <w:p w:rsidR="004C7C43" w:rsidRPr="00BA6171" w:rsidRDefault="004C7C43" w:rsidP="009418C5">
            <w:pPr>
              <w:rPr>
                <w:sz w:val="18"/>
                <w:szCs w:val="18"/>
              </w:rPr>
            </w:pPr>
            <w:r w:rsidRPr="00BA6171">
              <w:rPr>
                <w:rFonts w:asciiTheme="minorHAnsi" w:hAnsiTheme="minorHAnsi" w:cs="Arial"/>
                <w:color w:val="000000"/>
                <w:sz w:val="18"/>
                <w:szCs w:val="18"/>
              </w:rPr>
              <w:t>Reviewed and validated</w:t>
            </w:r>
          </w:p>
        </w:tc>
      </w:tr>
      <w:tr w:rsidR="004C7C43" w:rsidRPr="00274338"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4C7C43">
            <w:pPr>
              <w:rPr>
                <w:sz w:val="18"/>
                <w:szCs w:val="18"/>
              </w:rPr>
            </w:pPr>
            <w:r w:rsidRPr="00BA6171">
              <w:rPr>
                <w:sz w:val="18"/>
                <w:szCs w:val="18"/>
              </w:rPr>
              <w:t xml:space="preserve">2016 </w:t>
            </w:r>
            <w:r>
              <w:rPr>
                <w:sz w:val="18"/>
                <w:szCs w:val="18"/>
              </w:rPr>
              <w:t>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2016 Annual Review</w:t>
            </w:r>
          </w:p>
        </w:tc>
        <w:tc>
          <w:tcPr>
            <w:tcW w:w="2942" w:type="dxa"/>
            <w:tcBorders>
              <w:top w:val="single" w:sz="4" w:space="0" w:color="808080" w:themeColor="background1" w:themeShade="80"/>
              <w:bottom w:val="single" w:sz="4" w:space="0" w:color="808080" w:themeColor="background1" w:themeShade="80"/>
            </w:tcBorders>
          </w:tcPr>
          <w:p w:rsidR="004C7C43" w:rsidRPr="00BA6171" w:rsidRDefault="004C7C43" w:rsidP="009418C5">
            <w:pPr>
              <w:rPr>
                <w:sz w:val="18"/>
                <w:szCs w:val="18"/>
              </w:rPr>
            </w:pPr>
            <w:r w:rsidRPr="00BA6171">
              <w:rPr>
                <w:rFonts w:asciiTheme="minorHAnsi" w:hAnsiTheme="minorHAnsi" w:cs="Arial"/>
                <w:sz w:val="18"/>
                <w:szCs w:val="18"/>
              </w:rPr>
              <w:t>Clarified wording and replaced all instances of Security Risk Management (SRM) with Global Security Services (GSS) to reflect new organization name</w:t>
            </w:r>
          </w:p>
        </w:tc>
      </w:tr>
      <w:tr w:rsidR="004C7C43" w:rsidRPr="00274338"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2017 January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2017 Update</w:t>
            </w:r>
          </w:p>
        </w:tc>
        <w:tc>
          <w:tcPr>
            <w:tcW w:w="2942" w:type="dxa"/>
            <w:tcBorders>
              <w:top w:val="single" w:sz="4" w:space="0" w:color="808080" w:themeColor="background1" w:themeShade="80"/>
              <w:bottom w:val="single" w:sz="4" w:space="0" w:color="808080" w:themeColor="background1" w:themeShade="80"/>
            </w:tcBorders>
          </w:tcPr>
          <w:p w:rsidR="004C7C43" w:rsidRPr="00BA6171" w:rsidRDefault="004C7C43" w:rsidP="009418C5">
            <w:pPr>
              <w:rPr>
                <w:sz w:val="18"/>
                <w:szCs w:val="18"/>
              </w:rPr>
            </w:pPr>
            <w:r w:rsidRPr="00BA6171">
              <w:rPr>
                <w:rFonts w:asciiTheme="minorHAnsi" w:hAnsiTheme="minorHAnsi" w:cs="Arial"/>
                <w:sz w:val="18"/>
                <w:szCs w:val="18"/>
              </w:rPr>
              <w:t>Name change from Corporate Protection Services (CPS) to Global Protection Services (GPS)</w:t>
            </w:r>
          </w:p>
        </w:tc>
      </w:tr>
      <w:tr w:rsidR="004C7C43" w:rsidRPr="00274338" w:rsidTr="009418C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C7C43" w:rsidRPr="00BA6171" w:rsidRDefault="004C7C43" w:rsidP="009418C5">
            <w:pPr>
              <w:rPr>
                <w:sz w:val="18"/>
                <w:szCs w:val="18"/>
              </w:rPr>
            </w:pPr>
            <w:r w:rsidRPr="00BA6171">
              <w:rPr>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4C7C43" w:rsidRPr="00BA6171" w:rsidRDefault="004C7C43" w:rsidP="009418C5">
            <w:pPr>
              <w:pStyle w:val="NormalDS"/>
              <w:rPr>
                <w:sz w:val="18"/>
                <w:szCs w:val="18"/>
              </w:rPr>
            </w:pPr>
            <w:r w:rsidRPr="00BA6171">
              <w:rPr>
                <w:sz w:val="18"/>
                <w:szCs w:val="18"/>
              </w:rPr>
              <w:t>Rebranded policy due to Aon Hewitt divestiture</w:t>
            </w:r>
          </w:p>
        </w:tc>
      </w:tr>
      <w:tr w:rsidR="004C7C43" w:rsidRPr="00274338" w:rsidTr="009418C5">
        <w:trPr>
          <w:cantSplit/>
        </w:trPr>
        <w:tc>
          <w:tcPr>
            <w:tcW w:w="1646" w:type="dxa"/>
            <w:tcBorders>
              <w:top w:val="single" w:sz="4" w:space="0" w:color="808080" w:themeColor="background1" w:themeShade="80"/>
              <w:bottom w:val="nil"/>
            </w:tcBorders>
            <w:shd w:val="clear" w:color="auto" w:fill="auto"/>
          </w:tcPr>
          <w:p w:rsidR="004C7C43" w:rsidRDefault="004C7C43" w:rsidP="009418C5">
            <w:pPr>
              <w:pStyle w:val="TableCopy"/>
            </w:pPr>
          </w:p>
        </w:tc>
        <w:tc>
          <w:tcPr>
            <w:tcW w:w="1441" w:type="dxa"/>
            <w:tcBorders>
              <w:top w:val="single" w:sz="4" w:space="0" w:color="808080" w:themeColor="background1" w:themeShade="80"/>
              <w:bottom w:val="nil"/>
            </w:tcBorders>
            <w:shd w:val="clear" w:color="auto" w:fill="auto"/>
          </w:tcPr>
          <w:p w:rsidR="004C7C43" w:rsidRPr="009B6065" w:rsidRDefault="004C7C43" w:rsidP="009418C5">
            <w:pPr>
              <w:pStyle w:val="NormalDS"/>
            </w:pPr>
          </w:p>
        </w:tc>
        <w:tc>
          <w:tcPr>
            <w:tcW w:w="1979" w:type="dxa"/>
            <w:tcBorders>
              <w:top w:val="single" w:sz="4" w:space="0" w:color="808080" w:themeColor="background1" w:themeShade="80"/>
              <w:bottom w:val="nil"/>
            </w:tcBorders>
            <w:shd w:val="clear" w:color="auto" w:fill="auto"/>
          </w:tcPr>
          <w:p w:rsidR="004C7C43" w:rsidRPr="00274338" w:rsidRDefault="004C7C43" w:rsidP="009418C5">
            <w:pPr>
              <w:pStyle w:val="TableCopy"/>
            </w:pPr>
          </w:p>
        </w:tc>
        <w:tc>
          <w:tcPr>
            <w:tcW w:w="2942" w:type="dxa"/>
            <w:tcBorders>
              <w:top w:val="single" w:sz="4" w:space="0" w:color="808080" w:themeColor="background1" w:themeShade="80"/>
              <w:bottom w:val="nil"/>
            </w:tcBorders>
          </w:tcPr>
          <w:p w:rsidR="004C7C43" w:rsidRPr="00274338" w:rsidRDefault="004C7C43" w:rsidP="009418C5">
            <w:pPr>
              <w:pStyle w:val="TableCopy"/>
            </w:pPr>
          </w:p>
        </w:tc>
      </w:tr>
      <w:bookmarkEnd w:id="8"/>
      <w:bookmarkEnd w:id="9"/>
      <w:bookmarkEnd w:id="28"/>
      <w:bookmarkEnd w:id="29"/>
      <w:bookmarkEnd w:id="30"/>
      <w:bookmarkEnd w:id="31"/>
      <w:bookmarkEnd w:id="32"/>
      <w:bookmarkEnd w:id="33"/>
      <w:bookmarkEnd w:id="34"/>
      <w:bookmarkEnd w:id="35"/>
      <w:bookmarkEnd w:id="36"/>
      <w:bookmarkEnd w:id="37"/>
    </w:tbl>
    <w:p w:rsidR="005D6101" w:rsidRPr="00C3498E" w:rsidRDefault="005D6101" w:rsidP="005D6101">
      <w:pPr>
        <w:pStyle w:val="BodyText"/>
        <w:ind w:left="0"/>
        <w:rPr>
          <w:rFonts w:cs="Arial"/>
        </w:rPr>
      </w:pPr>
    </w:p>
    <w:sectPr w:rsidR="005D6101" w:rsidRPr="00C3498E" w:rsidSect="00075357">
      <w:footerReference w:type="default" r:id="rId12"/>
      <w:footerReference w:type="first" r:id="rId13"/>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495" w:rsidRDefault="00140495" w:rsidP="005B402B">
      <w:r>
        <w:separator/>
      </w:r>
    </w:p>
  </w:endnote>
  <w:endnote w:type="continuationSeparator" w:id="0">
    <w:p w:rsidR="00140495" w:rsidRDefault="00140495"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4C7C43">
      <w:t xml:space="preserve">300.08 </w:t>
    </w:r>
    <w:r w:rsidR="0067552A">
      <w:t xml:space="preserve">Physical Security Audits and Compliance </w:t>
    </w:r>
    <w:r w:rsidR="009C7FD4">
      <w:t>Standard</w:t>
    </w:r>
    <w:r>
      <w:tab/>
    </w:r>
    <w:r>
      <w:fldChar w:fldCharType="begin"/>
    </w:r>
    <w:r>
      <w:instrText xml:space="preserve"> PAGE   \* MERGEFORMAT </w:instrText>
    </w:r>
    <w:r>
      <w:fldChar w:fldCharType="separate"/>
    </w:r>
    <w:r w:rsidR="004C7C43">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597BDFC9" wp14:editId="0044FA24">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495" w:rsidRDefault="00140495" w:rsidP="005B402B">
      <w:r>
        <w:separator/>
      </w:r>
    </w:p>
  </w:footnote>
  <w:footnote w:type="continuationSeparator" w:id="0">
    <w:p w:rsidR="00140495" w:rsidRDefault="00140495"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187A"/>
    <w:multiLevelType w:val="multilevel"/>
    <w:tmpl w:val="679681D2"/>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90554C5"/>
    <w:multiLevelType w:val="multilevel"/>
    <w:tmpl w:val="A41E7A48"/>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3A3C50CD"/>
    <w:multiLevelType w:val="multilevel"/>
    <w:tmpl w:val="118C9114"/>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9">
    <w:nsid w:val="41337CBE"/>
    <w:multiLevelType w:val="multilevel"/>
    <w:tmpl w:val="A5681BFA"/>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0">
    <w:nsid w:val="49ED4CFD"/>
    <w:multiLevelType w:val="multilevel"/>
    <w:tmpl w:val="8DE2C01E"/>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4AC81173"/>
    <w:multiLevelType w:val="multilevel"/>
    <w:tmpl w:val="B3C4D8B2"/>
    <w:numStyleLink w:val="AonList"/>
  </w:abstractNum>
  <w:abstractNum w:abstractNumId="12">
    <w:nsid w:val="54423CA2"/>
    <w:multiLevelType w:val="multilevel"/>
    <w:tmpl w:val="89867F82"/>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3">
    <w:nsid w:val="573609BB"/>
    <w:multiLevelType w:val="multilevel"/>
    <w:tmpl w:val="0BA62A9C"/>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4">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6">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BB3676A"/>
    <w:multiLevelType w:val="hybridMultilevel"/>
    <w:tmpl w:val="3454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6"/>
  </w:num>
  <w:num w:numId="4">
    <w:abstractNumId w:val="15"/>
  </w:num>
  <w:num w:numId="5">
    <w:abstractNumId w:val="16"/>
  </w:num>
  <w:num w:numId="6">
    <w:abstractNumId w:val="5"/>
  </w:num>
  <w:num w:numId="7">
    <w:abstractNumId w:val="1"/>
  </w:num>
  <w:num w:numId="8">
    <w:abstractNumId w:val="11"/>
  </w:num>
  <w:num w:numId="9">
    <w:abstractNumId w:val="7"/>
  </w:num>
  <w:num w:numId="10">
    <w:abstractNumId w:val="2"/>
  </w:num>
  <w:num w:numId="11">
    <w:abstractNumId w:val="11"/>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3"/>
  </w:num>
  <w:num w:numId="15">
    <w:abstractNumId w:val="10"/>
  </w:num>
  <w:num w:numId="16">
    <w:abstractNumId w:val="12"/>
  </w:num>
  <w:num w:numId="17">
    <w:abstractNumId w:val="0"/>
  </w:num>
  <w:num w:numId="18">
    <w:abstractNumId w:val="13"/>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373AB"/>
    <w:rsid w:val="00046D27"/>
    <w:rsid w:val="00075357"/>
    <w:rsid w:val="00087709"/>
    <w:rsid w:val="000B2B20"/>
    <w:rsid w:val="000C13CD"/>
    <w:rsid w:val="000C237C"/>
    <w:rsid w:val="001052D9"/>
    <w:rsid w:val="00110A91"/>
    <w:rsid w:val="00130EFA"/>
    <w:rsid w:val="00132EAB"/>
    <w:rsid w:val="00133EB8"/>
    <w:rsid w:val="00140495"/>
    <w:rsid w:val="00161C38"/>
    <w:rsid w:val="00193FB9"/>
    <w:rsid w:val="001D01D4"/>
    <w:rsid w:val="00207AC9"/>
    <w:rsid w:val="00230498"/>
    <w:rsid w:val="00234A8F"/>
    <w:rsid w:val="00243AAD"/>
    <w:rsid w:val="0026509A"/>
    <w:rsid w:val="00274338"/>
    <w:rsid w:val="002757BF"/>
    <w:rsid w:val="002C43A9"/>
    <w:rsid w:val="002E33A1"/>
    <w:rsid w:val="003122D5"/>
    <w:rsid w:val="003641B4"/>
    <w:rsid w:val="00372F34"/>
    <w:rsid w:val="003B4445"/>
    <w:rsid w:val="003D11EF"/>
    <w:rsid w:val="004740A9"/>
    <w:rsid w:val="004A6699"/>
    <w:rsid w:val="004B3464"/>
    <w:rsid w:val="004C19C5"/>
    <w:rsid w:val="004C7C43"/>
    <w:rsid w:val="004F6723"/>
    <w:rsid w:val="00572B9B"/>
    <w:rsid w:val="0058699E"/>
    <w:rsid w:val="00596FE5"/>
    <w:rsid w:val="005B402B"/>
    <w:rsid w:val="005D6101"/>
    <w:rsid w:val="00631213"/>
    <w:rsid w:val="0064357A"/>
    <w:rsid w:val="0064411E"/>
    <w:rsid w:val="00657BDB"/>
    <w:rsid w:val="00666F6C"/>
    <w:rsid w:val="0067552A"/>
    <w:rsid w:val="006F2AD3"/>
    <w:rsid w:val="0074779E"/>
    <w:rsid w:val="007B6C0D"/>
    <w:rsid w:val="007F7C93"/>
    <w:rsid w:val="00877C5D"/>
    <w:rsid w:val="008F152A"/>
    <w:rsid w:val="009349C9"/>
    <w:rsid w:val="00942648"/>
    <w:rsid w:val="009837F6"/>
    <w:rsid w:val="009A1695"/>
    <w:rsid w:val="009A3A28"/>
    <w:rsid w:val="009C15C5"/>
    <w:rsid w:val="009C7FD4"/>
    <w:rsid w:val="009F7CF9"/>
    <w:rsid w:val="00A667E0"/>
    <w:rsid w:val="00A855D2"/>
    <w:rsid w:val="00B33A2C"/>
    <w:rsid w:val="00B606E6"/>
    <w:rsid w:val="00B71DB5"/>
    <w:rsid w:val="00C16A23"/>
    <w:rsid w:val="00C43270"/>
    <w:rsid w:val="00C57EE1"/>
    <w:rsid w:val="00D33649"/>
    <w:rsid w:val="00D563B0"/>
    <w:rsid w:val="00D5712B"/>
    <w:rsid w:val="00D80981"/>
    <w:rsid w:val="00D81842"/>
    <w:rsid w:val="00D94A05"/>
    <w:rsid w:val="00DF3ECD"/>
    <w:rsid w:val="00E147BB"/>
    <w:rsid w:val="00E269A3"/>
    <w:rsid w:val="00E542BC"/>
    <w:rsid w:val="00E82861"/>
    <w:rsid w:val="00EA776A"/>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49370">
      <w:bodyDiv w:val="1"/>
      <w:marLeft w:val="0"/>
      <w:marRight w:val="0"/>
      <w:marTop w:val="0"/>
      <w:marBottom w:val="0"/>
      <w:divBdr>
        <w:top w:val="none" w:sz="0" w:space="0" w:color="auto"/>
        <w:left w:val="none" w:sz="0" w:space="0" w:color="auto"/>
        <w:bottom w:val="none" w:sz="0" w:space="0" w:color="auto"/>
        <w:right w:val="none" w:sz="0" w:space="0" w:color="auto"/>
      </w:divBdr>
    </w:div>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lobal.security.services@aon.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global.security.services@aon.com" TargetMode="External"/><Relationship Id="rId4" Type="http://schemas.microsoft.com/office/2007/relationships/stylesWithEffects" Target="stylesWithEffects.xml"/><Relationship Id="rId9" Type="http://schemas.openxmlformats.org/officeDocument/2006/relationships/hyperlink" Target="mailto:global.security.services@aon.com"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7606B9-217D-4B01-8644-A12FCA64E9D0}">
  <ds:schemaRefs>
    <ds:schemaRef ds:uri="http://schemas.openxmlformats.org/officeDocument/2006/bibliography"/>
  </ds:schemaRefs>
</ds:datastoreItem>
</file>

<file path=customXml/itemProps2.xml><?xml version="1.0" encoding="utf-8"?>
<ds:datastoreItem xmlns:ds="http://schemas.openxmlformats.org/officeDocument/2006/customXml" ds:itemID="{9FE5C038-9AFE-4324-B4F3-13A4E29AA497}"/>
</file>

<file path=customXml/itemProps3.xml><?xml version="1.0" encoding="utf-8"?>
<ds:datastoreItem xmlns:ds="http://schemas.openxmlformats.org/officeDocument/2006/customXml" ds:itemID="{E9AB0AF2-B3FA-41BC-BF69-E820025EBCEC}"/>
</file>

<file path=customXml/itemProps4.xml><?xml version="1.0" encoding="utf-8"?>
<ds:datastoreItem xmlns:ds="http://schemas.openxmlformats.org/officeDocument/2006/customXml" ds:itemID="{8E05C90C-B2E7-418C-8B16-3503C2AC4AFA}"/>
</file>

<file path=docProps/app.xml><?xml version="1.0" encoding="utf-8"?>
<Properties xmlns="http://schemas.openxmlformats.org/officeDocument/2006/extended-properties" xmlns:vt="http://schemas.openxmlformats.org/officeDocument/2006/docPropsVTypes">
  <Template>Normal.dotm</Template>
  <TotalTime>3</TotalTime>
  <Pages>5</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3</cp:revision>
  <dcterms:created xsi:type="dcterms:W3CDTF">2017-07-15T02:41:00Z</dcterms:created>
  <dcterms:modified xsi:type="dcterms:W3CDTF">2017-07-19T18:28:00Z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