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101" w:rsidRPr="007C01A2" w:rsidRDefault="00A96347" w:rsidP="0058699E">
      <w:pPr>
        <w:pStyle w:val="Heading1"/>
        <w:spacing w:after="240"/>
        <w:rPr>
          <w:rFonts w:ascii="Century Gothic" w:hAnsi="Century Gothic"/>
          <w:szCs w:val="22"/>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rsidRPr="007C01A2">
        <w:rPr>
          <w:rFonts w:ascii="Century Gothic" w:hAnsi="Century Gothic"/>
          <w:szCs w:val="22"/>
        </w:rPr>
        <w:t>Global Protection Services Investigations</w:t>
      </w:r>
      <w:r w:rsidR="005D6101" w:rsidRPr="007C01A2">
        <w:rPr>
          <w:rFonts w:ascii="Century Gothic" w:hAnsi="Century Gothic"/>
          <w:szCs w:val="22"/>
        </w:rPr>
        <w:t xml:space="preserve"> Policy</w:t>
      </w:r>
    </w:p>
    <w:p w:rsidR="005D6101" w:rsidRPr="007C01A2" w:rsidRDefault="0058699E" w:rsidP="0058699E">
      <w:pPr>
        <w:spacing w:after="240"/>
        <w:rPr>
          <w:rFonts w:ascii="Century Gothic" w:hAnsi="Century Gothic"/>
          <w:b/>
          <w:sz w:val="32"/>
          <w:szCs w:val="32"/>
        </w:rPr>
      </w:pPr>
      <w:r w:rsidRPr="007C01A2">
        <w:rPr>
          <w:rFonts w:ascii="Century Gothic" w:hAnsi="Century Gothic"/>
          <w:b/>
          <w:sz w:val="32"/>
          <w:szCs w:val="32"/>
        </w:rPr>
        <w:t>Purpose</w:t>
      </w:r>
    </w:p>
    <w:p w:rsidR="00A96347" w:rsidRPr="007C01A2" w:rsidRDefault="00A96347" w:rsidP="00A96347">
      <w:pPr>
        <w:pStyle w:val="BodyText"/>
        <w:ind w:left="0"/>
        <w:jc w:val="both"/>
        <w:rPr>
          <w:rFonts w:ascii="Century Gothic" w:hAnsi="Century Gothic"/>
          <w:sz w:val="20"/>
          <w:szCs w:val="20"/>
        </w:rPr>
      </w:pPr>
      <w:r w:rsidRPr="007C01A2">
        <w:rPr>
          <w:rFonts w:ascii="Century Gothic" w:hAnsi="Century Gothic"/>
          <w:sz w:val="20"/>
          <w:szCs w:val="20"/>
        </w:rPr>
        <w:t xml:space="preserve">Alight must support the review and investigation of allegations, incidents and situations that may place Alight or its client’s assets and information at </w:t>
      </w:r>
      <w:proofErr w:type="gramStart"/>
      <w:r w:rsidRPr="007C01A2">
        <w:rPr>
          <w:rFonts w:ascii="Century Gothic" w:hAnsi="Century Gothic"/>
          <w:sz w:val="20"/>
          <w:szCs w:val="20"/>
        </w:rPr>
        <w:t>risk.</w:t>
      </w:r>
      <w:proofErr w:type="gramEnd"/>
      <w:r w:rsidRPr="007C01A2">
        <w:rPr>
          <w:rFonts w:ascii="Century Gothic" w:hAnsi="Century Gothic"/>
          <w:sz w:val="20"/>
          <w:szCs w:val="20"/>
        </w:rPr>
        <w:t xml:space="preserve"> Alight is committed to conducting lawful investigations and providing an incident reporting and case management system by which investigations can be recorded and tracked.  The purpose of this Policy is to define Alight’s Global Security Services (GSS) investigation role in the global protection services investigations process.</w:t>
      </w:r>
    </w:p>
    <w:p w:rsidR="00A96347" w:rsidRPr="007C01A2" w:rsidRDefault="00A96347" w:rsidP="00A96347">
      <w:pPr>
        <w:pStyle w:val="BodyText"/>
        <w:ind w:left="0"/>
        <w:jc w:val="both"/>
        <w:rPr>
          <w:rFonts w:ascii="Century Gothic" w:hAnsi="Century Gothic"/>
          <w:sz w:val="32"/>
          <w:szCs w:val="32"/>
        </w:rPr>
      </w:pPr>
      <w:r w:rsidRPr="007C01A2">
        <w:rPr>
          <w:rFonts w:ascii="Century Gothic" w:hAnsi="Century Gothic"/>
          <w:sz w:val="32"/>
          <w:szCs w:val="32"/>
        </w:rPr>
        <w:t>Scope</w:t>
      </w:r>
    </w:p>
    <w:p w:rsidR="00A96347" w:rsidRPr="007C01A2" w:rsidRDefault="00A96347" w:rsidP="00A96347">
      <w:pPr>
        <w:pStyle w:val="BodyText"/>
        <w:ind w:left="0"/>
        <w:jc w:val="both"/>
        <w:rPr>
          <w:rFonts w:ascii="Century Gothic" w:hAnsi="Century Gothic"/>
          <w:sz w:val="20"/>
          <w:szCs w:val="20"/>
        </w:rPr>
      </w:pPr>
      <w:r w:rsidRPr="007C01A2">
        <w:rPr>
          <w:rFonts w:ascii="Century Gothic" w:hAnsi="Century Gothic"/>
          <w:sz w:val="20"/>
          <w:szCs w:val="20"/>
        </w:rPr>
        <w:t xml:space="preserve">The scope of this Policy is global, which includes all business units, all regions, and all entities of the </w:t>
      </w:r>
      <w:r w:rsidR="0012496D" w:rsidRPr="007C01A2">
        <w:rPr>
          <w:rFonts w:ascii="Century Gothic" w:hAnsi="Century Gothic"/>
          <w:sz w:val="20"/>
          <w:szCs w:val="20"/>
        </w:rPr>
        <w:t>Hewitt Associates LLC</w:t>
      </w:r>
      <w:r w:rsidRPr="007C01A2">
        <w:rPr>
          <w:rFonts w:ascii="Century Gothic" w:hAnsi="Century Gothic"/>
          <w:sz w:val="20"/>
          <w:szCs w:val="20"/>
        </w:rPr>
        <w:t xml:space="preserve"> (“Alight”).  Alight refers to all wholly-owned subsidiaries of </w:t>
      </w:r>
      <w:r w:rsidR="0012496D" w:rsidRPr="007C01A2">
        <w:rPr>
          <w:rFonts w:ascii="Century Gothic" w:hAnsi="Century Gothic"/>
          <w:sz w:val="20"/>
          <w:szCs w:val="20"/>
        </w:rPr>
        <w:t>Hewitt Associates LLC</w:t>
      </w:r>
      <w:r w:rsidRPr="007C01A2">
        <w:rPr>
          <w:rFonts w:ascii="Century Gothic" w:hAnsi="Century Gothic"/>
          <w:sz w:val="20"/>
          <w:szCs w:val="20"/>
        </w:rPr>
        <w:t xml:space="preserve">, all subsidiaries in which </w:t>
      </w:r>
      <w:r w:rsidR="0012496D" w:rsidRPr="007C01A2">
        <w:rPr>
          <w:rFonts w:ascii="Century Gothic" w:hAnsi="Century Gothic"/>
          <w:sz w:val="20"/>
          <w:szCs w:val="20"/>
        </w:rPr>
        <w:t>Hewitt Associates LLC</w:t>
      </w:r>
      <w:r w:rsidRPr="007C01A2">
        <w:rPr>
          <w:rFonts w:ascii="Century Gothic" w:hAnsi="Century Gothic"/>
          <w:sz w:val="20"/>
          <w:szCs w:val="20"/>
        </w:rPr>
        <w:t xml:space="preserve"> has a controlling interest, and all agents or authorized representatives of </w:t>
      </w:r>
      <w:r w:rsidR="0012496D" w:rsidRPr="007C01A2">
        <w:rPr>
          <w:rFonts w:ascii="Century Gothic" w:hAnsi="Century Gothic"/>
          <w:sz w:val="20"/>
          <w:szCs w:val="20"/>
        </w:rPr>
        <w:t>Hewitt Associates LLC</w:t>
      </w:r>
      <w:r w:rsidRPr="007C01A2">
        <w:rPr>
          <w:rFonts w:ascii="Century Gothic" w:hAnsi="Century Gothic"/>
          <w:sz w:val="20"/>
          <w:szCs w:val="20"/>
        </w:rPr>
        <w:t xml:space="preserve"> or its subsidiaries.</w:t>
      </w:r>
    </w:p>
    <w:p w:rsidR="00A96347" w:rsidRPr="007C01A2" w:rsidRDefault="00A96347" w:rsidP="00A96347">
      <w:pPr>
        <w:pStyle w:val="BodyText"/>
        <w:ind w:left="0"/>
        <w:jc w:val="both"/>
        <w:rPr>
          <w:rFonts w:ascii="Century Gothic" w:hAnsi="Century Gothic"/>
          <w:sz w:val="32"/>
          <w:szCs w:val="32"/>
        </w:rPr>
      </w:pPr>
      <w:r w:rsidRPr="007C01A2">
        <w:rPr>
          <w:rFonts w:ascii="Century Gothic" w:hAnsi="Century Gothic"/>
          <w:sz w:val="32"/>
          <w:szCs w:val="32"/>
        </w:rPr>
        <w:t>Applicable Audience</w:t>
      </w:r>
    </w:p>
    <w:p w:rsidR="00A96347" w:rsidRPr="007C01A2" w:rsidRDefault="00A96347" w:rsidP="00A96347">
      <w:pPr>
        <w:pStyle w:val="BodyText"/>
        <w:ind w:left="0"/>
        <w:jc w:val="both"/>
        <w:rPr>
          <w:rFonts w:ascii="Century Gothic" w:hAnsi="Century Gothic" w:cs="Arial"/>
          <w:sz w:val="20"/>
          <w:szCs w:val="20"/>
        </w:rPr>
      </w:pPr>
      <w:r w:rsidRPr="007C01A2">
        <w:rPr>
          <w:rFonts w:ascii="Century Gothic" w:hAnsi="Century Gothic" w:cs="Arial"/>
          <w:sz w:val="20"/>
          <w:szCs w:val="20"/>
        </w:rPr>
        <w:t xml:space="preserve">This Policy applies to all colleagues, contractors, and vendors of Alight.  The term "colleague" refers to all full-time employees, part-time employees, temporary employees, and interns who provide services to Alight.  The term “contractor” refers to any individual on another company’s payroll (contactors, outsourcers, consultants, contingent workers, temporary agency workers, etc.) who provides services to Alight.  The term “vendor” refers to all other third parties with which </w:t>
      </w:r>
      <w:proofErr w:type="gramStart"/>
      <w:r w:rsidRPr="007C01A2">
        <w:rPr>
          <w:rFonts w:ascii="Century Gothic" w:hAnsi="Century Gothic" w:cs="Arial"/>
          <w:sz w:val="20"/>
          <w:szCs w:val="20"/>
        </w:rPr>
        <w:t>Alight</w:t>
      </w:r>
      <w:proofErr w:type="gramEnd"/>
      <w:r w:rsidRPr="007C01A2">
        <w:rPr>
          <w:rFonts w:ascii="Century Gothic" w:hAnsi="Century Gothic" w:cs="Arial"/>
          <w:sz w:val="20"/>
          <w:szCs w:val="20"/>
        </w:rPr>
        <w:t xml:space="preserve"> does business.</w:t>
      </w:r>
    </w:p>
    <w:p w:rsidR="00A96347" w:rsidRPr="007C01A2" w:rsidRDefault="00A96347" w:rsidP="00A96347">
      <w:pPr>
        <w:pStyle w:val="BodyText"/>
        <w:ind w:left="0"/>
        <w:jc w:val="both"/>
        <w:rPr>
          <w:rFonts w:ascii="Century Gothic" w:hAnsi="Century Gothic"/>
          <w:sz w:val="32"/>
          <w:szCs w:val="32"/>
        </w:rPr>
      </w:pPr>
      <w:r w:rsidRPr="007C01A2">
        <w:rPr>
          <w:rFonts w:ascii="Century Gothic" w:hAnsi="Century Gothic"/>
          <w:sz w:val="32"/>
          <w:szCs w:val="32"/>
        </w:rPr>
        <w:t>Compliance &amp; Enforcement</w:t>
      </w:r>
    </w:p>
    <w:p w:rsidR="00A96347" w:rsidRPr="007C01A2" w:rsidRDefault="00A96347" w:rsidP="00A96347">
      <w:pPr>
        <w:pStyle w:val="BodyText"/>
        <w:ind w:left="0"/>
        <w:rPr>
          <w:rFonts w:ascii="Century Gothic" w:hAnsi="Century Gothic" w:cs="Arial"/>
          <w:sz w:val="20"/>
          <w:szCs w:val="20"/>
        </w:rPr>
      </w:pPr>
      <w:r w:rsidRPr="007C01A2">
        <w:rPr>
          <w:rFonts w:ascii="Century Gothic" w:hAnsi="Century Gothic"/>
          <w:sz w:val="20"/>
          <w:szCs w:val="20"/>
        </w:rPr>
        <w:t xml:space="preserve">Compliance with this Policy is </w:t>
      </w:r>
      <w:r w:rsidRPr="007C01A2">
        <w:rPr>
          <w:rFonts w:ascii="Century Gothic" w:hAnsi="Century Gothic" w:cs="Arial"/>
          <w:sz w:val="20"/>
          <w:szCs w:val="20"/>
        </w:rPr>
        <w:t>mandatory.</w:t>
      </w:r>
    </w:p>
    <w:p w:rsidR="00A96347" w:rsidRPr="007C01A2" w:rsidRDefault="00A96347" w:rsidP="00A96347">
      <w:pPr>
        <w:pStyle w:val="BodyText"/>
        <w:ind w:left="0"/>
        <w:jc w:val="both"/>
        <w:rPr>
          <w:rFonts w:ascii="Century Gothic" w:hAnsi="Century Gothic" w:cs="Arial"/>
          <w:sz w:val="20"/>
          <w:szCs w:val="20"/>
        </w:rPr>
      </w:pPr>
      <w:r w:rsidRPr="007C01A2">
        <w:rPr>
          <w:rFonts w:ascii="Century Gothic" w:hAnsi="Century Gothic" w:cs="Arial"/>
          <w:sz w:val="20"/>
          <w:szCs w:val="20"/>
        </w:rPr>
        <w:t>Potential violations of this policy are subject to review and investigation by Alight and/or its agents.  Violations of this policy may result in discipline, up to and including removal of assignment, end of contract for vendors or termination.  This is subject to the procedural requirements of the countries in which Alight operates.  Alight reserves the right to refer for prosecution any violations of this policy.</w:t>
      </w:r>
    </w:p>
    <w:p w:rsidR="00A96347" w:rsidRPr="007C01A2" w:rsidRDefault="00A96347" w:rsidP="00A96347">
      <w:pPr>
        <w:spacing w:after="240"/>
        <w:rPr>
          <w:rFonts w:ascii="Century Gothic" w:hAnsi="Century Gothic" w:cs="Arial"/>
          <w:szCs w:val="20"/>
        </w:rPr>
      </w:pPr>
      <w:r w:rsidRPr="007C01A2">
        <w:rPr>
          <w:rFonts w:ascii="Century Gothic" w:hAnsi="Century Gothic" w:cs="Arial"/>
          <w:szCs w:val="20"/>
        </w:rPr>
        <w:t>This Policy constitutes the current Policy with respect to its subject matter, and it supersedes and replaces all previous policies relating to its subject matter. Alight reserves the right to modify the Policy at its sole discretion at any time with the intent to update on an annual basis.</w:t>
      </w:r>
    </w:p>
    <w:p w:rsidR="00A96347" w:rsidRPr="007C01A2" w:rsidRDefault="00A96347" w:rsidP="00A96347">
      <w:pPr>
        <w:pStyle w:val="Heading1"/>
        <w:spacing w:before="0" w:after="240"/>
        <w:rPr>
          <w:rFonts w:ascii="Century Gothic" w:hAnsi="Century Gothic"/>
          <w:sz w:val="32"/>
          <w:szCs w:val="32"/>
        </w:rPr>
      </w:pPr>
      <w:r w:rsidRPr="007C01A2">
        <w:rPr>
          <w:rFonts w:ascii="Century Gothic" w:hAnsi="Century Gothic"/>
          <w:sz w:val="32"/>
          <w:szCs w:val="32"/>
        </w:rPr>
        <w:lastRenderedPageBreak/>
        <w:t>Policy Statements</w:t>
      </w:r>
    </w:p>
    <w:p w:rsidR="00A96347" w:rsidRPr="007C01A2" w:rsidRDefault="00A96347" w:rsidP="00A96347">
      <w:pPr>
        <w:pStyle w:val="Heading3"/>
        <w:numPr>
          <w:ilvl w:val="0"/>
          <w:numId w:val="9"/>
        </w:numPr>
        <w:spacing w:after="0"/>
        <w:ind w:left="540" w:hanging="540"/>
        <w:jc w:val="both"/>
        <w:rPr>
          <w:rFonts w:ascii="Century Gothic" w:hAnsi="Century Gothic" w:cs="Arial"/>
        </w:rPr>
      </w:pPr>
      <w:bookmarkStart w:id="10" w:name="_Toc309251514"/>
      <w:r w:rsidRPr="007C01A2">
        <w:rPr>
          <w:rFonts w:ascii="Century Gothic" w:hAnsi="Century Gothic" w:cs="Arial"/>
        </w:rPr>
        <w:t>General</w:t>
      </w:r>
      <w:bookmarkEnd w:id="10"/>
      <w:r w:rsidRPr="007C01A2">
        <w:rPr>
          <w:rFonts w:ascii="Century Gothic" w:hAnsi="Century Gothic" w:cs="Arial"/>
        </w:rPr>
        <w:t xml:space="preserve"> </w:t>
      </w:r>
    </w:p>
    <w:p w:rsidR="00A96347" w:rsidRPr="007C01A2" w:rsidRDefault="00A96347" w:rsidP="00A96347">
      <w:pPr>
        <w:pStyle w:val="ListParagraph"/>
        <w:numPr>
          <w:ilvl w:val="1"/>
          <w:numId w:val="9"/>
        </w:numPr>
        <w:spacing w:before="120" w:after="120"/>
        <w:ind w:left="1080" w:hanging="450"/>
        <w:contextualSpacing w:val="0"/>
        <w:jc w:val="both"/>
        <w:rPr>
          <w:rFonts w:ascii="Century Gothic" w:hAnsi="Century Gothic" w:cs="Arial"/>
        </w:rPr>
      </w:pPr>
      <w:r w:rsidRPr="007C01A2">
        <w:rPr>
          <w:rFonts w:ascii="Century Gothic" w:hAnsi="Century Gothic" w:cs="Arial"/>
        </w:rPr>
        <w:t>Ensure thorough GSS Global Protection Services (GPS) Investigations are performed.  With the review and consent of GSS Leadership and the Alight Law Department, wherever possible, prosecute offenders and pursue restitution.</w:t>
      </w:r>
    </w:p>
    <w:p w:rsidR="00A96347" w:rsidRPr="007C01A2" w:rsidRDefault="00A96347" w:rsidP="00A96347">
      <w:pPr>
        <w:pStyle w:val="ListParagraph"/>
        <w:numPr>
          <w:ilvl w:val="1"/>
          <w:numId w:val="9"/>
        </w:numPr>
        <w:spacing w:before="120" w:after="120"/>
        <w:ind w:left="1080" w:hanging="450"/>
        <w:contextualSpacing w:val="0"/>
        <w:jc w:val="both"/>
        <w:rPr>
          <w:rFonts w:ascii="Century Gothic" w:hAnsi="Century Gothic" w:cs="Arial"/>
        </w:rPr>
      </w:pPr>
      <w:r w:rsidRPr="007C01A2">
        <w:rPr>
          <w:rFonts w:ascii="Century Gothic" w:hAnsi="Century Gothic" w:cs="Arial"/>
        </w:rPr>
        <w:t>A program will be in place to provide the ability to quickly:</w:t>
      </w:r>
    </w:p>
    <w:p w:rsidR="00A96347" w:rsidRPr="007C01A2" w:rsidRDefault="00A96347" w:rsidP="00A96347">
      <w:pPr>
        <w:pStyle w:val="ListParagraph"/>
        <w:numPr>
          <w:ilvl w:val="2"/>
          <w:numId w:val="9"/>
        </w:numPr>
        <w:spacing w:before="120" w:after="120"/>
        <w:ind w:left="1800" w:hanging="720"/>
        <w:contextualSpacing w:val="0"/>
        <w:jc w:val="both"/>
        <w:rPr>
          <w:rFonts w:ascii="Century Gothic" w:hAnsi="Century Gothic" w:cs="Arial"/>
        </w:rPr>
      </w:pPr>
      <w:r w:rsidRPr="007C01A2">
        <w:rPr>
          <w:rFonts w:ascii="Century Gothic" w:hAnsi="Century Gothic" w:cs="Arial"/>
        </w:rPr>
        <w:t>Collect data</w:t>
      </w:r>
    </w:p>
    <w:p w:rsidR="00A96347" w:rsidRPr="007C01A2" w:rsidRDefault="00A96347" w:rsidP="00A96347">
      <w:pPr>
        <w:pStyle w:val="ListParagraph"/>
        <w:numPr>
          <w:ilvl w:val="2"/>
          <w:numId w:val="9"/>
        </w:numPr>
        <w:spacing w:before="120" w:after="120"/>
        <w:ind w:left="1800" w:hanging="720"/>
        <w:contextualSpacing w:val="0"/>
        <w:jc w:val="both"/>
        <w:rPr>
          <w:rFonts w:ascii="Century Gothic" w:hAnsi="Century Gothic" w:cs="Arial"/>
        </w:rPr>
      </w:pPr>
      <w:r w:rsidRPr="007C01A2">
        <w:rPr>
          <w:rFonts w:ascii="Century Gothic" w:hAnsi="Century Gothic" w:cs="Arial"/>
        </w:rPr>
        <w:t>Protect evidence</w:t>
      </w:r>
    </w:p>
    <w:p w:rsidR="00A96347" w:rsidRPr="007C01A2" w:rsidRDefault="00A96347" w:rsidP="00A96347">
      <w:pPr>
        <w:pStyle w:val="ListParagraph"/>
        <w:numPr>
          <w:ilvl w:val="2"/>
          <w:numId w:val="9"/>
        </w:numPr>
        <w:spacing w:before="120" w:after="120"/>
        <w:ind w:left="1800" w:hanging="720"/>
        <w:contextualSpacing w:val="0"/>
        <w:jc w:val="both"/>
        <w:rPr>
          <w:rFonts w:ascii="Century Gothic" w:hAnsi="Century Gothic" w:cs="Arial"/>
        </w:rPr>
      </w:pPr>
      <w:r w:rsidRPr="007C01A2">
        <w:rPr>
          <w:rFonts w:ascii="Century Gothic" w:hAnsi="Century Gothic" w:cs="Arial"/>
        </w:rPr>
        <w:t>Examine the data and document findings</w:t>
      </w:r>
    </w:p>
    <w:p w:rsidR="00A96347" w:rsidRPr="007C01A2" w:rsidRDefault="00A96347" w:rsidP="00A96347">
      <w:pPr>
        <w:pStyle w:val="ListParagraph"/>
        <w:numPr>
          <w:ilvl w:val="2"/>
          <w:numId w:val="9"/>
        </w:numPr>
        <w:spacing w:before="120" w:after="120"/>
        <w:ind w:left="1800" w:hanging="720"/>
        <w:contextualSpacing w:val="0"/>
        <w:jc w:val="both"/>
        <w:rPr>
          <w:rFonts w:ascii="Century Gothic" w:hAnsi="Century Gothic" w:cs="Arial"/>
        </w:rPr>
      </w:pPr>
      <w:r w:rsidRPr="007C01A2">
        <w:rPr>
          <w:rFonts w:ascii="Century Gothic" w:hAnsi="Century Gothic" w:cs="Arial"/>
        </w:rPr>
        <w:t>Analyze findings</w:t>
      </w:r>
    </w:p>
    <w:p w:rsidR="00A96347" w:rsidRPr="007C01A2" w:rsidRDefault="00A96347" w:rsidP="00A96347">
      <w:pPr>
        <w:pStyle w:val="ListParagraph"/>
        <w:numPr>
          <w:ilvl w:val="2"/>
          <w:numId w:val="9"/>
        </w:numPr>
        <w:spacing w:before="120" w:after="120"/>
        <w:ind w:left="1800" w:hanging="720"/>
        <w:contextualSpacing w:val="0"/>
        <w:jc w:val="both"/>
        <w:rPr>
          <w:rFonts w:ascii="Century Gothic" w:hAnsi="Century Gothic" w:cs="Arial"/>
        </w:rPr>
      </w:pPr>
      <w:r w:rsidRPr="007C01A2">
        <w:rPr>
          <w:rFonts w:ascii="Century Gothic" w:hAnsi="Century Gothic" w:cs="Arial"/>
        </w:rPr>
        <w:t>Accurately report conclusions</w:t>
      </w:r>
    </w:p>
    <w:p w:rsidR="00A96347" w:rsidRPr="007C01A2" w:rsidRDefault="00A96347" w:rsidP="00A96347">
      <w:pPr>
        <w:pStyle w:val="ListParagraph"/>
        <w:numPr>
          <w:ilvl w:val="1"/>
          <w:numId w:val="9"/>
        </w:numPr>
        <w:spacing w:before="120" w:after="120"/>
        <w:ind w:left="1080" w:hanging="450"/>
        <w:contextualSpacing w:val="0"/>
        <w:jc w:val="both"/>
        <w:rPr>
          <w:rFonts w:ascii="Century Gothic" w:hAnsi="Century Gothic" w:cs="Arial"/>
        </w:rPr>
      </w:pPr>
      <w:r w:rsidRPr="007C01A2">
        <w:rPr>
          <w:rFonts w:ascii="Century Gothic" w:hAnsi="Century Gothic" w:cs="Arial"/>
        </w:rPr>
        <w:t>Ensure the responsibility for delivering GSS Global Protection Services Investigations is clearly understood and assigned.</w:t>
      </w:r>
    </w:p>
    <w:p w:rsidR="00A96347" w:rsidRPr="007C01A2" w:rsidRDefault="00A96347" w:rsidP="00A96347">
      <w:pPr>
        <w:pStyle w:val="ListParagraph"/>
        <w:numPr>
          <w:ilvl w:val="1"/>
          <w:numId w:val="9"/>
        </w:numPr>
        <w:spacing w:before="120" w:after="120"/>
        <w:ind w:left="1080" w:hanging="450"/>
        <w:contextualSpacing w:val="0"/>
        <w:jc w:val="both"/>
        <w:rPr>
          <w:rFonts w:ascii="Century Gothic" w:hAnsi="Century Gothic" w:cs="Arial"/>
        </w:rPr>
      </w:pPr>
      <w:r w:rsidRPr="007C01A2">
        <w:rPr>
          <w:rFonts w:ascii="Century Gothic" w:hAnsi="Century Gothic" w:cs="Arial"/>
        </w:rPr>
        <w:t>Effectively use people, technology, policy, and procedures to achieve GSS GPS Investigation goals.</w:t>
      </w:r>
    </w:p>
    <w:p w:rsidR="00A96347" w:rsidRPr="007C01A2" w:rsidRDefault="00A96347" w:rsidP="00A96347">
      <w:pPr>
        <w:pStyle w:val="ListParagraph"/>
        <w:numPr>
          <w:ilvl w:val="1"/>
          <w:numId w:val="9"/>
        </w:numPr>
        <w:spacing w:before="120" w:after="120"/>
        <w:ind w:left="1080" w:hanging="450"/>
        <w:contextualSpacing w:val="0"/>
        <w:jc w:val="both"/>
        <w:rPr>
          <w:rFonts w:ascii="Century Gothic" w:hAnsi="Century Gothic" w:cs="Arial"/>
          <w:szCs w:val="20"/>
        </w:rPr>
      </w:pPr>
      <w:r w:rsidRPr="007C01A2">
        <w:rPr>
          <w:rFonts w:ascii="Century Gothic" w:hAnsi="Century Gothic" w:cs="Arial"/>
          <w:szCs w:val="20"/>
        </w:rPr>
        <w:t>Identify certain risks and threats to the company, where possible.</w:t>
      </w:r>
    </w:p>
    <w:p w:rsidR="00A96347" w:rsidRPr="007C01A2" w:rsidRDefault="00A96347" w:rsidP="00A96347">
      <w:pPr>
        <w:pStyle w:val="ListParagraph"/>
        <w:numPr>
          <w:ilvl w:val="1"/>
          <w:numId w:val="9"/>
        </w:numPr>
        <w:spacing w:before="120" w:after="120"/>
        <w:ind w:left="1080" w:hanging="450"/>
        <w:contextualSpacing w:val="0"/>
        <w:jc w:val="both"/>
        <w:rPr>
          <w:rFonts w:ascii="Century Gothic" w:hAnsi="Century Gothic" w:cs="Arial"/>
          <w:szCs w:val="20"/>
        </w:rPr>
      </w:pPr>
      <w:r w:rsidRPr="007C01A2">
        <w:rPr>
          <w:rFonts w:ascii="Century Gothic" w:hAnsi="Century Gothic" w:cs="Arial"/>
          <w:szCs w:val="20"/>
        </w:rPr>
        <w:t>Ensure compliance with business, client, and regulatory requirements.</w:t>
      </w:r>
    </w:p>
    <w:p w:rsidR="00A96347" w:rsidRPr="007C01A2" w:rsidRDefault="00A96347" w:rsidP="00A96347">
      <w:pPr>
        <w:pStyle w:val="ListParagraph"/>
        <w:numPr>
          <w:ilvl w:val="1"/>
          <w:numId w:val="9"/>
        </w:numPr>
        <w:spacing w:after="240"/>
        <w:ind w:left="1080" w:hanging="450"/>
        <w:contextualSpacing w:val="0"/>
        <w:jc w:val="both"/>
        <w:rPr>
          <w:rFonts w:ascii="Century Gothic" w:hAnsi="Century Gothic"/>
          <w:szCs w:val="20"/>
        </w:rPr>
      </w:pPr>
      <w:r w:rsidRPr="007C01A2">
        <w:rPr>
          <w:rFonts w:ascii="Century Gothic" w:hAnsi="Century Gothic" w:cs="Arial"/>
          <w:szCs w:val="20"/>
        </w:rPr>
        <w:t>Ensure adequate company resources are made available to support the program.</w:t>
      </w:r>
    </w:p>
    <w:p w:rsidR="00A96347" w:rsidRPr="007C01A2" w:rsidRDefault="00A96347" w:rsidP="00A96347">
      <w:pPr>
        <w:spacing w:after="240"/>
        <w:jc w:val="both"/>
        <w:rPr>
          <w:rFonts w:ascii="Century Gothic" w:hAnsi="Century Gothic"/>
          <w:sz w:val="32"/>
          <w:szCs w:val="32"/>
        </w:rPr>
      </w:pPr>
      <w:r w:rsidRPr="007C01A2">
        <w:rPr>
          <w:rFonts w:ascii="Century Gothic" w:hAnsi="Century Gothic"/>
          <w:sz w:val="32"/>
          <w:szCs w:val="32"/>
        </w:rPr>
        <w:t>Applicable Standards</w:t>
      </w:r>
    </w:p>
    <w:p w:rsidR="00A96347" w:rsidRPr="007C01A2" w:rsidRDefault="00A96347" w:rsidP="00A96347">
      <w:pPr>
        <w:pStyle w:val="AonBullet1"/>
        <w:numPr>
          <w:ilvl w:val="0"/>
          <w:numId w:val="12"/>
        </w:numPr>
        <w:spacing w:after="240"/>
        <w:rPr>
          <w:rFonts w:ascii="Century Gothic" w:hAnsi="Century Gothic"/>
          <w:sz w:val="32"/>
          <w:szCs w:val="32"/>
        </w:rPr>
      </w:pPr>
      <w:r w:rsidRPr="007C01A2">
        <w:rPr>
          <w:rFonts w:ascii="Century Gothic" w:hAnsi="Century Gothic"/>
        </w:rPr>
        <w:t>302.01 Global Protection Services Investigations Standard (Internal &amp; External)</w:t>
      </w:r>
    </w:p>
    <w:p w:rsidR="00A96347" w:rsidRPr="007C01A2" w:rsidRDefault="00A96347" w:rsidP="00A96347">
      <w:pPr>
        <w:pStyle w:val="AonBullet1"/>
        <w:numPr>
          <w:ilvl w:val="0"/>
          <w:numId w:val="0"/>
        </w:numPr>
        <w:spacing w:after="240"/>
        <w:rPr>
          <w:rFonts w:ascii="Century Gothic" w:hAnsi="Century Gothic"/>
          <w:sz w:val="32"/>
          <w:szCs w:val="32"/>
        </w:rPr>
      </w:pPr>
      <w:r w:rsidRPr="007C01A2">
        <w:rPr>
          <w:rFonts w:ascii="Century Gothic" w:hAnsi="Century Gothic"/>
          <w:sz w:val="32"/>
          <w:szCs w:val="32"/>
        </w:rPr>
        <w:t>References &amp; Mandates</w:t>
      </w:r>
    </w:p>
    <w:p w:rsidR="00A96347" w:rsidRPr="007C01A2" w:rsidRDefault="00A96347" w:rsidP="00A96347">
      <w:pPr>
        <w:pStyle w:val="AonBullet1"/>
        <w:numPr>
          <w:ilvl w:val="0"/>
          <w:numId w:val="11"/>
        </w:numPr>
        <w:rPr>
          <w:rFonts w:ascii="Century Gothic" w:hAnsi="Century Gothic" w:cs="Arial"/>
        </w:rPr>
      </w:pPr>
      <w:r w:rsidRPr="007C01A2">
        <w:rPr>
          <w:rFonts w:ascii="Century Gothic" w:hAnsi="Century Gothic" w:cs="Arial"/>
        </w:rPr>
        <w:t xml:space="preserve">Police &amp; Criminal Evidence Act </w:t>
      </w:r>
    </w:p>
    <w:p w:rsidR="00A96347" w:rsidRPr="007C01A2" w:rsidRDefault="00A96347" w:rsidP="00A96347">
      <w:pPr>
        <w:pStyle w:val="AonBullet1"/>
        <w:numPr>
          <w:ilvl w:val="0"/>
          <w:numId w:val="11"/>
        </w:numPr>
        <w:rPr>
          <w:rFonts w:ascii="Century Gothic" w:hAnsi="Century Gothic" w:cs="Arial"/>
        </w:rPr>
      </w:pPr>
      <w:r w:rsidRPr="007C01A2">
        <w:rPr>
          <w:rFonts w:ascii="Century Gothic" w:hAnsi="Century Gothic" w:cs="Arial"/>
        </w:rPr>
        <w:t>Data Protection Act</w:t>
      </w:r>
    </w:p>
    <w:p w:rsidR="00A96347" w:rsidRPr="007C01A2" w:rsidRDefault="00A96347" w:rsidP="00A96347">
      <w:pPr>
        <w:pStyle w:val="AonBullet1"/>
        <w:numPr>
          <w:ilvl w:val="0"/>
          <w:numId w:val="11"/>
        </w:numPr>
        <w:spacing w:after="240"/>
        <w:rPr>
          <w:rFonts w:ascii="Century Gothic" w:hAnsi="Century Gothic"/>
        </w:rPr>
      </w:pPr>
      <w:r w:rsidRPr="007C01A2">
        <w:rPr>
          <w:rFonts w:ascii="Century Gothic" w:hAnsi="Century Gothic" w:cs="Arial"/>
        </w:rPr>
        <w:t xml:space="preserve">Regulation of Investigatory Powers </w:t>
      </w:r>
      <w:bookmarkStart w:id="11" w:name="_GoBack"/>
      <w:bookmarkEnd w:id="11"/>
      <w:r w:rsidRPr="007C01A2">
        <w:rPr>
          <w:rFonts w:ascii="Century Gothic" w:hAnsi="Century Gothic" w:cs="Arial"/>
        </w:rPr>
        <w:t>Act</w:t>
      </w:r>
    </w:p>
    <w:p w:rsidR="00A96347" w:rsidRPr="007C01A2" w:rsidRDefault="00A96347" w:rsidP="00A96347">
      <w:pPr>
        <w:pStyle w:val="AonBullet1"/>
        <w:numPr>
          <w:ilvl w:val="0"/>
          <w:numId w:val="0"/>
        </w:numPr>
        <w:spacing w:after="240"/>
        <w:rPr>
          <w:rFonts w:ascii="Century Gothic" w:hAnsi="Century Gothic"/>
          <w:sz w:val="32"/>
          <w:szCs w:val="32"/>
        </w:rPr>
      </w:pPr>
      <w:r w:rsidRPr="007C01A2">
        <w:rPr>
          <w:rFonts w:ascii="Century Gothic" w:hAnsi="Century Gothic"/>
          <w:sz w:val="32"/>
          <w:szCs w:val="32"/>
        </w:rPr>
        <w:t xml:space="preserve">Legal Conflicts </w:t>
      </w:r>
    </w:p>
    <w:p w:rsidR="00A96347" w:rsidRPr="007C01A2" w:rsidRDefault="00A96347" w:rsidP="00A96347">
      <w:pPr>
        <w:pStyle w:val="BodyText"/>
        <w:ind w:left="0"/>
        <w:jc w:val="both"/>
        <w:rPr>
          <w:rFonts w:ascii="Century Gothic" w:hAnsi="Century Gothic"/>
          <w:sz w:val="20"/>
          <w:szCs w:val="20"/>
        </w:rPr>
      </w:pPr>
      <w:r w:rsidRPr="007C01A2">
        <w:rPr>
          <w:rFonts w:ascii="Century Gothic" w:hAnsi="Century Gothic"/>
          <w:sz w:val="20"/>
          <w:szCs w:val="20"/>
        </w:rPr>
        <w:t>Alight’s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A96347" w:rsidRPr="007C01A2" w:rsidRDefault="00A96347" w:rsidP="00A96347">
      <w:pPr>
        <w:pStyle w:val="BodyText"/>
        <w:ind w:left="0"/>
        <w:jc w:val="both"/>
        <w:rPr>
          <w:rFonts w:ascii="Century Gothic" w:hAnsi="Century Gothic"/>
          <w:sz w:val="20"/>
          <w:szCs w:val="20"/>
        </w:rPr>
      </w:pPr>
      <w:r w:rsidRPr="007C01A2">
        <w:rPr>
          <w:rFonts w:ascii="Century Gothic" w:hAnsi="Century Gothic"/>
          <w:sz w:val="20"/>
          <w:szCs w:val="20"/>
        </w:rPr>
        <w:t xml:space="preserve">Alight’s Security Policies and Standards may be supplemented by other policies or standards of Alight.  In the case of a conflict or ambiguity, the more specific provisions of any such policy or </w:t>
      </w:r>
      <w:r w:rsidRPr="007C01A2">
        <w:rPr>
          <w:rFonts w:ascii="Century Gothic" w:hAnsi="Century Gothic"/>
          <w:sz w:val="20"/>
          <w:szCs w:val="20"/>
        </w:rPr>
        <w:lastRenderedPageBreak/>
        <w:t>standard of Alight shall take precedence over the more general provisions contained in Alight’s Security Policies and Standards.</w:t>
      </w:r>
    </w:p>
    <w:p w:rsidR="00A96347" w:rsidRPr="007C01A2" w:rsidRDefault="00A96347" w:rsidP="00A96347">
      <w:pPr>
        <w:pStyle w:val="BodyText"/>
        <w:ind w:left="0"/>
        <w:jc w:val="both"/>
        <w:rPr>
          <w:rFonts w:ascii="Century Gothic" w:hAnsi="Century Gothic"/>
          <w:sz w:val="32"/>
          <w:szCs w:val="32"/>
        </w:rPr>
      </w:pPr>
      <w:r w:rsidRPr="007C01A2">
        <w:rPr>
          <w:rFonts w:ascii="Century Gothic" w:hAnsi="Century Gothic"/>
          <w:sz w:val="32"/>
          <w:szCs w:val="32"/>
        </w:rPr>
        <w:t>Exceptions</w:t>
      </w:r>
    </w:p>
    <w:p w:rsidR="00A96347" w:rsidRPr="007C01A2" w:rsidRDefault="00A96347" w:rsidP="00A96347">
      <w:pPr>
        <w:pStyle w:val="BodyText"/>
        <w:ind w:left="0"/>
        <w:jc w:val="both"/>
        <w:rPr>
          <w:rFonts w:ascii="Century Gothic" w:hAnsi="Century Gothic"/>
          <w:sz w:val="20"/>
          <w:szCs w:val="20"/>
        </w:rPr>
      </w:pPr>
      <w:r w:rsidRPr="007C01A2">
        <w:rPr>
          <w:rFonts w:ascii="Century Gothic" w:hAnsi="Century Gothic"/>
          <w:sz w:val="20"/>
          <w:szCs w:val="20"/>
        </w:rPr>
        <w:t xml:space="preserve">Application of the global physical security policies and standards may vary by region and office, and exceptions and variations may occur, if and when approved by GSS GPS.  Please contact GSS GPS at </w:t>
      </w:r>
      <w:hyperlink r:id="rId12" w:history="1">
        <w:r w:rsidR="007B77A9" w:rsidRPr="007C01A2">
          <w:rPr>
            <w:rStyle w:val="Hyperlink"/>
            <w:rFonts w:ascii="Century Gothic" w:eastAsia="Times New Roman" w:hAnsi="Century Gothic" w:cs="Arial"/>
            <w:sz w:val="20"/>
            <w:szCs w:val="20"/>
          </w:rPr>
          <w:t>global.security.services@aon.com</w:t>
        </w:r>
      </w:hyperlink>
      <w:r w:rsidRPr="007C01A2">
        <w:rPr>
          <w:rFonts w:ascii="Century Gothic" w:hAnsi="Century Gothic"/>
          <w:sz w:val="20"/>
          <w:szCs w:val="20"/>
        </w:rPr>
        <w:t xml:space="preserve"> for further guidance on any exceptions or variations that may apply.</w:t>
      </w:r>
    </w:p>
    <w:p w:rsidR="005D6101" w:rsidRPr="007C01A2" w:rsidRDefault="005D6101" w:rsidP="00A96347">
      <w:pPr>
        <w:pStyle w:val="BodyText"/>
        <w:ind w:left="0"/>
        <w:jc w:val="both"/>
        <w:rPr>
          <w:rFonts w:ascii="Century Gothic" w:hAnsi="Century Gothic"/>
          <w:sz w:val="32"/>
          <w:szCs w:val="32"/>
        </w:rPr>
      </w:pPr>
      <w:bookmarkStart w:id="12" w:name="_Toc289842768"/>
      <w:bookmarkStart w:id="13" w:name="_Toc306014656"/>
      <w:bookmarkEnd w:id="0"/>
      <w:bookmarkEnd w:id="1"/>
      <w:bookmarkEnd w:id="2"/>
      <w:bookmarkEnd w:id="3"/>
      <w:bookmarkEnd w:id="4"/>
      <w:bookmarkEnd w:id="5"/>
      <w:bookmarkEnd w:id="6"/>
      <w:bookmarkEnd w:id="7"/>
      <w:r w:rsidRPr="007C01A2">
        <w:rPr>
          <w:rFonts w:ascii="Century Gothic" w:hAnsi="Century Gothic"/>
          <w:sz w:val="32"/>
          <w:szCs w:val="32"/>
        </w:rPr>
        <w:t>Communications</w:t>
      </w:r>
    </w:p>
    <w:p w:rsidR="00A96347" w:rsidRPr="007C01A2" w:rsidRDefault="005D6101" w:rsidP="00A96347">
      <w:pPr>
        <w:pStyle w:val="AonBullet1"/>
        <w:numPr>
          <w:ilvl w:val="0"/>
          <w:numId w:val="0"/>
        </w:numPr>
        <w:spacing w:after="240" w:line="276" w:lineRule="auto"/>
        <w:rPr>
          <w:rFonts w:ascii="Century Gothic" w:hAnsi="Century Gothic" w:cs="Arial"/>
        </w:rPr>
      </w:pPr>
      <w:r w:rsidRPr="007C01A2">
        <w:rPr>
          <w:rFonts w:ascii="Century Gothic" w:hAnsi="Century Gothic" w:cs="Arial"/>
        </w:rPr>
        <w:t xml:space="preserve">Questions regarding this Policy should be directed to GSS GPS at </w:t>
      </w:r>
      <w:hyperlink r:id="rId13" w:history="1">
        <w:r w:rsidR="007B77A9" w:rsidRPr="007C01A2">
          <w:rPr>
            <w:rStyle w:val="Hyperlink"/>
            <w:rFonts w:ascii="Century Gothic" w:hAnsi="Century Gothic"/>
          </w:rPr>
          <w:t>global.security.services@aon.com</w:t>
        </w:r>
      </w:hyperlink>
      <w:r w:rsidRPr="007C01A2">
        <w:rPr>
          <w:rFonts w:ascii="Century Gothic" w:hAnsi="Century Gothic" w:cs="Arial"/>
        </w:rPr>
        <w:t xml:space="preserve">. </w:t>
      </w:r>
    </w:p>
    <w:p w:rsidR="0012496D" w:rsidRPr="007C01A2" w:rsidRDefault="0012496D" w:rsidP="0012496D">
      <w:pPr>
        <w:pStyle w:val="Heading1"/>
        <w:spacing w:after="240"/>
        <w:rPr>
          <w:rFonts w:ascii="Century Gothic" w:hAnsi="Century Gothic"/>
        </w:rPr>
      </w:pPr>
      <w:bookmarkStart w:id="14" w:name="_Toc528945611"/>
      <w:bookmarkStart w:id="15" w:name="_Toc529855774"/>
      <w:bookmarkStart w:id="16" w:name="_Toc529856551"/>
      <w:bookmarkStart w:id="17" w:name="_Toc531756491"/>
      <w:bookmarkStart w:id="18" w:name="_Toc1631615"/>
      <w:bookmarkStart w:id="19" w:name="_Toc133747320"/>
      <w:bookmarkStart w:id="20" w:name="_Toc158457851"/>
      <w:bookmarkStart w:id="21" w:name="_Toc158805969"/>
      <w:bookmarkStart w:id="22" w:name="_Toc289842769"/>
      <w:bookmarkStart w:id="23" w:name="_Toc306014657"/>
      <w:bookmarkEnd w:id="12"/>
      <w:bookmarkEnd w:id="13"/>
      <w:r w:rsidRPr="007C01A2">
        <w:rPr>
          <w:rFonts w:ascii="Century Gothic" w:hAnsi="Century Gothic"/>
          <w:sz w:val="32"/>
          <w:szCs w:val="32"/>
        </w:rPr>
        <w:lastRenderedPageBreak/>
        <w:t>Document Control Information</w:t>
      </w:r>
      <w:bookmarkStart w:id="24" w:name="_Toc488220669"/>
      <w:r w:rsidRPr="007C01A2">
        <w:rPr>
          <w:rFonts w:ascii="Century Gothic" w:hAnsi="Century Gothic"/>
          <w:sz w:val="32"/>
          <w:szCs w:val="32"/>
        </w:rPr>
        <w:t xml:space="preserve"> </w:t>
      </w:r>
      <w:bookmarkEnd w:id="24"/>
    </w:p>
    <w:p w:rsidR="0012496D" w:rsidRPr="007C01A2" w:rsidRDefault="0012496D" w:rsidP="0012496D">
      <w:pPr>
        <w:pStyle w:val="TableTitle"/>
        <w:rPr>
          <w:rFonts w:ascii="Century Gothic" w:hAnsi="Century Gothic"/>
        </w:rPr>
      </w:pPr>
      <w:r w:rsidRPr="007C01A2">
        <w:rPr>
          <w:rFonts w:ascii="Century Gothic" w:hAnsi="Century Gothic"/>
        </w:rP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12496D" w:rsidRPr="007C01A2" w:rsidTr="009418C5">
        <w:trPr>
          <w:cantSplit/>
        </w:trPr>
        <w:tc>
          <w:tcPr>
            <w:tcW w:w="3355" w:type="dxa"/>
            <w:tcBorders>
              <w:top w:val="nil"/>
              <w:bottom w:val="single" w:sz="12" w:space="0" w:color="808080" w:themeColor="background1" w:themeShade="80"/>
            </w:tcBorders>
            <w:shd w:val="clear" w:color="auto" w:fill="auto"/>
            <w:vAlign w:val="bottom"/>
          </w:tcPr>
          <w:p w:rsidR="0012496D" w:rsidRPr="007C01A2" w:rsidRDefault="0012496D" w:rsidP="009418C5">
            <w:pPr>
              <w:pStyle w:val="TableColumnHead"/>
              <w:rPr>
                <w:rFonts w:ascii="Century Gothic" w:hAnsi="Century Gothic"/>
              </w:rPr>
            </w:pPr>
          </w:p>
        </w:tc>
        <w:tc>
          <w:tcPr>
            <w:tcW w:w="6210" w:type="dxa"/>
            <w:tcBorders>
              <w:top w:val="nil"/>
              <w:bottom w:val="single" w:sz="12" w:space="0" w:color="808080" w:themeColor="background1" w:themeShade="80"/>
            </w:tcBorders>
            <w:shd w:val="clear" w:color="auto" w:fill="auto"/>
            <w:vAlign w:val="bottom"/>
          </w:tcPr>
          <w:p w:rsidR="0012496D" w:rsidRPr="007C01A2" w:rsidRDefault="0012496D" w:rsidP="009418C5">
            <w:pPr>
              <w:pStyle w:val="TableColumnHead"/>
              <w:rPr>
                <w:rFonts w:ascii="Century Gothic" w:hAnsi="Century Gothic"/>
              </w:rPr>
            </w:pPr>
          </w:p>
        </w:tc>
      </w:tr>
      <w:tr w:rsidR="0012496D" w:rsidRPr="007C01A2" w:rsidTr="009418C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Bullet4Table"/>
              <w:numPr>
                <w:ilvl w:val="0"/>
                <w:numId w:val="0"/>
              </w:numPr>
              <w:rPr>
                <w:rFonts w:ascii="Century Gothic" w:hAnsi="Century Gothic"/>
              </w:rPr>
            </w:pPr>
            <w:r w:rsidRPr="007C01A2">
              <w:rPr>
                <w:rFonts w:ascii="Century Gothic" w:hAnsi="Century Gothic" w:cs="Arial"/>
              </w:rPr>
              <w:t xml:space="preserve">Alight Global Security Services | </w:t>
            </w:r>
            <w:hyperlink r:id="rId14" w:history="1">
              <w:r w:rsidRPr="007C01A2">
                <w:rPr>
                  <w:rStyle w:val="Hyperlink"/>
                  <w:rFonts w:ascii="Century Gothic" w:hAnsi="Century Gothic" w:cs="Arial"/>
                </w:rPr>
                <w:t>global.security.services@aon.com</w:t>
              </w:r>
            </w:hyperlink>
          </w:p>
        </w:tc>
      </w:tr>
      <w:tr w:rsidR="0012496D" w:rsidRPr="007C01A2"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1.6</w:t>
            </w:r>
          </w:p>
        </w:tc>
      </w:tr>
      <w:tr w:rsidR="0012496D" w:rsidRPr="007C01A2"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 xml:space="preserve">Alight Global Security Services | </w:t>
            </w:r>
            <w:r w:rsidRPr="007C01A2">
              <w:rPr>
                <w:rFonts w:ascii="Century Gothic" w:eastAsia="Times New Roman" w:hAnsi="Century Gothic"/>
              </w:rPr>
              <w:t>Global Protection Services</w:t>
            </w:r>
          </w:p>
        </w:tc>
      </w:tr>
      <w:tr w:rsidR="0012496D" w:rsidRPr="007C01A2"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 xml:space="preserve">Alight Global Security Services | </w:t>
            </w:r>
            <w:r w:rsidRPr="007C01A2">
              <w:rPr>
                <w:rFonts w:ascii="Century Gothic" w:eastAsia="Times New Roman" w:hAnsi="Century Gothic"/>
              </w:rPr>
              <w:t>Global Protection Services</w:t>
            </w:r>
          </w:p>
        </w:tc>
      </w:tr>
      <w:tr w:rsidR="0012496D" w:rsidRPr="007C01A2"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Jim Hartley, Chief Information Security Officer</w:t>
            </w:r>
          </w:p>
        </w:tc>
      </w:tr>
      <w:tr w:rsidR="0012496D" w:rsidRPr="007C01A2"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May 1, 2017</w:t>
            </w:r>
          </w:p>
        </w:tc>
      </w:tr>
      <w:tr w:rsidR="0012496D" w:rsidRPr="007C01A2"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May 1, 2017</w:t>
            </w:r>
          </w:p>
        </w:tc>
      </w:tr>
      <w:tr w:rsidR="0012496D" w:rsidRPr="007C01A2"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12496D">
            <w:pPr>
              <w:pStyle w:val="TableCopy"/>
              <w:rPr>
                <w:rFonts w:ascii="Century Gothic" w:hAnsi="Century Gothic"/>
              </w:rPr>
            </w:pPr>
            <w:r w:rsidRPr="007C01A2">
              <w:rPr>
                <w:rFonts w:ascii="Century Gothic" w:hAnsi="Century Gothic"/>
              </w:rPr>
              <w:t>May 1, 2011</w:t>
            </w:r>
          </w:p>
        </w:tc>
      </w:tr>
      <w:tr w:rsidR="0012496D" w:rsidRPr="007C01A2"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pStyle w:val="TableCopy"/>
              <w:rPr>
                <w:rFonts w:ascii="Century Gothic" w:hAnsi="Century Gothic"/>
              </w:rPr>
            </w:pPr>
            <w:r w:rsidRPr="007C01A2">
              <w:rPr>
                <w:rFonts w:ascii="Century Gothic" w:hAnsi="Century Gothic"/>
              </w:rPr>
              <w:t>General Internal – Low Business Impact (Green)</w:t>
            </w:r>
          </w:p>
        </w:tc>
      </w:tr>
    </w:tbl>
    <w:p w:rsidR="0012496D" w:rsidRPr="007C01A2" w:rsidRDefault="0012496D" w:rsidP="0012496D">
      <w:pPr>
        <w:rPr>
          <w:rFonts w:ascii="Century Gothic" w:hAnsi="Century Gothic"/>
        </w:rPr>
      </w:pPr>
    </w:p>
    <w:p w:rsidR="0012496D" w:rsidRPr="007C01A2" w:rsidRDefault="0012496D" w:rsidP="0012496D">
      <w:pPr>
        <w:pStyle w:val="Heading1"/>
        <w:spacing w:after="240"/>
        <w:rPr>
          <w:rFonts w:ascii="Century Gothic" w:hAnsi="Century Gothic"/>
        </w:rPr>
      </w:pPr>
      <w:bookmarkStart w:id="25" w:name="_Toc488220670"/>
      <w:bookmarkEnd w:id="8"/>
      <w:bookmarkEnd w:id="9"/>
      <w:bookmarkEnd w:id="14"/>
      <w:bookmarkEnd w:id="15"/>
      <w:bookmarkEnd w:id="16"/>
      <w:bookmarkEnd w:id="17"/>
      <w:bookmarkEnd w:id="18"/>
      <w:bookmarkEnd w:id="19"/>
      <w:bookmarkEnd w:id="20"/>
      <w:bookmarkEnd w:id="21"/>
      <w:bookmarkEnd w:id="22"/>
      <w:bookmarkEnd w:id="23"/>
      <w:r w:rsidRPr="007C01A2">
        <w:rPr>
          <w:rFonts w:ascii="Century Gothic" w:hAnsi="Century Gothic"/>
        </w:rPr>
        <w:lastRenderedPageBreak/>
        <w:t>Revision History</w:t>
      </w:r>
      <w:bookmarkEnd w:id="25"/>
    </w:p>
    <w:p w:rsidR="0012496D" w:rsidRPr="007C01A2" w:rsidRDefault="0012496D" w:rsidP="0012496D">
      <w:pPr>
        <w:pStyle w:val="TableTitle"/>
        <w:rPr>
          <w:rFonts w:ascii="Century Gothic" w:hAnsi="Century Gothic"/>
        </w:rPr>
      </w:pPr>
      <w:r w:rsidRPr="007C01A2">
        <w:rPr>
          <w:rFonts w:ascii="Century Gothic" w:hAnsi="Century Gothic"/>
        </w:rP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12496D" w:rsidRPr="007C01A2" w:rsidTr="009418C5">
        <w:trPr>
          <w:cantSplit/>
        </w:trPr>
        <w:tc>
          <w:tcPr>
            <w:tcW w:w="1646" w:type="dxa"/>
            <w:tcBorders>
              <w:top w:val="nil"/>
              <w:bottom w:val="single" w:sz="12" w:space="0" w:color="808080" w:themeColor="background1" w:themeShade="80"/>
            </w:tcBorders>
            <w:shd w:val="clear" w:color="auto" w:fill="auto"/>
            <w:vAlign w:val="bottom"/>
          </w:tcPr>
          <w:p w:rsidR="0012496D" w:rsidRPr="007C01A2" w:rsidRDefault="0012496D" w:rsidP="009418C5">
            <w:pPr>
              <w:pStyle w:val="TableColumnHead"/>
              <w:rPr>
                <w:rFonts w:ascii="Century Gothic" w:hAnsi="Century Gothic"/>
              </w:rPr>
            </w:pPr>
            <w:r w:rsidRPr="007C01A2">
              <w:rPr>
                <w:rFonts w:ascii="Century Gothic" w:hAnsi="Century Gothic"/>
              </w:rPr>
              <w:t>Revision Level</w:t>
            </w:r>
          </w:p>
        </w:tc>
        <w:tc>
          <w:tcPr>
            <w:tcW w:w="1441" w:type="dxa"/>
            <w:tcBorders>
              <w:top w:val="nil"/>
              <w:bottom w:val="single" w:sz="12" w:space="0" w:color="808080" w:themeColor="background1" w:themeShade="80"/>
            </w:tcBorders>
            <w:shd w:val="clear" w:color="auto" w:fill="auto"/>
            <w:vAlign w:val="bottom"/>
          </w:tcPr>
          <w:p w:rsidR="0012496D" w:rsidRPr="007C01A2" w:rsidRDefault="0012496D" w:rsidP="009418C5">
            <w:pPr>
              <w:pStyle w:val="TableColumnHead"/>
              <w:rPr>
                <w:rFonts w:ascii="Century Gothic" w:hAnsi="Century Gothic"/>
              </w:rPr>
            </w:pPr>
            <w:r w:rsidRPr="007C01A2">
              <w:rPr>
                <w:rFonts w:ascii="Century Gothic" w:hAnsi="Century Gothic"/>
              </w:rPr>
              <w:t>Date</w:t>
            </w:r>
          </w:p>
        </w:tc>
        <w:tc>
          <w:tcPr>
            <w:tcW w:w="1979" w:type="dxa"/>
            <w:tcBorders>
              <w:top w:val="nil"/>
              <w:bottom w:val="single" w:sz="12" w:space="0" w:color="808080" w:themeColor="background1" w:themeShade="80"/>
            </w:tcBorders>
            <w:shd w:val="clear" w:color="auto" w:fill="auto"/>
            <w:vAlign w:val="bottom"/>
          </w:tcPr>
          <w:p w:rsidR="0012496D" w:rsidRPr="007C01A2" w:rsidRDefault="0012496D" w:rsidP="009418C5">
            <w:pPr>
              <w:pStyle w:val="TableColumnHead"/>
              <w:rPr>
                <w:rFonts w:ascii="Century Gothic" w:hAnsi="Century Gothic"/>
              </w:rPr>
            </w:pPr>
            <w:r w:rsidRPr="007C01A2">
              <w:rPr>
                <w:rFonts w:ascii="Century Gothic" w:hAnsi="Century Gothic"/>
              </w:rPr>
              <w:t xml:space="preserve">Description </w:t>
            </w:r>
          </w:p>
        </w:tc>
        <w:tc>
          <w:tcPr>
            <w:tcW w:w="2942" w:type="dxa"/>
            <w:tcBorders>
              <w:top w:val="nil"/>
              <w:bottom w:val="single" w:sz="12" w:space="0" w:color="808080" w:themeColor="background1" w:themeShade="80"/>
            </w:tcBorders>
          </w:tcPr>
          <w:p w:rsidR="0012496D" w:rsidRPr="007C01A2" w:rsidRDefault="0012496D" w:rsidP="009418C5">
            <w:pPr>
              <w:pStyle w:val="TableColumnHead"/>
              <w:rPr>
                <w:rFonts w:ascii="Century Gothic" w:hAnsi="Century Gothic"/>
              </w:rPr>
            </w:pPr>
            <w:r w:rsidRPr="007C01A2">
              <w:rPr>
                <w:rFonts w:ascii="Century Gothic" w:hAnsi="Century Gothic"/>
              </w:rPr>
              <w:t>Change Summary</w:t>
            </w:r>
          </w:p>
        </w:tc>
      </w:tr>
      <w:tr w:rsidR="0012496D" w:rsidRPr="007C01A2" w:rsidTr="009418C5">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12496D" w:rsidRPr="007C01A2" w:rsidRDefault="0012496D" w:rsidP="009418C5">
            <w:pPr>
              <w:rPr>
                <w:rFonts w:ascii="Century Gothic" w:hAnsi="Century Gothic"/>
                <w:sz w:val="18"/>
                <w:szCs w:val="18"/>
              </w:rPr>
            </w:pPr>
            <w:r w:rsidRPr="007C01A2">
              <w:rPr>
                <w:rFonts w:ascii="Century Gothic" w:hAnsi="Century Gothic"/>
                <w:sz w:val="18"/>
                <w:szCs w:val="18"/>
              </w:rPr>
              <w:t>Restructured policy due to Aon Hewitt acquisition</w:t>
            </w:r>
          </w:p>
        </w:tc>
      </w:tr>
      <w:tr w:rsidR="0012496D" w:rsidRPr="007C01A2"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12496D" w:rsidRPr="007C01A2" w:rsidRDefault="0012496D" w:rsidP="009418C5">
            <w:pPr>
              <w:rPr>
                <w:rFonts w:ascii="Century Gothic" w:hAnsi="Century Gothic"/>
                <w:sz w:val="18"/>
                <w:szCs w:val="18"/>
              </w:rPr>
            </w:pPr>
            <w:r w:rsidRPr="007C01A2">
              <w:rPr>
                <w:rFonts w:ascii="Century Gothic" w:hAnsi="Century Gothic" w:cs="Arial"/>
                <w:color w:val="000000"/>
                <w:sz w:val="18"/>
                <w:szCs w:val="18"/>
              </w:rPr>
              <w:t>Reviewed and validated</w:t>
            </w:r>
          </w:p>
        </w:tc>
      </w:tr>
      <w:tr w:rsidR="0012496D" w:rsidRPr="007C01A2"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12496D" w:rsidRPr="007C01A2" w:rsidRDefault="0012496D" w:rsidP="009418C5">
            <w:pPr>
              <w:rPr>
                <w:rFonts w:ascii="Century Gothic" w:hAnsi="Century Gothic"/>
                <w:sz w:val="18"/>
                <w:szCs w:val="18"/>
              </w:rPr>
            </w:pPr>
            <w:r w:rsidRPr="007C01A2">
              <w:rPr>
                <w:rFonts w:ascii="Century Gothic" w:hAnsi="Century Gothic" w:cs="Arial"/>
                <w:color w:val="000000"/>
                <w:sz w:val="18"/>
                <w:szCs w:val="18"/>
              </w:rPr>
              <w:t>Reviewed and validated</w:t>
            </w:r>
          </w:p>
        </w:tc>
      </w:tr>
      <w:tr w:rsidR="0012496D" w:rsidRPr="007C01A2"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12496D" w:rsidRPr="007C01A2" w:rsidRDefault="0012496D" w:rsidP="009418C5">
            <w:pPr>
              <w:rPr>
                <w:rFonts w:ascii="Century Gothic" w:hAnsi="Century Gothic"/>
                <w:sz w:val="18"/>
                <w:szCs w:val="18"/>
              </w:rPr>
            </w:pPr>
            <w:r w:rsidRPr="007C01A2">
              <w:rPr>
                <w:rFonts w:ascii="Century Gothic" w:hAnsi="Century Gothic" w:cs="Arial"/>
                <w:color w:val="000000"/>
                <w:sz w:val="18"/>
                <w:szCs w:val="18"/>
              </w:rPr>
              <w:t>Reviewed and validated</w:t>
            </w:r>
          </w:p>
        </w:tc>
      </w:tr>
      <w:tr w:rsidR="0012496D" w:rsidRPr="007C01A2"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12496D">
            <w:pPr>
              <w:rPr>
                <w:rFonts w:ascii="Century Gothic" w:hAnsi="Century Gothic"/>
                <w:sz w:val="18"/>
                <w:szCs w:val="18"/>
              </w:rPr>
            </w:pPr>
            <w:r w:rsidRPr="007C01A2">
              <w:rPr>
                <w:rFonts w:ascii="Century Gothic" w:hAnsi="Century Gothic"/>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12496D" w:rsidRPr="007C01A2" w:rsidRDefault="0012496D" w:rsidP="009418C5">
            <w:pPr>
              <w:rPr>
                <w:rFonts w:ascii="Century Gothic" w:hAnsi="Century Gothic"/>
                <w:sz w:val="18"/>
                <w:szCs w:val="18"/>
              </w:rPr>
            </w:pPr>
            <w:r w:rsidRPr="007C01A2">
              <w:rPr>
                <w:rFonts w:ascii="Century Gothic" w:hAnsi="Century Gothic" w:cs="Arial"/>
                <w:sz w:val="18"/>
                <w:szCs w:val="18"/>
              </w:rPr>
              <w:t>Clarified wording and replaced all instances of Security Risk Management (SRM) with Global Security Services (GSS) to reflect new organization name</w:t>
            </w:r>
          </w:p>
        </w:tc>
      </w:tr>
      <w:tr w:rsidR="0012496D" w:rsidRPr="007C01A2"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2017 Update</w:t>
            </w:r>
          </w:p>
        </w:tc>
        <w:tc>
          <w:tcPr>
            <w:tcW w:w="2942" w:type="dxa"/>
            <w:tcBorders>
              <w:top w:val="single" w:sz="4" w:space="0" w:color="808080" w:themeColor="background1" w:themeShade="80"/>
              <w:bottom w:val="single" w:sz="4" w:space="0" w:color="808080" w:themeColor="background1" w:themeShade="80"/>
            </w:tcBorders>
          </w:tcPr>
          <w:p w:rsidR="0012496D" w:rsidRPr="007C01A2" w:rsidRDefault="0012496D" w:rsidP="009418C5">
            <w:pPr>
              <w:rPr>
                <w:rFonts w:ascii="Century Gothic" w:hAnsi="Century Gothic"/>
                <w:sz w:val="18"/>
                <w:szCs w:val="18"/>
              </w:rPr>
            </w:pPr>
            <w:r w:rsidRPr="007C01A2">
              <w:rPr>
                <w:rFonts w:ascii="Century Gothic" w:hAnsi="Century Gothic" w:cs="Arial"/>
                <w:sz w:val="18"/>
                <w:szCs w:val="18"/>
              </w:rPr>
              <w:t>Name change from Corporate Protection Services (CPS) to Global Protection Services (GPS)</w:t>
            </w:r>
          </w:p>
        </w:tc>
      </w:tr>
      <w:tr w:rsidR="0012496D" w:rsidRPr="007C01A2"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12496D" w:rsidRPr="007C01A2" w:rsidRDefault="0012496D" w:rsidP="009418C5">
            <w:pPr>
              <w:rPr>
                <w:rFonts w:ascii="Century Gothic" w:hAnsi="Century Gothic"/>
                <w:sz w:val="18"/>
                <w:szCs w:val="18"/>
              </w:rPr>
            </w:pPr>
            <w:r w:rsidRPr="007C01A2">
              <w:rPr>
                <w:rFonts w:ascii="Century Gothic" w:hAnsi="Century Gothic"/>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12496D" w:rsidRPr="007C01A2" w:rsidRDefault="0012496D" w:rsidP="009418C5">
            <w:pPr>
              <w:pStyle w:val="NormalDS"/>
              <w:rPr>
                <w:rFonts w:ascii="Century Gothic" w:hAnsi="Century Gothic"/>
                <w:sz w:val="18"/>
                <w:szCs w:val="18"/>
              </w:rPr>
            </w:pPr>
            <w:r w:rsidRPr="007C01A2">
              <w:rPr>
                <w:rFonts w:ascii="Century Gothic" w:hAnsi="Century Gothic"/>
                <w:sz w:val="18"/>
                <w:szCs w:val="18"/>
              </w:rPr>
              <w:t>Rebranded policy due to Aon Hewitt divestiture</w:t>
            </w:r>
          </w:p>
        </w:tc>
      </w:tr>
      <w:tr w:rsidR="0012496D" w:rsidRPr="007C01A2" w:rsidTr="009418C5">
        <w:trPr>
          <w:cantSplit/>
        </w:trPr>
        <w:tc>
          <w:tcPr>
            <w:tcW w:w="1646" w:type="dxa"/>
            <w:tcBorders>
              <w:top w:val="single" w:sz="4" w:space="0" w:color="808080" w:themeColor="background1" w:themeShade="80"/>
              <w:bottom w:val="nil"/>
            </w:tcBorders>
            <w:shd w:val="clear" w:color="auto" w:fill="auto"/>
          </w:tcPr>
          <w:p w:rsidR="0012496D" w:rsidRPr="007C01A2" w:rsidRDefault="0012496D" w:rsidP="009418C5">
            <w:pPr>
              <w:pStyle w:val="TableCopy"/>
              <w:rPr>
                <w:rFonts w:ascii="Century Gothic" w:hAnsi="Century Gothic"/>
              </w:rPr>
            </w:pPr>
          </w:p>
        </w:tc>
        <w:tc>
          <w:tcPr>
            <w:tcW w:w="1441" w:type="dxa"/>
            <w:tcBorders>
              <w:top w:val="single" w:sz="4" w:space="0" w:color="808080" w:themeColor="background1" w:themeShade="80"/>
              <w:bottom w:val="nil"/>
            </w:tcBorders>
            <w:shd w:val="clear" w:color="auto" w:fill="auto"/>
          </w:tcPr>
          <w:p w:rsidR="0012496D" w:rsidRPr="007C01A2" w:rsidRDefault="0012496D" w:rsidP="009418C5">
            <w:pPr>
              <w:pStyle w:val="NormalDS"/>
              <w:rPr>
                <w:rFonts w:ascii="Century Gothic" w:hAnsi="Century Gothic"/>
              </w:rPr>
            </w:pPr>
          </w:p>
        </w:tc>
        <w:tc>
          <w:tcPr>
            <w:tcW w:w="1979" w:type="dxa"/>
            <w:tcBorders>
              <w:top w:val="single" w:sz="4" w:space="0" w:color="808080" w:themeColor="background1" w:themeShade="80"/>
              <w:bottom w:val="nil"/>
            </w:tcBorders>
            <w:shd w:val="clear" w:color="auto" w:fill="auto"/>
          </w:tcPr>
          <w:p w:rsidR="0012496D" w:rsidRPr="007C01A2" w:rsidRDefault="0012496D" w:rsidP="009418C5">
            <w:pPr>
              <w:pStyle w:val="TableCopy"/>
              <w:rPr>
                <w:rFonts w:ascii="Century Gothic" w:hAnsi="Century Gothic"/>
              </w:rPr>
            </w:pPr>
          </w:p>
        </w:tc>
        <w:tc>
          <w:tcPr>
            <w:tcW w:w="2942" w:type="dxa"/>
            <w:tcBorders>
              <w:top w:val="single" w:sz="4" w:space="0" w:color="808080" w:themeColor="background1" w:themeShade="80"/>
              <w:bottom w:val="nil"/>
            </w:tcBorders>
          </w:tcPr>
          <w:p w:rsidR="0012496D" w:rsidRPr="007C01A2" w:rsidRDefault="0012496D" w:rsidP="009418C5">
            <w:pPr>
              <w:pStyle w:val="TableCopy"/>
              <w:rPr>
                <w:rFonts w:ascii="Century Gothic" w:hAnsi="Century Gothic"/>
              </w:rPr>
            </w:pPr>
          </w:p>
        </w:tc>
      </w:tr>
    </w:tbl>
    <w:p w:rsidR="0012496D" w:rsidRPr="007C01A2" w:rsidRDefault="0012496D" w:rsidP="005D6101">
      <w:pPr>
        <w:pStyle w:val="BodyText"/>
        <w:ind w:left="0"/>
        <w:rPr>
          <w:rFonts w:ascii="Century Gothic" w:hAnsi="Century Gothic" w:cs="Arial"/>
        </w:rPr>
      </w:pPr>
    </w:p>
    <w:sectPr w:rsidR="0012496D" w:rsidRPr="007C01A2" w:rsidSect="00075357">
      <w:footerReference w:type="default" r:id="rId15"/>
      <w:footerReference w:type="first" r:id="rId16"/>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3A3" w:rsidRDefault="007523A3" w:rsidP="005B402B">
      <w:r>
        <w:separator/>
      </w:r>
    </w:p>
  </w:endnote>
  <w:endnote w:type="continuationSeparator" w:id="0">
    <w:p w:rsidR="007523A3" w:rsidRDefault="007523A3"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Nyala"/>
    <w:panose1 w:val="00000000000000000000"/>
    <w:charset w:val="00"/>
    <w:family w:val="roman"/>
    <w:notTrueType/>
    <w:pitch w:val="variable"/>
    <w:sig w:usb0="00000001" w:usb1="4000207A" w:usb2="00000000" w:usb3="00000000" w:csb0="00000093" w:csb1="00000000"/>
  </w:font>
  <w:font w:name="FS Thrive Elliot Heavy">
    <w:altName w:val="Nyala"/>
    <w:panose1 w:val="00000000000000000000"/>
    <w:charset w:val="00"/>
    <w:family w:val="roman"/>
    <w:notTrueType/>
    <w:pitch w:val="variable"/>
    <w:sig w:usb0="00000001"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Pr="007C01A2" w:rsidRDefault="003B4445" w:rsidP="003B4445">
    <w:pPr>
      <w:pStyle w:val="Footer"/>
      <w:tabs>
        <w:tab w:val="clear" w:pos="4680"/>
      </w:tabs>
      <w:rPr>
        <w:rFonts w:ascii="Century Gothic" w:hAnsi="Century Gothic"/>
      </w:rPr>
    </w:pPr>
    <w:r w:rsidRPr="007C01A2">
      <w:rPr>
        <w:rFonts w:ascii="Century Gothic" w:hAnsi="Century Gothic"/>
      </w:rPr>
      <w:br/>
    </w:r>
    <w:r w:rsidR="0012496D" w:rsidRPr="007C01A2">
      <w:rPr>
        <w:rFonts w:ascii="Century Gothic" w:hAnsi="Century Gothic"/>
      </w:rPr>
      <w:t xml:space="preserve">302.00 </w:t>
    </w:r>
    <w:r w:rsidR="00A96347" w:rsidRPr="007C01A2">
      <w:rPr>
        <w:rFonts w:ascii="Century Gothic" w:hAnsi="Century Gothic"/>
      </w:rPr>
      <w:t xml:space="preserve">Global Protection Services Investigations </w:t>
    </w:r>
    <w:r w:rsidR="009A1695" w:rsidRPr="007C01A2">
      <w:rPr>
        <w:rFonts w:ascii="Century Gothic" w:hAnsi="Century Gothic"/>
      </w:rPr>
      <w:t>Policy</w:t>
    </w:r>
    <w:r w:rsidRPr="007C01A2">
      <w:rPr>
        <w:rFonts w:ascii="Century Gothic" w:hAnsi="Century Gothic"/>
      </w:rPr>
      <w:tab/>
    </w:r>
    <w:r w:rsidRPr="007C01A2">
      <w:rPr>
        <w:rFonts w:ascii="Century Gothic" w:hAnsi="Century Gothic"/>
      </w:rPr>
      <w:fldChar w:fldCharType="begin"/>
    </w:r>
    <w:r w:rsidRPr="007C01A2">
      <w:rPr>
        <w:rFonts w:ascii="Century Gothic" w:hAnsi="Century Gothic"/>
      </w:rPr>
      <w:instrText xml:space="preserve"> PAGE   \* MERGEFORMAT </w:instrText>
    </w:r>
    <w:r w:rsidRPr="007C01A2">
      <w:rPr>
        <w:rFonts w:ascii="Century Gothic" w:hAnsi="Century Gothic"/>
      </w:rPr>
      <w:fldChar w:fldCharType="separate"/>
    </w:r>
    <w:r w:rsidR="007C01A2">
      <w:rPr>
        <w:rFonts w:ascii="Century Gothic" w:hAnsi="Century Gothic"/>
        <w:noProof/>
      </w:rPr>
      <w:t>3</w:t>
    </w:r>
    <w:r w:rsidRPr="007C01A2">
      <w:rPr>
        <w:rFonts w:ascii="Century Gothic" w:hAnsi="Century Gothic"/>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597BDFC9" wp14:editId="0044FA24">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3A3" w:rsidRDefault="007523A3" w:rsidP="005B402B">
      <w:r>
        <w:separator/>
      </w:r>
    </w:p>
  </w:footnote>
  <w:footnote w:type="continuationSeparator" w:id="0">
    <w:p w:rsidR="007523A3" w:rsidRDefault="007523A3"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7777036"/>
    <w:multiLevelType w:val="multilevel"/>
    <w:tmpl w:val="25A6B83C"/>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59174EC"/>
    <w:multiLevelType w:val="multilevel"/>
    <w:tmpl w:val="95741CF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4AC81173"/>
    <w:multiLevelType w:val="multilevel"/>
    <w:tmpl w:val="B3C4D8B2"/>
    <w:numStyleLink w:val="AonList"/>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9"/>
  </w:num>
  <w:num w:numId="3">
    <w:abstractNumId w:val="6"/>
  </w:num>
  <w:num w:numId="4">
    <w:abstractNumId w:val="10"/>
  </w:num>
  <w:num w:numId="5">
    <w:abstractNumId w:val="11"/>
  </w:num>
  <w:num w:numId="6">
    <w:abstractNumId w:val="5"/>
  </w:num>
  <w:num w:numId="7">
    <w:abstractNumId w:val="0"/>
  </w:num>
  <w:num w:numId="8">
    <w:abstractNumId w:val="8"/>
  </w:num>
  <w:num w:numId="9">
    <w:abstractNumId w:val="7"/>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2496D"/>
    <w:rsid w:val="00130EFA"/>
    <w:rsid w:val="00132EAB"/>
    <w:rsid w:val="00133EB8"/>
    <w:rsid w:val="00161C38"/>
    <w:rsid w:val="00193FB9"/>
    <w:rsid w:val="001D01D4"/>
    <w:rsid w:val="00207AC9"/>
    <w:rsid w:val="00230498"/>
    <w:rsid w:val="00234A8F"/>
    <w:rsid w:val="00243AAD"/>
    <w:rsid w:val="0026509A"/>
    <w:rsid w:val="00274338"/>
    <w:rsid w:val="002757BF"/>
    <w:rsid w:val="002C43A9"/>
    <w:rsid w:val="003641B4"/>
    <w:rsid w:val="003B4445"/>
    <w:rsid w:val="003D11EF"/>
    <w:rsid w:val="004A6699"/>
    <w:rsid w:val="004C19C5"/>
    <w:rsid w:val="004F6723"/>
    <w:rsid w:val="00572B9B"/>
    <w:rsid w:val="0058699E"/>
    <w:rsid w:val="00596FE5"/>
    <w:rsid w:val="005B402B"/>
    <w:rsid w:val="005D6101"/>
    <w:rsid w:val="00631213"/>
    <w:rsid w:val="0064411E"/>
    <w:rsid w:val="00657BDB"/>
    <w:rsid w:val="00666F6C"/>
    <w:rsid w:val="006F2AD3"/>
    <w:rsid w:val="0074779E"/>
    <w:rsid w:val="007523A3"/>
    <w:rsid w:val="007B6C0D"/>
    <w:rsid w:val="007B77A9"/>
    <w:rsid w:val="007C01A2"/>
    <w:rsid w:val="00877C5D"/>
    <w:rsid w:val="008F152A"/>
    <w:rsid w:val="009349C9"/>
    <w:rsid w:val="00942648"/>
    <w:rsid w:val="009837F6"/>
    <w:rsid w:val="009A1695"/>
    <w:rsid w:val="009A3A28"/>
    <w:rsid w:val="009A768C"/>
    <w:rsid w:val="009C15C5"/>
    <w:rsid w:val="009F7CF9"/>
    <w:rsid w:val="00A667E0"/>
    <w:rsid w:val="00A855D2"/>
    <w:rsid w:val="00A96347"/>
    <w:rsid w:val="00B10E01"/>
    <w:rsid w:val="00B33A2C"/>
    <w:rsid w:val="00B606E6"/>
    <w:rsid w:val="00B71DB5"/>
    <w:rsid w:val="00C16A23"/>
    <w:rsid w:val="00C57EE1"/>
    <w:rsid w:val="00D33649"/>
    <w:rsid w:val="00D563B0"/>
    <w:rsid w:val="00D5712B"/>
    <w:rsid w:val="00D80981"/>
    <w:rsid w:val="00D81842"/>
    <w:rsid w:val="00D94A05"/>
    <w:rsid w:val="00DF3ECD"/>
    <w:rsid w:val="00E147BB"/>
    <w:rsid w:val="00E2146F"/>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lobal.security.services@aon.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global.security.services@ao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global.security.services@aon.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ED687-560B-4E1C-B871-4758376908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6CC3A7-B335-4F64-AB03-B678575E607C}">
  <ds:schemaRefs>
    <ds:schemaRef ds:uri="http://schemas.microsoft.com/sharepoint/v3/contenttype/forms"/>
  </ds:schemaRefs>
</ds:datastoreItem>
</file>

<file path=customXml/itemProps3.xml><?xml version="1.0" encoding="utf-8"?>
<ds:datastoreItem xmlns:ds="http://schemas.openxmlformats.org/officeDocument/2006/customXml" ds:itemID="{C38555C7-9698-40BF-BAD3-90AF2230B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BAC179-E7BD-4571-8E12-0C05B11C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Austin Songer</cp:lastModifiedBy>
  <cp:revision>4</cp:revision>
  <dcterms:created xsi:type="dcterms:W3CDTF">2017-07-15T02:48:00Z</dcterms:created>
  <dcterms:modified xsi:type="dcterms:W3CDTF">2018-04-20T16:48:00Z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