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B79" w:rsidRPr="006A7FA9" w:rsidRDefault="00657B79" w:rsidP="00657B79">
      <w:pPr>
        <w:pStyle w:val="Heading1"/>
        <w:tabs>
          <w:tab w:val="right" w:pos="9360"/>
        </w:tabs>
      </w:pPr>
      <w:bookmarkStart w:id="0" w:name="_Toc289842747"/>
      <w:bookmarkStart w:id="1" w:name="_Toc301517818"/>
      <w:bookmarkStart w:id="2" w:name="_Toc304735574"/>
      <w:bookmarkStart w:id="3" w:name="_Toc300653622"/>
      <w:r>
        <w:t>Logging and Monitoring Standard</w:t>
      </w:r>
      <w:bookmarkStart w:id="4" w:name="_GoBack"/>
      <w:bookmarkEnd w:id="4"/>
      <w:r>
        <w:tab/>
      </w:r>
    </w:p>
    <w:p w:rsidR="00657B79" w:rsidRDefault="00657B79" w:rsidP="00657B79">
      <w:pPr>
        <w:pStyle w:val="Heading2"/>
      </w:pPr>
      <w:r>
        <w:t xml:space="preserve">Related </w:t>
      </w:r>
      <w:r w:rsidRPr="002311A6">
        <w:t>P</w:t>
      </w:r>
      <w:r>
        <w:t>olicy</w:t>
      </w:r>
    </w:p>
    <w:p w:rsidR="00657B79" w:rsidRDefault="00657B79" w:rsidP="00657B79">
      <w:pPr>
        <w:pStyle w:val="NormalDS"/>
        <w:numPr>
          <w:ilvl w:val="0"/>
          <w:numId w:val="14"/>
        </w:numPr>
      </w:pPr>
      <w:bookmarkStart w:id="5" w:name="_Toc158805971"/>
      <w:bookmarkStart w:id="6" w:name="_Toc289842748"/>
      <w:bookmarkEnd w:id="0"/>
      <w:bookmarkEnd w:id="1"/>
      <w:bookmarkEnd w:id="2"/>
      <w:r>
        <w:t>201.00 Asset and Data Protection Policy</w:t>
      </w:r>
      <w:bookmarkStart w:id="7" w:name="_Toc304735578"/>
      <w:bookmarkEnd w:id="5"/>
      <w:bookmarkEnd w:id="6"/>
    </w:p>
    <w:p w:rsidR="00657B79" w:rsidRPr="001325AE" w:rsidRDefault="00657B79" w:rsidP="00657B79">
      <w:pPr>
        <w:pStyle w:val="Heading2"/>
      </w:pPr>
      <w:r w:rsidRPr="001325AE">
        <w:t>Purpose</w:t>
      </w:r>
    </w:p>
    <w:p w:rsidR="00657B79" w:rsidRPr="00B76C96" w:rsidRDefault="00657B79" w:rsidP="00657B79">
      <w:pPr>
        <w:pStyle w:val="NormalDS"/>
      </w:pPr>
      <w:r w:rsidRPr="00B76C96">
        <w:t xml:space="preserve">The purpose of the Logging and Monitoring Standard is to build on the principles established in the Asset and Data Protection Policy and provides requirements for logging, monitoring and reporting activities for </w:t>
      </w:r>
      <w:proofErr w:type="gramStart"/>
      <w:r>
        <w:t>Alight</w:t>
      </w:r>
      <w:proofErr w:type="gramEnd"/>
      <w:r w:rsidRPr="00B76C96">
        <w:t xml:space="preserve"> systems.</w:t>
      </w:r>
    </w:p>
    <w:p w:rsidR="00657B79" w:rsidRPr="00110062" w:rsidRDefault="00657B79" w:rsidP="00657B79">
      <w:pPr>
        <w:pStyle w:val="Heading2"/>
        <w:rPr>
          <w:rStyle w:val="Heading1Char"/>
        </w:rPr>
      </w:pPr>
      <w:r w:rsidRPr="00110062">
        <w:rPr>
          <w:rStyle w:val="Heading1Char"/>
        </w:rPr>
        <w:t>Standard Statements</w:t>
      </w:r>
      <w:bookmarkStart w:id="8" w:name="_Hlt103157950"/>
      <w:bookmarkStart w:id="9" w:name="_Toc300653623"/>
      <w:bookmarkEnd w:id="3"/>
      <w:bookmarkEnd w:id="7"/>
      <w:bookmarkEnd w:id="8"/>
    </w:p>
    <w:p w:rsidR="00657B79" w:rsidRPr="0045665A" w:rsidRDefault="00657B79" w:rsidP="00657B79">
      <w:pPr>
        <w:pStyle w:val="Heading3"/>
        <w:numPr>
          <w:ilvl w:val="0"/>
          <w:numId w:val="9"/>
        </w:numPr>
        <w:spacing w:before="0"/>
        <w:ind w:left="540" w:hanging="540"/>
        <w:jc w:val="both"/>
        <w:rPr>
          <w:rFonts w:cs="Arial"/>
        </w:rPr>
      </w:pPr>
      <w:bookmarkStart w:id="10" w:name="_Toc302726866"/>
      <w:bookmarkStart w:id="11" w:name="_Toc304732752"/>
      <w:bookmarkStart w:id="12" w:name="_Ref103999072"/>
      <w:bookmarkStart w:id="13" w:name="_Toc144115735"/>
      <w:bookmarkStart w:id="14" w:name="_Toc171751785"/>
      <w:bookmarkStart w:id="15" w:name="_Toc171752823"/>
      <w:bookmarkStart w:id="16" w:name="_Toc171752857"/>
      <w:bookmarkStart w:id="17" w:name="_Toc171753297"/>
      <w:bookmarkStart w:id="18" w:name="_Toc210180813"/>
      <w:bookmarkStart w:id="19" w:name="_Toc289842761"/>
      <w:bookmarkStart w:id="20" w:name="_Toc158805972"/>
      <w:bookmarkStart w:id="21" w:name="_Toc289842767"/>
      <w:bookmarkStart w:id="22" w:name="_Toc301517836"/>
      <w:bookmarkStart w:id="23" w:name="_Toc304735590"/>
      <w:bookmarkEnd w:id="9"/>
      <w:r w:rsidRPr="0045665A">
        <w:rPr>
          <w:rFonts w:cs="Arial"/>
        </w:rPr>
        <w:t>Event Capture</w:t>
      </w:r>
      <w:bookmarkEnd w:id="10"/>
      <w:bookmarkEnd w:id="11"/>
    </w:p>
    <w:p w:rsidR="00657B79" w:rsidRPr="00332490" w:rsidRDefault="00657B79" w:rsidP="00657B79">
      <w:pPr>
        <w:pStyle w:val="NormalDS"/>
        <w:numPr>
          <w:ilvl w:val="1"/>
          <w:numId w:val="9"/>
        </w:numPr>
      </w:pPr>
      <w:r w:rsidRPr="00332490">
        <w:t>In reference to the data classification model where applicable and available, business critical systems, applications, and infrastructure must generate reliable logs of events that pertain to:</w:t>
      </w:r>
    </w:p>
    <w:p w:rsidR="00657B79" w:rsidRPr="00332490" w:rsidRDefault="00657B79" w:rsidP="00657B79">
      <w:pPr>
        <w:pStyle w:val="NormalDS"/>
        <w:numPr>
          <w:ilvl w:val="2"/>
          <w:numId w:val="9"/>
        </w:numPr>
        <w:ind w:left="1224"/>
      </w:pPr>
      <w:r w:rsidRPr="00332490">
        <w:t xml:space="preserve">Failed access attempts, modification, or deletion of </w:t>
      </w:r>
      <w:r>
        <w:t>Highly Confidential</w:t>
      </w:r>
      <w:r w:rsidRPr="00332490">
        <w:t xml:space="preserve"> or </w:t>
      </w:r>
      <w:r>
        <w:t>Confidential</w:t>
      </w:r>
      <w:r w:rsidRPr="00332490">
        <w:t xml:space="preserve"> data</w:t>
      </w:r>
      <w:r>
        <w:t>.</w:t>
      </w:r>
      <w:r w:rsidRPr="00332490">
        <w:t xml:space="preserve"> </w:t>
      </w:r>
    </w:p>
    <w:p w:rsidR="00657B79" w:rsidRPr="00332490" w:rsidRDefault="00657B79" w:rsidP="00657B79">
      <w:pPr>
        <w:pStyle w:val="NormalDS"/>
        <w:numPr>
          <w:ilvl w:val="2"/>
          <w:numId w:val="9"/>
        </w:numPr>
        <w:ind w:left="1224"/>
      </w:pPr>
      <w:r w:rsidRPr="00332490">
        <w:t xml:space="preserve">Attempted change or elevation of system privilege (e.g., use of SU or </w:t>
      </w:r>
      <w:proofErr w:type="spellStart"/>
      <w:r w:rsidRPr="00332490">
        <w:t>sudo</w:t>
      </w:r>
      <w:proofErr w:type="spellEnd"/>
      <w:r w:rsidRPr="00332490">
        <w:t xml:space="preserve"> in UNIX, administrative IDs in Windows or Notes, etc.)</w:t>
      </w:r>
      <w:r>
        <w:t>.</w:t>
      </w:r>
    </w:p>
    <w:p w:rsidR="00657B79" w:rsidRPr="00332490" w:rsidRDefault="00657B79" w:rsidP="00657B79">
      <w:pPr>
        <w:pStyle w:val="NormalDS"/>
        <w:numPr>
          <w:ilvl w:val="2"/>
          <w:numId w:val="9"/>
        </w:numPr>
        <w:ind w:left="1224"/>
      </w:pPr>
      <w:r w:rsidRPr="00332490">
        <w:t>Attempted violation of system security rules (e.g., firewall ACL, brute-force password hacking attempts, etc.)</w:t>
      </w:r>
      <w:r>
        <w:t>.</w:t>
      </w:r>
    </w:p>
    <w:p w:rsidR="00657B79" w:rsidRPr="00332490" w:rsidRDefault="00657B79" w:rsidP="00657B79">
      <w:pPr>
        <w:pStyle w:val="NormalDS"/>
        <w:numPr>
          <w:ilvl w:val="2"/>
          <w:numId w:val="9"/>
        </w:numPr>
        <w:ind w:left="1224"/>
      </w:pPr>
      <w:r w:rsidRPr="00332490">
        <w:t>Access to logs</w:t>
      </w:r>
      <w:r>
        <w:t>.</w:t>
      </w:r>
    </w:p>
    <w:p w:rsidR="00657B79" w:rsidRPr="00332490" w:rsidRDefault="00657B79" w:rsidP="00657B79">
      <w:pPr>
        <w:pStyle w:val="NormalDS"/>
        <w:numPr>
          <w:ilvl w:val="2"/>
          <w:numId w:val="9"/>
        </w:numPr>
        <w:ind w:left="1224"/>
      </w:pPr>
      <w:r w:rsidRPr="00332490">
        <w:t>Initialization and de-activation of the logs</w:t>
      </w:r>
      <w:r>
        <w:t>.</w:t>
      </w:r>
    </w:p>
    <w:p w:rsidR="00657B79" w:rsidRPr="00332490" w:rsidRDefault="00657B79" w:rsidP="00657B79">
      <w:pPr>
        <w:pStyle w:val="NormalDS"/>
        <w:numPr>
          <w:ilvl w:val="2"/>
          <w:numId w:val="9"/>
        </w:numPr>
        <w:ind w:left="1224"/>
      </w:pPr>
      <w:r w:rsidRPr="00332490">
        <w:t>Activation/deactivation of network or host-based protection systems, such as anti-virus software and intrusion detection systems</w:t>
      </w:r>
      <w:r>
        <w:t>.</w:t>
      </w:r>
    </w:p>
    <w:p w:rsidR="00657B79" w:rsidRPr="00332490" w:rsidRDefault="00657B79" w:rsidP="00657B79">
      <w:pPr>
        <w:pStyle w:val="NormalDS"/>
        <w:numPr>
          <w:ilvl w:val="2"/>
          <w:numId w:val="9"/>
        </w:numPr>
        <w:ind w:left="1224"/>
      </w:pPr>
      <w:r w:rsidRPr="00332490">
        <w:t xml:space="preserve">Attempted change or reconfiguration of system behavior, including but not limited to: </w:t>
      </w:r>
    </w:p>
    <w:p w:rsidR="00657B79" w:rsidRPr="00332490" w:rsidRDefault="00657B79" w:rsidP="00657B79">
      <w:pPr>
        <w:pStyle w:val="NormalDS"/>
        <w:numPr>
          <w:ilvl w:val="3"/>
          <w:numId w:val="9"/>
        </w:numPr>
      </w:pPr>
      <w:r w:rsidRPr="00332490">
        <w:t>Network access control lists</w:t>
      </w:r>
      <w:r>
        <w:t>.</w:t>
      </w:r>
    </w:p>
    <w:p w:rsidR="00657B79" w:rsidRPr="00332490" w:rsidRDefault="00657B79" w:rsidP="00657B79">
      <w:pPr>
        <w:pStyle w:val="NormalDS"/>
        <w:numPr>
          <w:ilvl w:val="3"/>
          <w:numId w:val="9"/>
        </w:numPr>
      </w:pPr>
      <w:r w:rsidRPr="00332490">
        <w:t>Critical system configuration files (Windows registry, UNIX operating system, and Application configurations, etc.)</w:t>
      </w:r>
      <w:r>
        <w:t>.</w:t>
      </w:r>
    </w:p>
    <w:p w:rsidR="00657B79" w:rsidRPr="00332490" w:rsidRDefault="00657B79" w:rsidP="00657B79">
      <w:pPr>
        <w:pStyle w:val="NormalDS"/>
        <w:numPr>
          <w:ilvl w:val="3"/>
          <w:numId w:val="9"/>
        </w:numPr>
      </w:pPr>
      <w:r w:rsidRPr="00332490">
        <w:t>Scheduled system tasks</w:t>
      </w:r>
      <w:r>
        <w:t>.</w:t>
      </w:r>
    </w:p>
    <w:p w:rsidR="00657B79" w:rsidRPr="00332490" w:rsidRDefault="00657B79" w:rsidP="00657B79">
      <w:pPr>
        <w:pStyle w:val="NormalDS"/>
        <w:numPr>
          <w:ilvl w:val="1"/>
          <w:numId w:val="9"/>
        </w:numPr>
      </w:pPr>
      <w:r w:rsidRPr="00332490">
        <w:lastRenderedPageBreak/>
        <w:t>Logs should contain, at minimum, the information required below:</w:t>
      </w:r>
    </w:p>
    <w:p w:rsidR="00657B79" w:rsidRPr="00332490" w:rsidRDefault="00657B79" w:rsidP="00657B79">
      <w:pPr>
        <w:pStyle w:val="NormalDS"/>
        <w:numPr>
          <w:ilvl w:val="2"/>
          <w:numId w:val="9"/>
        </w:numPr>
        <w:ind w:left="1224"/>
      </w:pPr>
      <w:r w:rsidRPr="00332490">
        <w:t>Username associated with request (where available)</w:t>
      </w:r>
      <w:r>
        <w:t>.</w:t>
      </w:r>
    </w:p>
    <w:p w:rsidR="00657B79" w:rsidRPr="00332490" w:rsidRDefault="00657B79" w:rsidP="00657B79">
      <w:pPr>
        <w:pStyle w:val="NormalDS"/>
        <w:numPr>
          <w:ilvl w:val="2"/>
          <w:numId w:val="9"/>
        </w:numPr>
        <w:ind w:left="1224"/>
      </w:pPr>
      <w:r w:rsidRPr="00332490">
        <w:t>Identity or name of affected data, system component, or resource</w:t>
      </w:r>
      <w:r>
        <w:t>.</w:t>
      </w:r>
    </w:p>
    <w:p w:rsidR="00657B79" w:rsidRPr="00332490" w:rsidRDefault="00657B79" w:rsidP="00657B79">
      <w:pPr>
        <w:pStyle w:val="NormalDS"/>
        <w:numPr>
          <w:ilvl w:val="2"/>
          <w:numId w:val="9"/>
        </w:numPr>
        <w:ind w:left="1224"/>
      </w:pPr>
      <w:r w:rsidRPr="00332490">
        <w:t>IP address of user (where available) action attempted (read/write/delete, network access attempt, etc.)</w:t>
      </w:r>
      <w:r>
        <w:t>.</w:t>
      </w:r>
    </w:p>
    <w:p w:rsidR="00657B79" w:rsidRPr="00332490" w:rsidRDefault="00657B79" w:rsidP="00657B79">
      <w:pPr>
        <w:pStyle w:val="NormalDS"/>
        <w:numPr>
          <w:ilvl w:val="2"/>
          <w:numId w:val="9"/>
        </w:numPr>
        <w:ind w:left="1224"/>
      </w:pPr>
      <w:r w:rsidRPr="00332490">
        <w:t>Success or failure indication</w:t>
      </w:r>
      <w:r>
        <w:t>.</w:t>
      </w:r>
    </w:p>
    <w:p w:rsidR="00657B79" w:rsidRPr="00332490" w:rsidRDefault="00657B79" w:rsidP="00657B79">
      <w:pPr>
        <w:pStyle w:val="NormalDS"/>
        <w:numPr>
          <w:ilvl w:val="2"/>
          <w:numId w:val="9"/>
        </w:numPr>
        <w:ind w:left="1224"/>
      </w:pPr>
      <w:r w:rsidRPr="00332490">
        <w:t>Resource being accessed (file, account, database row/column, URL, etc.)</w:t>
      </w:r>
      <w:r>
        <w:t>.</w:t>
      </w:r>
    </w:p>
    <w:p w:rsidR="00657B79" w:rsidRPr="00332490" w:rsidRDefault="00657B79" w:rsidP="00657B79">
      <w:pPr>
        <w:pStyle w:val="NormalDS"/>
        <w:numPr>
          <w:ilvl w:val="2"/>
          <w:numId w:val="9"/>
        </w:numPr>
        <w:ind w:left="1224"/>
      </w:pPr>
      <w:r w:rsidRPr="00332490">
        <w:t>Timestamp (synchronized against a reliable, NTP-managed clock)</w:t>
      </w:r>
      <w:r>
        <w:t>.</w:t>
      </w:r>
    </w:p>
    <w:p w:rsidR="00657B79" w:rsidRPr="00332490" w:rsidRDefault="00657B79" w:rsidP="00657B79">
      <w:pPr>
        <w:pStyle w:val="NormalDS"/>
        <w:numPr>
          <w:ilvl w:val="2"/>
          <w:numId w:val="9"/>
        </w:numPr>
        <w:ind w:left="1224"/>
      </w:pPr>
      <w:r w:rsidRPr="00332490">
        <w:t>Resultant action taken by system (block/allow/log/etc.)</w:t>
      </w:r>
      <w:r>
        <w:t>.</w:t>
      </w:r>
    </w:p>
    <w:p w:rsidR="00657B79" w:rsidRPr="00332490" w:rsidRDefault="00657B79" w:rsidP="00657B79">
      <w:pPr>
        <w:pStyle w:val="NormalDS"/>
        <w:numPr>
          <w:ilvl w:val="1"/>
          <w:numId w:val="9"/>
        </w:numPr>
      </w:pPr>
      <w:r w:rsidRPr="00332490">
        <w:t xml:space="preserve">Event logging must not be deactivated or modified. </w:t>
      </w:r>
    </w:p>
    <w:p w:rsidR="00657B79" w:rsidRPr="00332490" w:rsidRDefault="00657B79" w:rsidP="00657B79">
      <w:pPr>
        <w:pStyle w:val="NormalDS"/>
        <w:numPr>
          <w:ilvl w:val="1"/>
          <w:numId w:val="9"/>
        </w:numPr>
      </w:pPr>
      <w:r w:rsidRPr="00332490">
        <w:t xml:space="preserve">Where applicable, logs for external facing technologies must be logged to a log server located on the </w:t>
      </w:r>
      <w:proofErr w:type="gramStart"/>
      <w:r>
        <w:t>Alight</w:t>
      </w:r>
      <w:proofErr w:type="gramEnd"/>
      <w:r w:rsidRPr="00332490">
        <w:t xml:space="preserve"> internal network.</w:t>
      </w:r>
    </w:p>
    <w:p w:rsidR="00657B79" w:rsidRPr="0045665A" w:rsidRDefault="00657B79" w:rsidP="00657B79">
      <w:pPr>
        <w:pStyle w:val="Heading3"/>
        <w:numPr>
          <w:ilvl w:val="0"/>
          <w:numId w:val="9"/>
        </w:numPr>
        <w:spacing w:before="0"/>
        <w:ind w:left="540" w:hanging="540"/>
        <w:jc w:val="both"/>
        <w:rPr>
          <w:rFonts w:cs="Arial"/>
        </w:rPr>
      </w:pPr>
      <w:bookmarkStart w:id="24" w:name="_Toc302726867"/>
      <w:bookmarkStart w:id="25" w:name="_Toc304732753"/>
      <w:r w:rsidRPr="0045665A">
        <w:rPr>
          <w:rFonts w:cs="Arial"/>
        </w:rPr>
        <w:t>Review &amp; Retention</w:t>
      </w:r>
      <w:bookmarkEnd w:id="24"/>
      <w:bookmarkEnd w:id="25"/>
    </w:p>
    <w:p w:rsidR="00657B79" w:rsidRPr="00332490" w:rsidRDefault="00657B79" w:rsidP="00657B79">
      <w:pPr>
        <w:pStyle w:val="NormalDS"/>
        <w:numPr>
          <w:ilvl w:val="1"/>
          <w:numId w:val="9"/>
        </w:numPr>
      </w:pPr>
      <w:r w:rsidRPr="00332490">
        <w:t xml:space="preserve">Logs must be reviewed regularly based on the criticality table in </w:t>
      </w:r>
      <w:hyperlink w:anchor="_Appendix_I_–" w:history="1">
        <w:r w:rsidRPr="00063CA3">
          <w:rPr>
            <w:rStyle w:val="Hyperlink"/>
            <w:rFonts w:ascii="Arial" w:hAnsi="Arial" w:cs="Arial"/>
          </w:rPr>
          <w:t>Appendix I</w:t>
        </w:r>
      </w:hyperlink>
      <w:r w:rsidRPr="00332490">
        <w:t xml:space="preserve"> for anomalies.</w:t>
      </w:r>
    </w:p>
    <w:p w:rsidR="00657B79" w:rsidRPr="00332490" w:rsidRDefault="00657B79" w:rsidP="00657B79">
      <w:pPr>
        <w:pStyle w:val="NormalDS"/>
        <w:numPr>
          <w:ilvl w:val="1"/>
          <w:numId w:val="9"/>
        </w:numPr>
      </w:pPr>
      <w:r w:rsidRPr="00332490">
        <w:t xml:space="preserve">Logs must be retained based on the criticality table in </w:t>
      </w:r>
      <w:hyperlink w:anchor="_Appendix_I_–" w:history="1">
        <w:r w:rsidRPr="00063CA3">
          <w:rPr>
            <w:rStyle w:val="Hyperlink"/>
            <w:rFonts w:ascii="Arial" w:hAnsi="Arial" w:cs="Arial"/>
          </w:rPr>
          <w:t>Appendix I</w:t>
        </w:r>
      </w:hyperlink>
      <w:r w:rsidRPr="00332490">
        <w:t>.</w:t>
      </w:r>
    </w:p>
    <w:p w:rsidR="00657B79" w:rsidRPr="00332490" w:rsidRDefault="00657B79" w:rsidP="00657B79">
      <w:pPr>
        <w:pStyle w:val="NormalDS"/>
        <w:numPr>
          <w:ilvl w:val="1"/>
          <w:numId w:val="9"/>
        </w:numPr>
      </w:pPr>
      <w:r w:rsidRPr="00332490">
        <w:t>Internal request for log files</w:t>
      </w:r>
    </w:p>
    <w:p w:rsidR="00657B79" w:rsidRPr="00332490" w:rsidRDefault="00657B79" w:rsidP="00657B79">
      <w:pPr>
        <w:pStyle w:val="NormalDS"/>
        <w:numPr>
          <w:ilvl w:val="2"/>
          <w:numId w:val="9"/>
        </w:numPr>
        <w:ind w:left="1224"/>
      </w:pPr>
      <w:r w:rsidRPr="00332490">
        <w:t>Log files will be provided to an authorized authority by approval of the system owner.</w:t>
      </w:r>
    </w:p>
    <w:p w:rsidR="00657B79" w:rsidRPr="00332490" w:rsidRDefault="00657B79" w:rsidP="00657B79">
      <w:pPr>
        <w:pStyle w:val="NormalDS"/>
        <w:numPr>
          <w:ilvl w:val="1"/>
          <w:numId w:val="9"/>
        </w:numPr>
      </w:pPr>
      <w:r w:rsidRPr="00332490">
        <w:t xml:space="preserve">External request for log files </w:t>
      </w:r>
    </w:p>
    <w:p w:rsidR="00657B79" w:rsidRPr="00332490" w:rsidRDefault="00657B79" w:rsidP="00657B79">
      <w:pPr>
        <w:pStyle w:val="NormalDS"/>
        <w:numPr>
          <w:ilvl w:val="2"/>
          <w:numId w:val="9"/>
        </w:numPr>
        <w:ind w:left="1224"/>
      </w:pPr>
      <w:r w:rsidRPr="00332490">
        <w:t xml:space="preserve">Log files will be provided to an authorized authority by approval of the system owner, </w:t>
      </w:r>
      <w:r>
        <w:t>Information Risk &amp; Security Services</w:t>
      </w:r>
      <w:r w:rsidRPr="00332490">
        <w:t>, and the Legal Department.</w:t>
      </w:r>
    </w:p>
    <w:p w:rsidR="00657B79" w:rsidRPr="00332490" w:rsidRDefault="00657B79" w:rsidP="00657B79">
      <w:pPr>
        <w:pStyle w:val="NormalDS"/>
        <w:numPr>
          <w:ilvl w:val="1"/>
          <w:numId w:val="9"/>
        </w:numPr>
      </w:pPr>
      <w:r w:rsidRPr="00332490">
        <w:t xml:space="preserve">Automated tools or services should be utilized to facilitate the review of logs. </w:t>
      </w:r>
    </w:p>
    <w:p w:rsidR="00657B79" w:rsidRPr="00332490" w:rsidRDefault="00657B79" w:rsidP="00657B79">
      <w:pPr>
        <w:pStyle w:val="NormalDS"/>
        <w:numPr>
          <w:ilvl w:val="1"/>
          <w:numId w:val="9"/>
        </w:numPr>
      </w:pPr>
      <w:r w:rsidRPr="00332490">
        <w:t xml:space="preserve">System owners must ensure there is an appropriate means to generate, monitor, and alert on system, network, and application events log, based on the table in </w:t>
      </w:r>
      <w:hyperlink w:anchor="_Appendix_I_–" w:history="1">
        <w:r w:rsidRPr="003F5757">
          <w:rPr>
            <w:rStyle w:val="Hyperlink"/>
            <w:rFonts w:ascii="Arial" w:hAnsi="Arial" w:cs="Arial"/>
          </w:rPr>
          <w:t>Appendix</w:t>
        </w:r>
      </w:hyperlink>
      <w:r w:rsidRPr="00B1486F">
        <w:rPr>
          <w:rStyle w:val="Hyperlink"/>
          <w:rFonts w:ascii="Arial" w:hAnsi="Arial" w:cs="Arial"/>
        </w:rPr>
        <w:t>.</w:t>
      </w:r>
    </w:p>
    <w:p w:rsidR="00657B79" w:rsidRPr="0045665A" w:rsidRDefault="00657B79" w:rsidP="00657B79">
      <w:pPr>
        <w:pStyle w:val="Heading3"/>
        <w:numPr>
          <w:ilvl w:val="0"/>
          <w:numId w:val="9"/>
        </w:numPr>
        <w:spacing w:before="0"/>
        <w:ind w:left="540" w:hanging="540"/>
        <w:jc w:val="both"/>
        <w:rPr>
          <w:rFonts w:cs="Arial"/>
        </w:rPr>
      </w:pPr>
      <w:bookmarkStart w:id="26" w:name="_Toc302726868"/>
      <w:bookmarkStart w:id="27" w:name="_Toc304732754"/>
      <w:r w:rsidRPr="0045665A">
        <w:rPr>
          <w:rFonts w:cs="Arial"/>
        </w:rPr>
        <w:t>Protection</w:t>
      </w:r>
      <w:bookmarkEnd w:id="26"/>
      <w:bookmarkEnd w:id="27"/>
    </w:p>
    <w:p w:rsidR="00657B79" w:rsidRPr="00332490" w:rsidRDefault="00657B79" w:rsidP="00657B79">
      <w:pPr>
        <w:pStyle w:val="NormalDS"/>
        <w:numPr>
          <w:ilvl w:val="1"/>
          <w:numId w:val="9"/>
        </w:numPr>
      </w:pPr>
      <w:r w:rsidRPr="00332490">
        <w:t xml:space="preserve">Audit logs and records must be protected to prevent deletion or alteration. </w:t>
      </w:r>
    </w:p>
    <w:p w:rsidR="00657B79" w:rsidRPr="00332490" w:rsidRDefault="00657B79" w:rsidP="00657B79">
      <w:pPr>
        <w:pStyle w:val="NormalDS"/>
        <w:numPr>
          <w:ilvl w:val="1"/>
          <w:numId w:val="9"/>
        </w:numPr>
      </w:pPr>
      <w:r w:rsidRPr="00332490">
        <w:t>Limit the viewing of audit logs and audit record files to only those colleagues with a business need.</w:t>
      </w:r>
    </w:p>
    <w:p w:rsidR="00657B79" w:rsidRPr="00332490" w:rsidRDefault="00657B79" w:rsidP="00657B79">
      <w:pPr>
        <w:pStyle w:val="NormalDS"/>
        <w:numPr>
          <w:ilvl w:val="1"/>
          <w:numId w:val="9"/>
        </w:numPr>
      </w:pPr>
      <w:r w:rsidRPr="00332490">
        <w:lastRenderedPageBreak/>
        <w:t xml:space="preserve">Access to the audit configuration settings must be restricted to privileged accounts. </w:t>
      </w:r>
    </w:p>
    <w:p w:rsidR="00657B79" w:rsidRPr="00332490" w:rsidRDefault="00657B79" w:rsidP="00657B79">
      <w:pPr>
        <w:pStyle w:val="NormalDS"/>
        <w:numPr>
          <w:ilvl w:val="1"/>
          <w:numId w:val="9"/>
        </w:numPr>
      </w:pPr>
      <w:r w:rsidRPr="00332490">
        <w:t xml:space="preserve">Logs must be stored on protected and hardened log servers wherever possible and applicable. </w:t>
      </w:r>
    </w:p>
    <w:p w:rsidR="00657B79" w:rsidRPr="0045665A" w:rsidRDefault="00657B79" w:rsidP="00657B79">
      <w:pPr>
        <w:pStyle w:val="Heading3"/>
        <w:numPr>
          <w:ilvl w:val="0"/>
          <w:numId w:val="9"/>
        </w:numPr>
        <w:spacing w:before="0"/>
        <w:ind w:left="540" w:hanging="540"/>
        <w:jc w:val="both"/>
        <w:rPr>
          <w:rFonts w:cs="Arial"/>
        </w:rPr>
      </w:pPr>
      <w:bookmarkStart w:id="28" w:name="_Toc302726869"/>
      <w:bookmarkStart w:id="29" w:name="_Toc304732755"/>
      <w:r w:rsidRPr="0045665A">
        <w:rPr>
          <w:rFonts w:cs="Arial"/>
        </w:rPr>
        <w:t>Time Synchronization</w:t>
      </w:r>
      <w:bookmarkEnd w:id="28"/>
      <w:bookmarkEnd w:id="29"/>
    </w:p>
    <w:p w:rsidR="00657B79" w:rsidRPr="00332490" w:rsidRDefault="00657B79" w:rsidP="00657B79">
      <w:pPr>
        <w:pStyle w:val="NormalDS"/>
        <w:numPr>
          <w:ilvl w:val="1"/>
          <w:numId w:val="9"/>
        </w:numPr>
      </w:pPr>
      <w:r w:rsidRPr="00332490">
        <w:t xml:space="preserve">All </w:t>
      </w:r>
      <w:r>
        <w:t>Alight</w:t>
      </w:r>
      <w:r w:rsidRPr="00332490">
        <w:t xml:space="preserve"> systems must have their system clocks synchronized to the appropriate corporate time standard e.g., ntp.aon.com or to the appropriate timeserver for the domain.</w:t>
      </w:r>
    </w:p>
    <w:p w:rsidR="00657B79" w:rsidRPr="00332490" w:rsidRDefault="00657B79" w:rsidP="00657B79">
      <w:pPr>
        <w:pStyle w:val="NormalDS"/>
        <w:numPr>
          <w:ilvl w:val="1"/>
          <w:numId w:val="9"/>
        </w:numPr>
      </w:pPr>
      <w:r w:rsidRPr="00332490">
        <w:t>Use UTC time zone as standard, where possible.</w:t>
      </w:r>
    </w:p>
    <w:bookmarkEnd w:id="12"/>
    <w:bookmarkEnd w:id="13"/>
    <w:bookmarkEnd w:id="14"/>
    <w:bookmarkEnd w:id="15"/>
    <w:bookmarkEnd w:id="16"/>
    <w:bookmarkEnd w:id="17"/>
    <w:bookmarkEnd w:id="18"/>
    <w:bookmarkEnd w:id="19"/>
    <w:p w:rsidR="00657B79" w:rsidRPr="009B7E7F" w:rsidRDefault="00657B79" w:rsidP="00657B79">
      <w:pPr>
        <w:pStyle w:val="NormalDS"/>
        <w:rPr>
          <w:lang w:bidi="he-IL"/>
        </w:rPr>
      </w:pPr>
    </w:p>
    <w:p w:rsidR="00657B79" w:rsidRDefault="00657B79" w:rsidP="00657B79">
      <w:pPr>
        <w:pStyle w:val="Heading2"/>
      </w:pPr>
      <w:r>
        <w:t xml:space="preserve">References and </w:t>
      </w:r>
      <w:r w:rsidRPr="003C0DCB">
        <w:t>Mandates</w:t>
      </w:r>
      <w:bookmarkStart w:id="30" w:name="_Appendix_I"/>
      <w:bookmarkStart w:id="31" w:name="_Appendix_I_"/>
      <w:bookmarkStart w:id="32" w:name="_Toc304735593"/>
      <w:bookmarkEnd w:id="20"/>
      <w:bookmarkEnd w:id="21"/>
      <w:bookmarkEnd w:id="22"/>
      <w:bookmarkEnd w:id="23"/>
      <w:bookmarkEnd w:id="30"/>
      <w:bookmarkEnd w:id="31"/>
    </w:p>
    <w:p w:rsidR="00657B79" w:rsidRDefault="00657B79" w:rsidP="00657B79">
      <w:pPr>
        <w:pStyle w:val="NormalDS"/>
        <w:numPr>
          <w:ilvl w:val="0"/>
          <w:numId w:val="14"/>
        </w:numPr>
      </w:pPr>
      <w:bookmarkStart w:id="33" w:name="_Appendix_I_1"/>
      <w:bookmarkEnd w:id="33"/>
      <w:r>
        <w:t>None</w:t>
      </w:r>
    </w:p>
    <w:p w:rsidR="00657B79" w:rsidRPr="00EE255B" w:rsidRDefault="00657B79" w:rsidP="00657B79">
      <w:pPr>
        <w:pStyle w:val="Heading2"/>
      </w:pPr>
      <w:r w:rsidRPr="007E6914">
        <w:t>Legal Conflicts</w:t>
      </w:r>
      <w:r w:rsidRPr="00EE255B">
        <w:t xml:space="preserve"> </w:t>
      </w:r>
    </w:p>
    <w:p w:rsidR="00657B79" w:rsidRPr="001325AE" w:rsidRDefault="00657B79" w:rsidP="00657B79">
      <w:pPr>
        <w:pStyle w:val="NormalDS"/>
      </w:pPr>
      <w:r>
        <w:t>Alight</w:t>
      </w:r>
      <w:r w:rsidRPr="001325AE">
        <w:t xml:space="preserve"> Security Policies and Standards were drafted to address the protections found in existing laws and regulations and may be amended as necessary due to law, regulation, or business requirements.  There is no intent to conflict with relevant laws or regulations.  In the event of any conflict with relevant laws or regulations, they will control.</w:t>
      </w:r>
    </w:p>
    <w:p w:rsidR="00657B79" w:rsidRDefault="00657B79" w:rsidP="00657B79">
      <w:pPr>
        <w:pStyle w:val="NormalDS"/>
      </w:pPr>
      <w:r>
        <w:t>Alight</w:t>
      </w:r>
      <w:r w:rsidRPr="001325AE">
        <w:t xml:space="preserve"> Security Policies and Standards may be supplemented by other policies or standards of </w:t>
      </w:r>
      <w:r>
        <w:t>Alight</w:t>
      </w:r>
      <w:r w:rsidRPr="001325AE">
        <w:t xml:space="preserve">.  In the case of a conflict or ambiguity, the more specific provisions of any such policy or standard of </w:t>
      </w:r>
      <w:r>
        <w:t>Alight</w:t>
      </w:r>
      <w:r w:rsidRPr="001325AE">
        <w:t xml:space="preserve"> shall take precedence over the more general provisions contained in </w:t>
      </w:r>
      <w:r>
        <w:t>Alight</w:t>
      </w:r>
      <w:r w:rsidRPr="001325AE">
        <w:t xml:space="preserve"> Security Policies and Standards.</w:t>
      </w:r>
    </w:p>
    <w:p w:rsidR="00657B79" w:rsidRDefault="00657B79" w:rsidP="00657B79">
      <w:r>
        <w:br w:type="page"/>
      </w:r>
    </w:p>
    <w:p w:rsidR="00657B79" w:rsidRDefault="00657B79" w:rsidP="00657B79">
      <w:pPr>
        <w:pStyle w:val="Heading1"/>
        <w:spacing w:after="200"/>
      </w:pPr>
      <w:bookmarkStart w:id="34" w:name="_Appendix_I_–"/>
      <w:bookmarkEnd w:id="34"/>
      <w:r>
        <w:lastRenderedPageBreak/>
        <w:t xml:space="preserve">Appendix I – Logging </w:t>
      </w:r>
    </w:p>
    <w:tbl>
      <w:tblPr>
        <w:tblW w:w="5000" w:type="pct"/>
        <w:tblBorders>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74"/>
        <w:gridCol w:w="1264"/>
        <w:gridCol w:w="1174"/>
        <w:gridCol w:w="1628"/>
        <w:gridCol w:w="4336"/>
      </w:tblGrid>
      <w:tr w:rsidR="00657B79" w:rsidRPr="00047594" w:rsidTr="00C94969">
        <w:trPr>
          <w:trHeight w:val="458"/>
        </w:trPr>
        <w:tc>
          <w:tcPr>
            <w:tcW w:w="613" w:type="pct"/>
            <w:vAlign w:val="center"/>
          </w:tcPr>
          <w:p w:rsidR="00657B79" w:rsidRPr="005B5F4B" w:rsidRDefault="00657B79" w:rsidP="00C94969">
            <w:pPr>
              <w:spacing w:line="264" w:lineRule="auto"/>
              <w:jc w:val="center"/>
              <w:rPr>
                <w:rFonts w:asciiTheme="minorHAnsi" w:hAnsiTheme="minorHAnsi"/>
                <w:b/>
                <w:szCs w:val="24"/>
              </w:rPr>
            </w:pPr>
          </w:p>
        </w:tc>
        <w:tc>
          <w:tcPr>
            <w:tcW w:w="660" w:type="pct"/>
            <w:tcBorders>
              <w:top w:val="single" w:sz="4" w:space="0" w:color="auto"/>
            </w:tcBorders>
            <w:shd w:val="clear" w:color="auto" w:fill="D9D9D9"/>
            <w:vAlign w:val="center"/>
          </w:tcPr>
          <w:p w:rsidR="00657B79" w:rsidRPr="005B5F4B" w:rsidRDefault="00657B79" w:rsidP="00C94969">
            <w:pPr>
              <w:pStyle w:val="TableColumnHead0"/>
              <w:jc w:val="center"/>
              <w:rPr>
                <w:rFonts w:asciiTheme="minorHAnsi" w:hAnsiTheme="minorHAnsi"/>
              </w:rPr>
            </w:pPr>
            <w:r w:rsidRPr="005B5F4B">
              <w:rPr>
                <w:rFonts w:asciiTheme="minorHAnsi" w:hAnsiTheme="minorHAnsi"/>
              </w:rPr>
              <w:t>Review Frequency</w:t>
            </w:r>
          </w:p>
        </w:tc>
        <w:tc>
          <w:tcPr>
            <w:tcW w:w="613" w:type="pct"/>
            <w:tcBorders>
              <w:top w:val="single" w:sz="4" w:space="0" w:color="auto"/>
            </w:tcBorders>
            <w:shd w:val="clear" w:color="auto" w:fill="D9D9D9"/>
            <w:vAlign w:val="center"/>
          </w:tcPr>
          <w:p w:rsidR="00657B79" w:rsidRPr="005B5F4B" w:rsidRDefault="00657B79" w:rsidP="00C94969">
            <w:pPr>
              <w:pStyle w:val="TableColumnHead0"/>
              <w:jc w:val="center"/>
              <w:rPr>
                <w:rFonts w:asciiTheme="minorHAnsi" w:hAnsiTheme="minorHAnsi"/>
              </w:rPr>
            </w:pPr>
            <w:r w:rsidRPr="005B5F4B">
              <w:rPr>
                <w:rFonts w:asciiTheme="minorHAnsi" w:hAnsiTheme="minorHAnsi"/>
              </w:rPr>
              <w:t>Retention Period</w:t>
            </w:r>
          </w:p>
        </w:tc>
        <w:tc>
          <w:tcPr>
            <w:tcW w:w="850" w:type="pct"/>
            <w:tcBorders>
              <w:top w:val="single" w:sz="4" w:space="0" w:color="auto"/>
            </w:tcBorders>
            <w:shd w:val="clear" w:color="auto" w:fill="D9D9D9"/>
            <w:vAlign w:val="center"/>
          </w:tcPr>
          <w:p w:rsidR="00657B79" w:rsidRPr="005B5F4B" w:rsidRDefault="00657B79" w:rsidP="00C94969">
            <w:pPr>
              <w:pStyle w:val="TableColumnHead0"/>
              <w:jc w:val="center"/>
              <w:rPr>
                <w:rFonts w:asciiTheme="minorHAnsi" w:hAnsiTheme="minorHAnsi"/>
              </w:rPr>
            </w:pPr>
            <w:r w:rsidRPr="005B5F4B">
              <w:rPr>
                <w:rFonts w:asciiTheme="minorHAnsi" w:hAnsiTheme="minorHAnsi"/>
              </w:rPr>
              <w:t>Segregation Requirements</w:t>
            </w:r>
          </w:p>
        </w:tc>
        <w:tc>
          <w:tcPr>
            <w:tcW w:w="2264" w:type="pct"/>
            <w:tcBorders>
              <w:top w:val="single" w:sz="4" w:space="0" w:color="auto"/>
            </w:tcBorders>
            <w:shd w:val="clear" w:color="auto" w:fill="D9D9D9"/>
          </w:tcPr>
          <w:p w:rsidR="00657B79" w:rsidRPr="005B5F4B" w:rsidRDefault="00657B79" w:rsidP="00C94969">
            <w:pPr>
              <w:pStyle w:val="TableColumnHead0"/>
              <w:jc w:val="center"/>
              <w:rPr>
                <w:rFonts w:asciiTheme="minorHAnsi" w:hAnsiTheme="minorHAnsi"/>
              </w:rPr>
            </w:pPr>
            <w:r w:rsidRPr="005B5F4B">
              <w:rPr>
                <w:rFonts w:asciiTheme="minorHAnsi" w:hAnsiTheme="minorHAnsi"/>
              </w:rPr>
              <w:t>Tier Definition</w:t>
            </w:r>
          </w:p>
        </w:tc>
      </w:tr>
      <w:tr w:rsidR="00657B79" w:rsidRPr="00047594" w:rsidTr="00C94969">
        <w:trPr>
          <w:trHeight w:val="70"/>
        </w:trPr>
        <w:tc>
          <w:tcPr>
            <w:tcW w:w="613" w:type="pct"/>
            <w:tcBorders>
              <w:left w:val="single" w:sz="4" w:space="0" w:color="auto"/>
            </w:tcBorders>
            <w:shd w:val="clear" w:color="auto" w:fill="D9D9D9"/>
            <w:vAlign w:val="center"/>
          </w:tcPr>
          <w:p w:rsidR="00657B79" w:rsidRPr="005B5F4B" w:rsidRDefault="00657B79" w:rsidP="00C94969">
            <w:pPr>
              <w:pStyle w:val="TableRowHead"/>
              <w:rPr>
                <w:rFonts w:asciiTheme="minorHAnsi" w:hAnsiTheme="minorHAnsi"/>
              </w:rPr>
            </w:pPr>
            <w:r w:rsidRPr="005B5F4B">
              <w:rPr>
                <w:rFonts w:asciiTheme="minorHAnsi" w:hAnsiTheme="minorHAnsi"/>
              </w:rPr>
              <w:t>Tier One</w:t>
            </w:r>
          </w:p>
        </w:tc>
        <w:tc>
          <w:tcPr>
            <w:tcW w:w="660" w:type="pct"/>
            <w:vAlign w:val="center"/>
          </w:tcPr>
          <w:p w:rsidR="00657B79" w:rsidRPr="005B5F4B" w:rsidRDefault="00657B79" w:rsidP="00C94969">
            <w:pPr>
              <w:pStyle w:val="Tablecopy0"/>
              <w:rPr>
                <w:rFonts w:asciiTheme="minorHAnsi" w:hAnsiTheme="minorHAnsi"/>
              </w:rPr>
            </w:pPr>
            <w:r w:rsidRPr="005B5F4B">
              <w:rPr>
                <w:rFonts w:asciiTheme="minorHAnsi" w:hAnsiTheme="minorHAnsi"/>
              </w:rPr>
              <w:t>Daily</w:t>
            </w:r>
          </w:p>
        </w:tc>
        <w:tc>
          <w:tcPr>
            <w:tcW w:w="613" w:type="pct"/>
            <w:vAlign w:val="center"/>
          </w:tcPr>
          <w:p w:rsidR="00657B79" w:rsidRPr="005B5F4B" w:rsidRDefault="00657B79" w:rsidP="00C94969">
            <w:pPr>
              <w:pStyle w:val="Tablecopy0"/>
              <w:rPr>
                <w:rFonts w:asciiTheme="minorHAnsi" w:hAnsiTheme="minorHAnsi"/>
              </w:rPr>
            </w:pPr>
            <w:r w:rsidRPr="005B5F4B">
              <w:rPr>
                <w:rFonts w:asciiTheme="minorHAnsi" w:hAnsiTheme="minorHAnsi"/>
              </w:rPr>
              <w:t xml:space="preserve">Retain per applicable </w:t>
            </w:r>
            <w:r>
              <w:rPr>
                <w:rFonts w:asciiTheme="minorHAnsi" w:hAnsiTheme="minorHAnsi"/>
              </w:rPr>
              <w:t>Alight</w:t>
            </w:r>
            <w:r w:rsidRPr="005B5F4B">
              <w:rPr>
                <w:rFonts w:asciiTheme="minorHAnsi" w:hAnsiTheme="minorHAnsi"/>
              </w:rPr>
              <w:t xml:space="preserve"> Records Retention Schedule</w:t>
            </w:r>
          </w:p>
        </w:tc>
        <w:tc>
          <w:tcPr>
            <w:tcW w:w="850" w:type="pct"/>
            <w:vAlign w:val="center"/>
          </w:tcPr>
          <w:p w:rsidR="00657B79" w:rsidRPr="005B5F4B" w:rsidRDefault="00657B79" w:rsidP="00C94969">
            <w:pPr>
              <w:pStyle w:val="Tablecopy0"/>
              <w:rPr>
                <w:rFonts w:asciiTheme="minorHAnsi" w:hAnsiTheme="minorHAnsi"/>
              </w:rPr>
            </w:pPr>
            <w:r w:rsidRPr="005B5F4B">
              <w:rPr>
                <w:rFonts w:asciiTheme="minorHAnsi" w:hAnsiTheme="minorHAnsi"/>
              </w:rPr>
              <w:t>Required</w:t>
            </w:r>
          </w:p>
        </w:tc>
        <w:tc>
          <w:tcPr>
            <w:tcW w:w="2264" w:type="pct"/>
          </w:tcPr>
          <w:p w:rsidR="00657B79" w:rsidRPr="005B5F4B" w:rsidRDefault="00657B79" w:rsidP="00C94969">
            <w:pPr>
              <w:pStyle w:val="Tablecopy0"/>
              <w:jc w:val="left"/>
              <w:rPr>
                <w:rFonts w:asciiTheme="minorHAnsi" w:hAnsiTheme="minorHAnsi"/>
              </w:rPr>
            </w:pPr>
            <w:r w:rsidRPr="005B5F4B">
              <w:rPr>
                <w:rFonts w:asciiTheme="minorHAnsi" w:hAnsiTheme="minorHAnsi"/>
              </w:rPr>
              <w:t xml:space="preserve">Infrastructure that supports storing and/or processing HBI and/or MBI data defined in Data Security Classification Standard </w:t>
            </w:r>
          </w:p>
        </w:tc>
      </w:tr>
      <w:tr w:rsidR="00657B79" w:rsidRPr="00047594" w:rsidTr="00C94969">
        <w:tc>
          <w:tcPr>
            <w:tcW w:w="613" w:type="pct"/>
            <w:tcBorders>
              <w:left w:val="single" w:sz="4" w:space="0" w:color="auto"/>
            </w:tcBorders>
            <w:shd w:val="clear" w:color="auto" w:fill="D9D9D9"/>
          </w:tcPr>
          <w:p w:rsidR="00657B79" w:rsidRPr="005B5F4B" w:rsidRDefault="00657B79" w:rsidP="00C94969">
            <w:pPr>
              <w:pStyle w:val="TableRowHead"/>
              <w:rPr>
                <w:rFonts w:asciiTheme="minorHAnsi" w:hAnsiTheme="minorHAnsi"/>
              </w:rPr>
            </w:pPr>
            <w:r w:rsidRPr="005B5F4B">
              <w:rPr>
                <w:rFonts w:asciiTheme="minorHAnsi" w:hAnsiTheme="minorHAnsi"/>
              </w:rPr>
              <w:t>Tier Two</w:t>
            </w:r>
          </w:p>
        </w:tc>
        <w:tc>
          <w:tcPr>
            <w:tcW w:w="660" w:type="pct"/>
            <w:vAlign w:val="center"/>
          </w:tcPr>
          <w:p w:rsidR="00657B79" w:rsidRPr="005B5F4B" w:rsidRDefault="00657B79" w:rsidP="00C94969">
            <w:pPr>
              <w:pStyle w:val="Tablecopy0"/>
              <w:rPr>
                <w:rFonts w:asciiTheme="minorHAnsi" w:hAnsiTheme="minorHAnsi"/>
              </w:rPr>
            </w:pPr>
            <w:r w:rsidRPr="005B5F4B">
              <w:rPr>
                <w:rFonts w:asciiTheme="minorHAnsi" w:hAnsiTheme="minorHAnsi"/>
              </w:rPr>
              <w:t>Weekly</w:t>
            </w:r>
          </w:p>
        </w:tc>
        <w:tc>
          <w:tcPr>
            <w:tcW w:w="613" w:type="pct"/>
            <w:vAlign w:val="center"/>
          </w:tcPr>
          <w:p w:rsidR="00657B79" w:rsidRPr="005B5F4B" w:rsidRDefault="00657B79" w:rsidP="00C94969">
            <w:pPr>
              <w:pStyle w:val="Tablecopy0"/>
              <w:rPr>
                <w:rFonts w:asciiTheme="minorHAnsi" w:hAnsiTheme="minorHAnsi"/>
              </w:rPr>
            </w:pPr>
            <w:r w:rsidRPr="005B5F4B">
              <w:rPr>
                <w:rFonts w:asciiTheme="minorHAnsi" w:hAnsiTheme="minorHAnsi"/>
              </w:rPr>
              <w:t xml:space="preserve">Retain per applicable </w:t>
            </w:r>
            <w:r>
              <w:rPr>
                <w:rFonts w:asciiTheme="minorHAnsi" w:hAnsiTheme="minorHAnsi"/>
              </w:rPr>
              <w:t>Alight</w:t>
            </w:r>
            <w:r w:rsidRPr="005B5F4B">
              <w:rPr>
                <w:rFonts w:asciiTheme="minorHAnsi" w:hAnsiTheme="minorHAnsi"/>
              </w:rPr>
              <w:t xml:space="preserve"> Records Retention Schedule</w:t>
            </w:r>
          </w:p>
        </w:tc>
        <w:tc>
          <w:tcPr>
            <w:tcW w:w="850" w:type="pct"/>
            <w:vAlign w:val="center"/>
          </w:tcPr>
          <w:p w:rsidR="00657B79" w:rsidRPr="005B5F4B" w:rsidRDefault="00657B79" w:rsidP="00C94969">
            <w:pPr>
              <w:pStyle w:val="Tablecopy0"/>
              <w:rPr>
                <w:rFonts w:asciiTheme="minorHAnsi" w:hAnsiTheme="minorHAnsi"/>
              </w:rPr>
            </w:pPr>
            <w:r w:rsidRPr="005B5F4B">
              <w:rPr>
                <w:rFonts w:asciiTheme="minorHAnsi" w:hAnsiTheme="minorHAnsi"/>
              </w:rPr>
              <w:t>Recommended</w:t>
            </w:r>
          </w:p>
        </w:tc>
        <w:tc>
          <w:tcPr>
            <w:tcW w:w="2264" w:type="pct"/>
          </w:tcPr>
          <w:p w:rsidR="00657B79" w:rsidRPr="005B5F4B" w:rsidRDefault="00657B79" w:rsidP="00C94969">
            <w:pPr>
              <w:pStyle w:val="Tablecopy0"/>
              <w:jc w:val="left"/>
              <w:rPr>
                <w:rFonts w:asciiTheme="minorHAnsi" w:hAnsiTheme="minorHAnsi"/>
              </w:rPr>
            </w:pPr>
            <w:r w:rsidRPr="005B5F4B">
              <w:rPr>
                <w:rFonts w:asciiTheme="minorHAnsi" w:hAnsiTheme="minorHAnsi"/>
              </w:rPr>
              <w:t xml:space="preserve">Infrastructure that supports storing and/or processing LBI data defined in information Data Security Classification Standard </w:t>
            </w:r>
          </w:p>
        </w:tc>
      </w:tr>
      <w:tr w:rsidR="00657B79" w:rsidRPr="00047594" w:rsidTr="00C94969">
        <w:tc>
          <w:tcPr>
            <w:tcW w:w="613" w:type="pct"/>
            <w:tcBorders>
              <w:left w:val="single" w:sz="4" w:space="0" w:color="auto"/>
            </w:tcBorders>
            <w:shd w:val="clear" w:color="auto" w:fill="D9D9D9"/>
          </w:tcPr>
          <w:p w:rsidR="00657B79" w:rsidRPr="005B5F4B" w:rsidRDefault="00657B79" w:rsidP="00C94969">
            <w:pPr>
              <w:pStyle w:val="TableRowHead"/>
              <w:rPr>
                <w:rFonts w:asciiTheme="minorHAnsi" w:hAnsiTheme="minorHAnsi"/>
              </w:rPr>
            </w:pPr>
            <w:r w:rsidRPr="005B5F4B">
              <w:rPr>
                <w:rFonts w:asciiTheme="minorHAnsi" w:hAnsiTheme="minorHAnsi"/>
              </w:rPr>
              <w:t>Tier Three</w:t>
            </w:r>
          </w:p>
        </w:tc>
        <w:tc>
          <w:tcPr>
            <w:tcW w:w="660" w:type="pct"/>
            <w:vAlign w:val="center"/>
          </w:tcPr>
          <w:p w:rsidR="00657B79" w:rsidRPr="005B5F4B" w:rsidRDefault="00657B79" w:rsidP="00C94969">
            <w:pPr>
              <w:pStyle w:val="Tablecopy0"/>
              <w:rPr>
                <w:rFonts w:asciiTheme="minorHAnsi" w:hAnsiTheme="minorHAnsi"/>
              </w:rPr>
            </w:pPr>
            <w:r w:rsidRPr="005B5F4B">
              <w:rPr>
                <w:rFonts w:asciiTheme="minorHAnsi" w:hAnsiTheme="minorHAnsi"/>
              </w:rPr>
              <w:t>As needed</w:t>
            </w:r>
          </w:p>
        </w:tc>
        <w:tc>
          <w:tcPr>
            <w:tcW w:w="613" w:type="pct"/>
            <w:vAlign w:val="center"/>
          </w:tcPr>
          <w:p w:rsidR="00657B79" w:rsidRPr="005B5F4B" w:rsidRDefault="00657B79" w:rsidP="00C94969">
            <w:pPr>
              <w:pStyle w:val="Tablecopy0"/>
              <w:rPr>
                <w:rFonts w:asciiTheme="minorHAnsi" w:hAnsiTheme="minorHAnsi"/>
              </w:rPr>
            </w:pPr>
            <w:r w:rsidRPr="005B5F4B">
              <w:rPr>
                <w:rFonts w:asciiTheme="minorHAnsi" w:hAnsiTheme="minorHAnsi"/>
              </w:rPr>
              <w:t xml:space="preserve">Retain per applicable </w:t>
            </w:r>
            <w:r>
              <w:rPr>
                <w:rFonts w:asciiTheme="minorHAnsi" w:hAnsiTheme="minorHAnsi"/>
              </w:rPr>
              <w:t>Alight</w:t>
            </w:r>
            <w:r w:rsidRPr="005B5F4B">
              <w:rPr>
                <w:rFonts w:asciiTheme="minorHAnsi" w:hAnsiTheme="minorHAnsi"/>
              </w:rPr>
              <w:t xml:space="preserve"> Records Retention Schedule</w:t>
            </w:r>
          </w:p>
        </w:tc>
        <w:tc>
          <w:tcPr>
            <w:tcW w:w="850" w:type="pct"/>
            <w:vAlign w:val="center"/>
          </w:tcPr>
          <w:p w:rsidR="00657B79" w:rsidRPr="005B5F4B" w:rsidRDefault="00657B79" w:rsidP="00C94969">
            <w:pPr>
              <w:pStyle w:val="Tablecopy0"/>
              <w:rPr>
                <w:rFonts w:asciiTheme="minorHAnsi" w:hAnsiTheme="minorHAnsi"/>
              </w:rPr>
            </w:pPr>
            <w:r w:rsidRPr="005B5F4B">
              <w:rPr>
                <w:rFonts w:asciiTheme="minorHAnsi" w:hAnsiTheme="minorHAnsi"/>
              </w:rPr>
              <w:t>None</w:t>
            </w:r>
          </w:p>
        </w:tc>
        <w:tc>
          <w:tcPr>
            <w:tcW w:w="2264" w:type="pct"/>
          </w:tcPr>
          <w:p w:rsidR="00657B79" w:rsidRPr="005B5F4B" w:rsidRDefault="00657B79" w:rsidP="00C94969">
            <w:pPr>
              <w:pStyle w:val="Tablecopy0"/>
              <w:jc w:val="left"/>
              <w:rPr>
                <w:rFonts w:asciiTheme="minorHAnsi" w:hAnsiTheme="minorHAnsi"/>
              </w:rPr>
            </w:pPr>
            <w:r w:rsidRPr="005B5F4B">
              <w:rPr>
                <w:rFonts w:asciiTheme="minorHAnsi" w:hAnsiTheme="minorHAnsi"/>
              </w:rPr>
              <w:t xml:space="preserve">Infrastructure that supports storing and/or processing NBI data </w:t>
            </w:r>
          </w:p>
        </w:tc>
      </w:tr>
    </w:tbl>
    <w:p w:rsidR="00657B79" w:rsidRPr="00112569" w:rsidRDefault="00657B79" w:rsidP="00657B79">
      <w:pPr>
        <w:pStyle w:val="AonBodyCopy"/>
      </w:pPr>
    </w:p>
    <w:p w:rsidR="00657B79" w:rsidRDefault="00657B79" w:rsidP="00657B79">
      <w:pPr>
        <w:pStyle w:val="NormalDS"/>
        <w:rPr>
          <w:b/>
          <w:bCs/>
        </w:rPr>
      </w:pPr>
      <w:r>
        <w:t xml:space="preserve">Alight’s Records Retention Schedules are located here: </w:t>
      </w:r>
      <w:bookmarkStart w:id="35" w:name="_Toc306014656"/>
      <w:bookmarkEnd w:id="32"/>
      <w:r>
        <w:rPr>
          <w:b/>
          <w:bCs/>
        </w:rPr>
        <w:fldChar w:fldCharType="begin"/>
      </w:r>
      <w:r>
        <w:rPr>
          <w:b/>
          <w:bCs/>
        </w:rPr>
        <w:instrText xml:space="preserve"> HYPERLINK "</w:instrText>
      </w:r>
      <w:r w:rsidRPr="00657B79">
        <w:instrText>https://newcointranet.com/Documents/Standard/U/US_Records_Retention_Schedule</w:instrText>
      </w:r>
      <w:r>
        <w:rPr>
          <w:b/>
          <w:bCs/>
        </w:rPr>
        <w:instrText xml:space="preserve">" </w:instrText>
      </w:r>
      <w:r>
        <w:rPr>
          <w:b/>
          <w:bCs/>
        </w:rPr>
        <w:fldChar w:fldCharType="separate"/>
      </w:r>
      <w:r w:rsidRPr="00B37172">
        <w:rPr>
          <w:rStyle w:val="Hyperlink"/>
        </w:rPr>
        <w:t>https://newcointranet.com/Documents/Standard/U/US_Records_Retention_Schedule</w:t>
      </w:r>
      <w:r>
        <w:rPr>
          <w:b/>
          <w:bCs/>
        </w:rPr>
        <w:fldChar w:fldCharType="end"/>
      </w:r>
    </w:p>
    <w:p w:rsidR="00657B79" w:rsidRPr="002311A6" w:rsidRDefault="00657B79" w:rsidP="00657B79">
      <w:pPr>
        <w:pStyle w:val="Heading1"/>
      </w:pPr>
      <w:r w:rsidRPr="002311A6">
        <w:lastRenderedPageBreak/>
        <w:t>Document Control Information</w:t>
      </w:r>
      <w:bookmarkEnd w:id="35"/>
    </w:p>
    <w:p w:rsidR="00657B79" w:rsidRPr="00274338" w:rsidRDefault="00657B79" w:rsidP="00657B79">
      <w:pPr>
        <w:pStyle w:val="TableTitle"/>
      </w:pPr>
      <w:bookmarkStart w:id="36" w:name="_Toc528945611"/>
      <w:bookmarkStart w:id="37" w:name="_Toc529855774"/>
      <w:bookmarkStart w:id="38" w:name="_Toc529856551"/>
      <w:bookmarkStart w:id="39" w:name="_Toc531756491"/>
      <w:bookmarkStart w:id="40" w:name="_Toc1631615"/>
      <w:bookmarkStart w:id="41" w:name="_Toc133747320"/>
      <w:bookmarkStart w:id="42" w:name="_Toc158457851"/>
      <w:bookmarkStart w:id="43" w:name="_Toc158805969"/>
      <w:bookmarkStart w:id="44" w:name="_Toc289842769"/>
      <w:bookmarkStart w:id="45" w:name="_Toc306014657"/>
      <w: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657B79" w:rsidRPr="00274338" w:rsidTr="00C94969">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657B79" w:rsidRDefault="00657B79" w:rsidP="00C94969">
            <w:pPr>
              <w:pStyle w:val="TableCopy"/>
            </w:pPr>
            <w:r>
              <w:t>Document Name</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657B79" w:rsidRDefault="00657B79" w:rsidP="00C94969">
            <w:pPr>
              <w:pStyle w:val="Bullet4Table"/>
              <w:numPr>
                <w:ilvl w:val="0"/>
                <w:numId w:val="0"/>
              </w:numPr>
            </w:pPr>
            <w:r w:rsidRPr="004338A7">
              <w:t>INFOSEC_201.</w:t>
            </w:r>
            <w:r>
              <w:t>10</w:t>
            </w:r>
            <w:r w:rsidRPr="004338A7">
              <w:t xml:space="preserve"> </w:t>
            </w:r>
            <w:r>
              <w:t xml:space="preserve">Logging and Monitoring </w:t>
            </w:r>
            <w:r w:rsidRPr="004338A7">
              <w:t>Standard</w:t>
            </w:r>
          </w:p>
        </w:tc>
      </w:tr>
      <w:tr w:rsidR="00657B79" w:rsidRPr="00274338" w:rsidTr="00C9496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57B79" w:rsidRDefault="00657B79" w:rsidP="00C94969">
            <w:pPr>
              <w:pStyle w:val="TableCopy"/>
            </w:pPr>
            <w:r>
              <w:t>Primary Contact</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57B79" w:rsidRDefault="00657B79" w:rsidP="00C94969">
            <w:pPr>
              <w:pStyle w:val="TableCopy"/>
            </w:pPr>
            <w:r>
              <w:t>Alight</w:t>
            </w:r>
            <w:r w:rsidRPr="009B6065">
              <w:t xml:space="preserve"> Global Security Services | </w:t>
            </w:r>
            <w:hyperlink r:id="rId9" w:history="1">
              <w:r w:rsidRPr="009B6065">
                <w:rPr>
                  <w:rStyle w:val="Hyperlink"/>
                  <w:color w:val="auto"/>
                  <w:u w:val="none"/>
                </w:rPr>
                <w:t>global.security.services@aon.com</w:t>
              </w:r>
            </w:hyperlink>
          </w:p>
        </w:tc>
      </w:tr>
      <w:tr w:rsidR="00657B79" w:rsidRPr="00274338" w:rsidTr="00C9496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57B79" w:rsidRPr="00274338" w:rsidRDefault="00657B79" w:rsidP="00C94969">
            <w:pPr>
              <w:pStyle w:val="TableCopy"/>
            </w:pPr>
            <w: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57B79" w:rsidRPr="00274338" w:rsidRDefault="00657B79" w:rsidP="00C94969">
            <w:pPr>
              <w:pStyle w:val="TableCopy"/>
            </w:pPr>
            <w:r>
              <w:t>1.5</w:t>
            </w:r>
          </w:p>
        </w:tc>
      </w:tr>
      <w:tr w:rsidR="00657B79" w:rsidRPr="00274338" w:rsidTr="00C9496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57B79" w:rsidRPr="00274338" w:rsidRDefault="00657B79" w:rsidP="00C94969">
            <w:pPr>
              <w:pStyle w:val="TableCopy"/>
            </w:pPr>
            <w: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57B79" w:rsidRPr="00274338" w:rsidRDefault="00657B79" w:rsidP="00C94969">
            <w:pPr>
              <w:pStyle w:val="TableCopy"/>
            </w:pPr>
            <w:r>
              <w:t>Alight</w:t>
            </w:r>
            <w:r w:rsidRPr="009B6065">
              <w:t xml:space="preserve"> Global Security Services | Information Security</w:t>
            </w:r>
          </w:p>
        </w:tc>
      </w:tr>
      <w:tr w:rsidR="00657B79" w:rsidRPr="00274338" w:rsidTr="00C9496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57B79" w:rsidRPr="00274338" w:rsidRDefault="00657B79" w:rsidP="00C94969">
            <w:pPr>
              <w:pStyle w:val="TableCopy"/>
            </w:pPr>
            <w: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57B79" w:rsidRPr="00274338" w:rsidRDefault="00657B79" w:rsidP="00C94969">
            <w:pPr>
              <w:pStyle w:val="TableCopy"/>
            </w:pPr>
            <w:r>
              <w:t>Alight</w:t>
            </w:r>
            <w:r w:rsidRPr="009B6065">
              <w:t xml:space="preserve"> Global Security Services | Information Security</w:t>
            </w:r>
          </w:p>
        </w:tc>
      </w:tr>
      <w:tr w:rsidR="00657B79" w:rsidRPr="00274338" w:rsidTr="00C9496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57B79" w:rsidRDefault="00657B79" w:rsidP="00C94969">
            <w:pPr>
              <w:pStyle w:val="TableCopy"/>
            </w:pPr>
            <w: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57B79" w:rsidRDefault="00657B79" w:rsidP="00C94969">
            <w:pPr>
              <w:pStyle w:val="TableCopy"/>
            </w:pPr>
            <w:r>
              <w:t>Jim Hartley</w:t>
            </w:r>
            <w:r w:rsidRPr="009B6065">
              <w:t xml:space="preserve">, Chief </w:t>
            </w:r>
            <w:r>
              <w:t xml:space="preserve">Information </w:t>
            </w:r>
            <w:r w:rsidRPr="009B6065">
              <w:t>Security Officer</w:t>
            </w:r>
          </w:p>
        </w:tc>
      </w:tr>
      <w:tr w:rsidR="00657B79" w:rsidRPr="00274338" w:rsidTr="00C9496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57B79" w:rsidRDefault="00657B79" w:rsidP="00C94969">
            <w:pPr>
              <w:pStyle w:val="TableCopy"/>
            </w:pPr>
            <w: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57B79" w:rsidRDefault="00657B79" w:rsidP="00C94969">
            <w:pPr>
              <w:pStyle w:val="TableCopy"/>
            </w:pPr>
            <w:r>
              <w:t>May 1, 2017</w:t>
            </w:r>
          </w:p>
        </w:tc>
      </w:tr>
      <w:tr w:rsidR="00657B79" w:rsidRPr="00274338" w:rsidTr="00C9496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57B79" w:rsidRDefault="00657B79" w:rsidP="00C94969">
            <w:pPr>
              <w:pStyle w:val="TableCopy"/>
            </w:pPr>
            <w: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57B79" w:rsidRDefault="00657B79" w:rsidP="00C94969">
            <w:pPr>
              <w:pStyle w:val="TableCopy"/>
            </w:pPr>
            <w:r>
              <w:t>May 1, 2017</w:t>
            </w:r>
          </w:p>
        </w:tc>
      </w:tr>
      <w:tr w:rsidR="00657B79" w:rsidRPr="00274338" w:rsidTr="00C9496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57B79" w:rsidRDefault="00657B79" w:rsidP="00C94969">
            <w:pPr>
              <w:pStyle w:val="TableCopy"/>
            </w:pPr>
            <w: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57B79" w:rsidRDefault="00657B79" w:rsidP="00C94969">
            <w:pPr>
              <w:pStyle w:val="TableCopy"/>
            </w:pPr>
            <w:r>
              <w:t>May 2, 2011</w:t>
            </w:r>
          </w:p>
        </w:tc>
      </w:tr>
      <w:tr w:rsidR="00657B79" w:rsidRPr="00274338" w:rsidTr="00C9496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57B79" w:rsidRDefault="00657B79" w:rsidP="00C94969">
            <w:pPr>
              <w:pStyle w:val="TableCopy"/>
            </w:pPr>
            <w: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57B79" w:rsidRDefault="00657B79" w:rsidP="00C94969">
            <w:pPr>
              <w:pStyle w:val="TableCopy"/>
            </w:pPr>
            <w:r w:rsidRPr="009B6065">
              <w:t>General Internal – Low Business Impact (Green)</w:t>
            </w:r>
          </w:p>
        </w:tc>
      </w:tr>
    </w:tbl>
    <w:p w:rsidR="00657B79" w:rsidRPr="002311A6" w:rsidRDefault="00657B79" w:rsidP="00657B79">
      <w:pPr>
        <w:pStyle w:val="Heading1"/>
      </w:pPr>
      <w:r w:rsidRPr="002311A6">
        <w:lastRenderedPageBreak/>
        <w:t>Revision</w:t>
      </w:r>
      <w:bookmarkEnd w:id="36"/>
      <w:bookmarkEnd w:id="37"/>
      <w:bookmarkEnd w:id="38"/>
      <w:bookmarkEnd w:id="39"/>
      <w:r w:rsidRPr="002311A6">
        <w:t xml:space="preserve"> History</w:t>
      </w:r>
      <w:bookmarkEnd w:id="40"/>
      <w:bookmarkEnd w:id="41"/>
      <w:bookmarkEnd w:id="42"/>
      <w:bookmarkEnd w:id="43"/>
      <w:bookmarkEnd w:id="44"/>
      <w:bookmarkEnd w:id="45"/>
    </w:p>
    <w:p w:rsidR="00657B79" w:rsidRPr="00274338" w:rsidRDefault="00657B79" w:rsidP="00657B79">
      <w:pPr>
        <w:pStyle w:val="TableTitle"/>
      </w:pPr>
      <w:r>
        <w:t>Revision History</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4499"/>
      </w:tblGrid>
      <w:tr w:rsidR="00657B79" w:rsidRPr="00274338" w:rsidTr="00C94969">
        <w:trPr>
          <w:cantSplit/>
        </w:trPr>
        <w:tc>
          <w:tcPr>
            <w:tcW w:w="1646" w:type="dxa"/>
            <w:tcBorders>
              <w:top w:val="nil"/>
              <w:bottom w:val="single" w:sz="12" w:space="0" w:color="808080" w:themeColor="background1" w:themeShade="80"/>
            </w:tcBorders>
            <w:shd w:val="clear" w:color="auto" w:fill="auto"/>
            <w:vAlign w:val="bottom"/>
          </w:tcPr>
          <w:p w:rsidR="00657B79" w:rsidRPr="00274338" w:rsidRDefault="00657B79" w:rsidP="00C94969">
            <w:pPr>
              <w:pStyle w:val="TableColumnHead"/>
            </w:pPr>
            <w:r>
              <w:t>Revision Level</w:t>
            </w:r>
          </w:p>
        </w:tc>
        <w:tc>
          <w:tcPr>
            <w:tcW w:w="1441" w:type="dxa"/>
            <w:tcBorders>
              <w:top w:val="nil"/>
              <w:bottom w:val="single" w:sz="12" w:space="0" w:color="808080" w:themeColor="background1" w:themeShade="80"/>
            </w:tcBorders>
            <w:shd w:val="clear" w:color="auto" w:fill="auto"/>
            <w:vAlign w:val="bottom"/>
          </w:tcPr>
          <w:p w:rsidR="00657B79" w:rsidRPr="00274338" w:rsidRDefault="00657B79" w:rsidP="00C94969">
            <w:pPr>
              <w:pStyle w:val="TableColumnHead"/>
            </w:pPr>
            <w:r>
              <w:t>Date</w:t>
            </w:r>
          </w:p>
        </w:tc>
        <w:tc>
          <w:tcPr>
            <w:tcW w:w="1979" w:type="dxa"/>
            <w:tcBorders>
              <w:top w:val="nil"/>
              <w:bottom w:val="single" w:sz="12" w:space="0" w:color="808080" w:themeColor="background1" w:themeShade="80"/>
            </w:tcBorders>
            <w:shd w:val="clear" w:color="auto" w:fill="auto"/>
            <w:vAlign w:val="bottom"/>
          </w:tcPr>
          <w:p w:rsidR="00657B79" w:rsidRPr="00274338" w:rsidRDefault="00657B79" w:rsidP="00C94969">
            <w:pPr>
              <w:pStyle w:val="TableColumnHead"/>
            </w:pPr>
            <w:r>
              <w:t>Description</w:t>
            </w:r>
            <w:r w:rsidRPr="00274338">
              <w:t xml:space="preserve"> </w:t>
            </w:r>
          </w:p>
        </w:tc>
        <w:tc>
          <w:tcPr>
            <w:tcW w:w="4499" w:type="dxa"/>
            <w:tcBorders>
              <w:top w:val="nil"/>
              <w:bottom w:val="single" w:sz="12" w:space="0" w:color="808080" w:themeColor="background1" w:themeShade="80"/>
            </w:tcBorders>
          </w:tcPr>
          <w:p w:rsidR="00657B79" w:rsidRDefault="00657B79" w:rsidP="00C94969">
            <w:pPr>
              <w:pStyle w:val="TableColumnHead"/>
            </w:pPr>
            <w:r>
              <w:t>Change Summary</w:t>
            </w:r>
          </w:p>
        </w:tc>
      </w:tr>
      <w:tr w:rsidR="00657B79" w:rsidRPr="00274338" w:rsidTr="00C94969">
        <w:trPr>
          <w:cantSplit/>
          <w:trHeight w:val="510"/>
        </w:trPr>
        <w:tc>
          <w:tcPr>
            <w:tcW w:w="1646" w:type="dxa"/>
            <w:tcBorders>
              <w:top w:val="single" w:sz="12" w:space="0" w:color="808080" w:themeColor="background1" w:themeShade="80"/>
              <w:bottom w:val="single" w:sz="4" w:space="0" w:color="808080" w:themeColor="background1" w:themeShade="80"/>
            </w:tcBorders>
            <w:shd w:val="clear" w:color="auto" w:fill="auto"/>
          </w:tcPr>
          <w:p w:rsidR="00657B79" w:rsidRPr="00890ABF" w:rsidRDefault="00657B79" w:rsidP="00C94969">
            <w:pPr>
              <w:pStyle w:val="TableCopy"/>
              <w:rPr>
                <w:sz w:val="18"/>
                <w:szCs w:val="18"/>
              </w:rPr>
            </w:pPr>
            <w:r w:rsidRPr="00890ABF">
              <w:rPr>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657B79" w:rsidRPr="00890ABF" w:rsidRDefault="00657B79" w:rsidP="00C94969">
            <w:pPr>
              <w:pStyle w:val="NormalDS"/>
              <w:rPr>
                <w:sz w:val="18"/>
                <w:szCs w:val="18"/>
              </w:rPr>
            </w:pPr>
            <w:r w:rsidRPr="00890ABF">
              <w:rPr>
                <w:sz w:val="18"/>
                <w:szCs w:val="18"/>
              </w:rPr>
              <w:t>2012 March</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657B79" w:rsidRPr="00890ABF" w:rsidRDefault="00657B79" w:rsidP="00C94969">
            <w:pPr>
              <w:pStyle w:val="TableCopy"/>
              <w:rPr>
                <w:sz w:val="18"/>
                <w:szCs w:val="18"/>
              </w:rPr>
            </w:pPr>
            <w:r w:rsidRPr="00890ABF">
              <w:rPr>
                <w:sz w:val="18"/>
                <w:szCs w:val="18"/>
              </w:rPr>
              <w:t>Original</w:t>
            </w:r>
          </w:p>
        </w:tc>
        <w:tc>
          <w:tcPr>
            <w:tcW w:w="4499" w:type="dxa"/>
            <w:tcBorders>
              <w:top w:val="single" w:sz="12" w:space="0" w:color="808080" w:themeColor="background1" w:themeShade="80"/>
              <w:bottom w:val="single" w:sz="4" w:space="0" w:color="808080" w:themeColor="background1" w:themeShade="80"/>
            </w:tcBorders>
          </w:tcPr>
          <w:p w:rsidR="00657B79" w:rsidRPr="005B5F4B" w:rsidRDefault="00657B79" w:rsidP="00C94969">
            <w:pPr>
              <w:pStyle w:val="NormalDS"/>
              <w:rPr>
                <w:sz w:val="18"/>
              </w:rPr>
            </w:pPr>
            <w:r w:rsidRPr="005B5F4B">
              <w:rPr>
                <w:sz w:val="18"/>
              </w:rPr>
              <w:t>Restructured due to Aon Hewitt merger</w:t>
            </w:r>
          </w:p>
        </w:tc>
      </w:tr>
      <w:tr w:rsidR="00657B79" w:rsidRPr="00274338" w:rsidTr="00C94969">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657B79" w:rsidRPr="00890ABF" w:rsidRDefault="00657B79" w:rsidP="00C94969">
            <w:pPr>
              <w:pStyle w:val="TableCopy"/>
              <w:rPr>
                <w:sz w:val="18"/>
                <w:szCs w:val="18"/>
              </w:rPr>
            </w:pPr>
            <w:r w:rsidRPr="00890ABF">
              <w:rPr>
                <w:sz w:val="18"/>
                <w:szCs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657B79" w:rsidRPr="00890ABF" w:rsidRDefault="00657B79" w:rsidP="00C94969">
            <w:pPr>
              <w:pStyle w:val="NormalDS"/>
              <w:rPr>
                <w:sz w:val="18"/>
                <w:szCs w:val="18"/>
              </w:rPr>
            </w:pPr>
            <w:r w:rsidRPr="00890ABF">
              <w:rPr>
                <w:sz w:val="18"/>
                <w:szCs w:val="18"/>
              </w:rPr>
              <w:t>2013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657B79" w:rsidRPr="00890ABF" w:rsidRDefault="00657B79" w:rsidP="00C94969">
            <w:pPr>
              <w:pStyle w:val="TableCopy"/>
              <w:rPr>
                <w:sz w:val="18"/>
                <w:szCs w:val="18"/>
              </w:rPr>
            </w:pPr>
            <w:r w:rsidRPr="00890ABF">
              <w:rPr>
                <w:sz w:val="18"/>
                <w:szCs w:val="18"/>
              </w:rPr>
              <w:t>2013 Annual Review</w:t>
            </w:r>
          </w:p>
        </w:tc>
        <w:tc>
          <w:tcPr>
            <w:tcW w:w="4499" w:type="dxa"/>
            <w:tcBorders>
              <w:top w:val="single" w:sz="4" w:space="0" w:color="808080" w:themeColor="background1" w:themeShade="80"/>
              <w:bottom w:val="single" w:sz="4" w:space="0" w:color="808080" w:themeColor="background1" w:themeShade="80"/>
            </w:tcBorders>
          </w:tcPr>
          <w:p w:rsidR="00657B79" w:rsidRPr="005B5F4B" w:rsidRDefault="00657B79" w:rsidP="00C94969">
            <w:pPr>
              <w:pStyle w:val="NormalDS"/>
              <w:rPr>
                <w:rFonts w:asciiTheme="minorHAnsi" w:hAnsiTheme="minorHAnsi" w:cs="Arial"/>
                <w:color w:val="000000"/>
                <w:sz w:val="18"/>
                <w:szCs w:val="18"/>
              </w:rPr>
            </w:pPr>
            <w:r w:rsidRPr="005B5F4B">
              <w:rPr>
                <w:rFonts w:asciiTheme="minorHAnsi" w:hAnsiTheme="minorHAnsi" w:cs="Arial"/>
                <w:color w:val="000000"/>
                <w:sz w:val="18"/>
                <w:szCs w:val="18"/>
              </w:rPr>
              <w:t>Clarified Tier definitions in the appendix</w:t>
            </w:r>
          </w:p>
        </w:tc>
      </w:tr>
      <w:tr w:rsidR="00657B79" w:rsidRPr="00274338" w:rsidTr="00C94969">
        <w:trPr>
          <w:cantSplit/>
          <w:trHeight w:val="467"/>
        </w:trPr>
        <w:tc>
          <w:tcPr>
            <w:tcW w:w="1646" w:type="dxa"/>
            <w:tcBorders>
              <w:top w:val="single" w:sz="4" w:space="0" w:color="808080" w:themeColor="background1" w:themeShade="80"/>
              <w:bottom w:val="single" w:sz="4" w:space="0" w:color="808080" w:themeColor="background1" w:themeShade="80"/>
            </w:tcBorders>
            <w:shd w:val="clear" w:color="auto" w:fill="auto"/>
          </w:tcPr>
          <w:p w:rsidR="00657B79" w:rsidRPr="00890ABF" w:rsidRDefault="00657B79" w:rsidP="00C94969">
            <w:pPr>
              <w:pStyle w:val="TableCopy"/>
              <w:rPr>
                <w:sz w:val="18"/>
                <w:szCs w:val="18"/>
              </w:rPr>
            </w:pPr>
            <w:r w:rsidRPr="00890ABF">
              <w:rPr>
                <w:sz w:val="18"/>
                <w:szCs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657B79" w:rsidRPr="00890ABF" w:rsidRDefault="00657B79" w:rsidP="00C94969">
            <w:pPr>
              <w:pStyle w:val="NormalDS"/>
              <w:rPr>
                <w:sz w:val="18"/>
                <w:szCs w:val="18"/>
              </w:rPr>
            </w:pPr>
            <w:r w:rsidRPr="00890ABF">
              <w:rPr>
                <w:sz w:val="18"/>
                <w:szCs w:val="18"/>
              </w:rPr>
              <w:t>2014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657B79" w:rsidRPr="00890ABF" w:rsidRDefault="00657B79" w:rsidP="00C94969">
            <w:pPr>
              <w:pStyle w:val="TableCopy"/>
              <w:rPr>
                <w:sz w:val="18"/>
                <w:szCs w:val="18"/>
              </w:rPr>
            </w:pPr>
            <w:r w:rsidRPr="00890ABF">
              <w:rPr>
                <w:sz w:val="18"/>
                <w:szCs w:val="18"/>
              </w:rPr>
              <w:t>2014 Annual Review</w:t>
            </w:r>
          </w:p>
        </w:tc>
        <w:tc>
          <w:tcPr>
            <w:tcW w:w="4499" w:type="dxa"/>
            <w:tcBorders>
              <w:top w:val="single" w:sz="4" w:space="0" w:color="808080" w:themeColor="background1" w:themeShade="80"/>
              <w:bottom w:val="single" w:sz="4" w:space="0" w:color="808080" w:themeColor="background1" w:themeShade="80"/>
            </w:tcBorders>
          </w:tcPr>
          <w:p w:rsidR="00657B79" w:rsidRPr="005B5F4B" w:rsidRDefault="00657B79" w:rsidP="00C94969">
            <w:pPr>
              <w:pStyle w:val="NormalDS"/>
              <w:rPr>
                <w:rFonts w:asciiTheme="minorHAnsi" w:hAnsiTheme="minorHAnsi" w:cs="Arial"/>
                <w:color w:val="000000"/>
                <w:sz w:val="18"/>
                <w:szCs w:val="18"/>
              </w:rPr>
            </w:pPr>
            <w:r w:rsidRPr="005B5F4B">
              <w:rPr>
                <w:rFonts w:asciiTheme="minorHAnsi" w:hAnsiTheme="minorHAnsi" w:cs="Arial"/>
                <w:color w:val="000000"/>
                <w:sz w:val="18"/>
                <w:szCs w:val="18"/>
              </w:rPr>
              <w:t>Reviewed and validated</w:t>
            </w:r>
          </w:p>
        </w:tc>
      </w:tr>
      <w:tr w:rsidR="00657B79" w:rsidRPr="00274338" w:rsidTr="00C94969">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657B79" w:rsidRPr="00890ABF" w:rsidRDefault="00657B79" w:rsidP="00C94969">
            <w:pPr>
              <w:pStyle w:val="TableCopy"/>
              <w:rPr>
                <w:sz w:val="18"/>
                <w:szCs w:val="18"/>
              </w:rPr>
            </w:pPr>
            <w:r w:rsidRPr="00890ABF">
              <w:rPr>
                <w:sz w:val="18"/>
                <w:szCs w:val="18"/>
              </w:rP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657B79" w:rsidRPr="00890ABF" w:rsidRDefault="00657B79" w:rsidP="00C94969">
            <w:pPr>
              <w:pStyle w:val="NormalDS"/>
              <w:rPr>
                <w:sz w:val="18"/>
                <w:szCs w:val="18"/>
              </w:rPr>
            </w:pPr>
            <w:r w:rsidRPr="00890ABF">
              <w:rPr>
                <w:sz w:val="18"/>
                <w:szCs w:val="18"/>
              </w:rPr>
              <w:t>2015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657B79" w:rsidRPr="00890ABF" w:rsidRDefault="00657B79" w:rsidP="00C94969">
            <w:pPr>
              <w:pStyle w:val="TableCopy"/>
              <w:rPr>
                <w:sz w:val="18"/>
                <w:szCs w:val="18"/>
              </w:rPr>
            </w:pPr>
            <w:r w:rsidRPr="00890ABF">
              <w:rPr>
                <w:sz w:val="18"/>
                <w:szCs w:val="18"/>
              </w:rPr>
              <w:t>2015 Annual Review</w:t>
            </w:r>
          </w:p>
        </w:tc>
        <w:tc>
          <w:tcPr>
            <w:tcW w:w="4499" w:type="dxa"/>
            <w:tcBorders>
              <w:top w:val="single" w:sz="4" w:space="0" w:color="808080" w:themeColor="background1" w:themeShade="80"/>
              <w:bottom w:val="single" w:sz="4" w:space="0" w:color="808080" w:themeColor="background1" w:themeShade="80"/>
            </w:tcBorders>
          </w:tcPr>
          <w:p w:rsidR="00657B79" w:rsidRPr="005B5F4B" w:rsidRDefault="00657B79" w:rsidP="00C94969">
            <w:pPr>
              <w:pStyle w:val="NormalDS"/>
              <w:rPr>
                <w:rFonts w:asciiTheme="minorHAnsi" w:hAnsiTheme="minorHAnsi" w:cs="Arial"/>
                <w:color w:val="000000"/>
                <w:sz w:val="18"/>
                <w:szCs w:val="18"/>
              </w:rPr>
            </w:pPr>
            <w:r w:rsidRPr="005B5F4B">
              <w:rPr>
                <w:rFonts w:asciiTheme="minorHAnsi" w:hAnsiTheme="minorHAnsi" w:cs="Arial"/>
                <w:color w:val="000000"/>
                <w:sz w:val="18"/>
                <w:szCs w:val="18"/>
              </w:rPr>
              <w:t>Reviewed and validated – added Legal Conflicts, 2.4 changed SRM to Information Risk &amp; Security Services</w:t>
            </w:r>
          </w:p>
        </w:tc>
      </w:tr>
      <w:tr w:rsidR="00657B79" w:rsidRPr="00274338" w:rsidTr="00C94969">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657B79" w:rsidRPr="00890ABF" w:rsidRDefault="00657B79" w:rsidP="00C94969">
            <w:pPr>
              <w:pStyle w:val="TableCopy"/>
              <w:rPr>
                <w:sz w:val="18"/>
                <w:szCs w:val="18"/>
              </w:rPr>
            </w:pPr>
            <w:r w:rsidRPr="00890ABF">
              <w:rPr>
                <w:sz w:val="18"/>
                <w:szCs w:val="18"/>
              </w:rP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657B79" w:rsidRPr="00890ABF" w:rsidRDefault="00657B79" w:rsidP="00C94969">
            <w:pPr>
              <w:pStyle w:val="NormalDS"/>
              <w:rPr>
                <w:sz w:val="18"/>
                <w:szCs w:val="18"/>
              </w:rPr>
            </w:pPr>
            <w:r>
              <w:rPr>
                <w:sz w:val="18"/>
                <w:szCs w:val="18"/>
              </w:rPr>
              <w:t>2016 August</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657B79" w:rsidRPr="00890ABF" w:rsidRDefault="00657B79" w:rsidP="00C94969">
            <w:pPr>
              <w:pStyle w:val="TableCopy"/>
              <w:rPr>
                <w:sz w:val="18"/>
                <w:szCs w:val="18"/>
              </w:rPr>
            </w:pPr>
            <w:r w:rsidRPr="00890ABF">
              <w:rPr>
                <w:sz w:val="18"/>
                <w:szCs w:val="18"/>
              </w:rPr>
              <w:t>2016 Annual Review</w:t>
            </w:r>
          </w:p>
        </w:tc>
        <w:tc>
          <w:tcPr>
            <w:tcW w:w="4499" w:type="dxa"/>
            <w:tcBorders>
              <w:top w:val="single" w:sz="4" w:space="0" w:color="808080" w:themeColor="background1" w:themeShade="80"/>
              <w:bottom w:val="single" w:sz="4" w:space="0" w:color="808080" w:themeColor="background1" w:themeShade="80"/>
            </w:tcBorders>
          </w:tcPr>
          <w:p w:rsidR="00657B79" w:rsidRPr="005B5F4B" w:rsidRDefault="00657B79" w:rsidP="00C94969">
            <w:pPr>
              <w:pStyle w:val="NormalDS"/>
              <w:rPr>
                <w:rFonts w:asciiTheme="minorHAnsi" w:hAnsiTheme="minorHAnsi" w:cs="Arial"/>
                <w:color w:val="000000"/>
                <w:sz w:val="18"/>
                <w:szCs w:val="18"/>
              </w:rPr>
            </w:pPr>
            <w:r w:rsidRPr="005B5F4B">
              <w:rPr>
                <w:rFonts w:asciiTheme="minorHAnsi" w:hAnsiTheme="minorHAnsi" w:cs="Arial"/>
                <w:color w:val="000000"/>
                <w:sz w:val="18"/>
                <w:szCs w:val="18"/>
              </w:rPr>
              <w:t>Clarified Tier definitions in the appendix</w:t>
            </w:r>
          </w:p>
        </w:tc>
      </w:tr>
      <w:tr w:rsidR="00657B79" w:rsidRPr="00274338" w:rsidTr="00C94969">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657B79" w:rsidRPr="00890ABF" w:rsidRDefault="00657B79" w:rsidP="00C94969">
            <w:pPr>
              <w:pStyle w:val="TableCopy"/>
              <w:rPr>
                <w:sz w:val="18"/>
                <w:szCs w:val="18"/>
              </w:rPr>
            </w:pPr>
            <w:r w:rsidRPr="00890ABF">
              <w:rPr>
                <w:sz w:val="18"/>
                <w:szCs w:val="18"/>
              </w:rPr>
              <w:t>1.5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657B79" w:rsidRPr="00890ABF" w:rsidRDefault="00657B79" w:rsidP="00C94969">
            <w:pPr>
              <w:pStyle w:val="NormalDS"/>
              <w:rPr>
                <w:sz w:val="18"/>
                <w:szCs w:val="18"/>
              </w:rPr>
            </w:pPr>
            <w:r>
              <w:rPr>
                <w:sz w:val="18"/>
                <w:szCs w:val="18"/>
              </w:rPr>
              <w:t>2017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657B79" w:rsidRPr="00890ABF" w:rsidRDefault="00657B79" w:rsidP="00C94969">
            <w:pPr>
              <w:pStyle w:val="TableCopy"/>
              <w:rPr>
                <w:sz w:val="18"/>
                <w:szCs w:val="18"/>
              </w:rPr>
            </w:pPr>
            <w:r w:rsidRPr="00890ABF">
              <w:rPr>
                <w:sz w:val="18"/>
                <w:szCs w:val="18"/>
              </w:rPr>
              <w:t>2017 Rebranding</w:t>
            </w:r>
          </w:p>
        </w:tc>
        <w:tc>
          <w:tcPr>
            <w:tcW w:w="4499" w:type="dxa"/>
            <w:tcBorders>
              <w:top w:val="single" w:sz="4" w:space="0" w:color="808080" w:themeColor="background1" w:themeShade="80"/>
              <w:bottom w:val="single" w:sz="4" w:space="0" w:color="808080" w:themeColor="background1" w:themeShade="80"/>
            </w:tcBorders>
          </w:tcPr>
          <w:p w:rsidR="00657B79" w:rsidRPr="005B5F4B" w:rsidRDefault="00657B79" w:rsidP="00C94969">
            <w:pPr>
              <w:pStyle w:val="NormalDS"/>
              <w:rPr>
                <w:sz w:val="18"/>
              </w:rPr>
            </w:pPr>
            <w:r w:rsidRPr="005B5F4B">
              <w:rPr>
                <w:sz w:val="18"/>
              </w:rPr>
              <w:t>Rebranded policy due to Aon Hewitt divestiture</w:t>
            </w:r>
          </w:p>
        </w:tc>
      </w:tr>
      <w:tr w:rsidR="00657B79" w:rsidRPr="00274338" w:rsidTr="00C94969">
        <w:trPr>
          <w:cantSplit/>
        </w:trPr>
        <w:tc>
          <w:tcPr>
            <w:tcW w:w="1646" w:type="dxa"/>
            <w:tcBorders>
              <w:top w:val="single" w:sz="4" w:space="0" w:color="808080" w:themeColor="background1" w:themeShade="80"/>
              <w:bottom w:val="nil"/>
            </w:tcBorders>
            <w:shd w:val="clear" w:color="auto" w:fill="auto"/>
          </w:tcPr>
          <w:p w:rsidR="00657B79" w:rsidRDefault="00657B79" w:rsidP="00C94969">
            <w:pPr>
              <w:pStyle w:val="TableCopy"/>
            </w:pPr>
          </w:p>
        </w:tc>
        <w:tc>
          <w:tcPr>
            <w:tcW w:w="1441" w:type="dxa"/>
            <w:tcBorders>
              <w:top w:val="single" w:sz="4" w:space="0" w:color="808080" w:themeColor="background1" w:themeShade="80"/>
              <w:bottom w:val="nil"/>
            </w:tcBorders>
            <w:shd w:val="clear" w:color="auto" w:fill="auto"/>
          </w:tcPr>
          <w:p w:rsidR="00657B79" w:rsidRPr="009B6065" w:rsidRDefault="00657B79" w:rsidP="00C94969">
            <w:pPr>
              <w:pStyle w:val="NormalDS"/>
            </w:pPr>
          </w:p>
        </w:tc>
        <w:tc>
          <w:tcPr>
            <w:tcW w:w="1979" w:type="dxa"/>
            <w:tcBorders>
              <w:top w:val="single" w:sz="4" w:space="0" w:color="808080" w:themeColor="background1" w:themeShade="80"/>
              <w:bottom w:val="nil"/>
            </w:tcBorders>
            <w:shd w:val="clear" w:color="auto" w:fill="auto"/>
          </w:tcPr>
          <w:p w:rsidR="00657B79" w:rsidRPr="00274338" w:rsidRDefault="00657B79" w:rsidP="00C94969">
            <w:pPr>
              <w:pStyle w:val="TableCopy"/>
            </w:pPr>
          </w:p>
        </w:tc>
        <w:tc>
          <w:tcPr>
            <w:tcW w:w="4499" w:type="dxa"/>
            <w:tcBorders>
              <w:top w:val="single" w:sz="4" w:space="0" w:color="808080" w:themeColor="background1" w:themeShade="80"/>
              <w:bottom w:val="nil"/>
            </w:tcBorders>
          </w:tcPr>
          <w:p w:rsidR="00657B79" w:rsidRPr="00274338" w:rsidRDefault="00657B79" w:rsidP="00C94969">
            <w:pPr>
              <w:pStyle w:val="TableCopy"/>
            </w:pPr>
          </w:p>
        </w:tc>
      </w:tr>
    </w:tbl>
    <w:p w:rsidR="00657B79" w:rsidRPr="00274338" w:rsidRDefault="00657B79" w:rsidP="00657B79">
      <w:pPr>
        <w:pStyle w:val="Bullet3"/>
        <w:numPr>
          <w:ilvl w:val="0"/>
          <w:numId w:val="0"/>
        </w:numPr>
        <w:ind w:left="1080"/>
      </w:pPr>
    </w:p>
    <w:p w:rsidR="00321778" w:rsidRPr="00657B79" w:rsidRDefault="00321778" w:rsidP="00657B79"/>
    <w:sectPr w:rsidR="00321778" w:rsidRPr="00657B79" w:rsidSect="00075357">
      <w:footerReference w:type="default" r:id="rId10"/>
      <w:footerReference w:type="first" r:id="rId11"/>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26DF" w:rsidRDefault="004826DF" w:rsidP="005B402B">
      <w:r>
        <w:separator/>
      </w:r>
    </w:p>
  </w:endnote>
  <w:endnote w:type="continuationSeparator" w:id="0">
    <w:p w:rsidR="004826DF" w:rsidRDefault="004826DF"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140654">
      <w:t xml:space="preserve">201.10 </w:t>
    </w:r>
    <w:r w:rsidR="00657B79">
      <w:t>Logging and Monitoring Standard</w:t>
    </w:r>
    <w:r>
      <w:tab/>
    </w:r>
    <w:r>
      <w:fldChar w:fldCharType="begin"/>
    </w:r>
    <w:r>
      <w:instrText xml:space="preserve"> PAGE   \* MERGEFORMAT </w:instrText>
    </w:r>
    <w:r>
      <w:fldChar w:fldCharType="separate"/>
    </w:r>
    <w:r w:rsidR="00140654">
      <w:rPr>
        <w:noProof/>
      </w:rPr>
      <w:t>6</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670FCB4F" wp14:editId="63F78F28">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r w:rsidR="007372A8" w:rsidRPr="007372A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26DF" w:rsidRDefault="004826DF" w:rsidP="005B402B">
      <w:r>
        <w:separator/>
      </w:r>
    </w:p>
  </w:footnote>
  <w:footnote w:type="continuationSeparator" w:id="0">
    <w:p w:rsidR="004826DF" w:rsidRDefault="004826DF"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19B90EE0"/>
    <w:multiLevelType w:val="hybridMultilevel"/>
    <w:tmpl w:val="43243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692D45"/>
    <w:multiLevelType w:val="hybridMultilevel"/>
    <w:tmpl w:val="E0047B0C"/>
    <w:lvl w:ilvl="0" w:tplc="DF36AFB4">
      <w:start w:val="1"/>
      <w:numFmt w:val="bullet"/>
      <w:lvlText w:val=""/>
      <w:lvlJc w:val="left"/>
      <w:pPr>
        <w:tabs>
          <w:tab w:val="num" w:pos="216"/>
        </w:tabs>
        <w:ind w:left="216" w:hanging="216"/>
      </w:pPr>
      <w:rPr>
        <w:rFonts w:ascii="Wingdings" w:hAnsi="Wingdings" w:hint="default"/>
        <w:color w:val="808080"/>
        <w:position w:val="3"/>
      </w:rPr>
    </w:lvl>
    <w:lvl w:ilvl="1" w:tplc="06402A98">
      <w:start w:val="1"/>
      <w:numFmt w:val="bullet"/>
      <w:lvlText w:val="-"/>
      <w:lvlJc w:val="left"/>
      <w:pPr>
        <w:tabs>
          <w:tab w:val="num" w:pos="720"/>
        </w:tabs>
        <w:ind w:left="720" w:hanging="360"/>
      </w:pPr>
      <w:rPr>
        <w:rFonts w:ascii="Courier New" w:hAnsi="Courier New" w:hint="default"/>
        <w:color w:val="808080"/>
        <w:position w:val="3"/>
      </w:rPr>
    </w:lvl>
    <w:lvl w:ilvl="2" w:tplc="E90609CA">
      <w:start w:val="1"/>
      <w:numFmt w:val="bullet"/>
      <w:lvlText w:val=""/>
      <w:lvlJc w:val="left"/>
      <w:pPr>
        <w:tabs>
          <w:tab w:val="num" w:pos="1080"/>
        </w:tabs>
        <w:ind w:left="1080" w:hanging="360"/>
      </w:pPr>
      <w:rPr>
        <w:rFonts w:ascii="Wingdings" w:hAnsi="Wingdings" w:hint="default"/>
        <w:color w:val="333333"/>
        <w:position w:val="3"/>
      </w:rPr>
    </w:lvl>
    <w:lvl w:ilvl="3" w:tplc="86669124" w:tentative="1">
      <w:start w:val="1"/>
      <w:numFmt w:val="bullet"/>
      <w:lvlText w:val=""/>
      <w:lvlJc w:val="left"/>
      <w:pPr>
        <w:tabs>
          <w:tab w:val="num" w:pos="2880"/>
        </w:tabs>
        <w:ind w:left="2880" w:hanging="360"/>
      </w:pPr>
      <w:rPr>
        <w:rFonts w:ascii="Symbol" w:hAnsi="Symbol" w:hint="default"/>
      </w:rPr>
    </w:lvl>
    <w:lvl w:ilvl="4" w:tplc="911AFD0A" w:tentative="1">
      <w:start w:val="1"/>
      <w:numFmt w:val="bullet"/>
      <w:lvlText w:val="o"/>
      <w:lvlJc w:val="left"/>
      <w:pPr>
        <w:tabs>
          <w:tab w:val="num" w:pos="3600"/>
        </w:tabs>
        <w:ind w:left="3600" w:hanging="360"/>
      </w:pPr>
      <w:rPr>
        <w:rFonts w:ascii="Courier New" w:hAnsi="Courier New" w:hint="default"/>
      </w:rPr>
    </w:lvl>
    <w:lvl w:ilvl="5" w:tplc="1AC2E964" w:tentative="1">
      <w:start w:val="1"/>
      <w:numFmt w:val="bullet"/>
      <w:lvlText w:val=""/>
      <w:lvlJc w:val="left"/>
      <w:pPr>
        <w:tabs>
          <w:tab w:val="num" w:pos="4320"/>
        </w:tabs>
        <w:ind w:left="4320" w:hanging="360"/>
      </w:pPr>
      <w:rPr>
        <w:rFonts w:ascii="Wingdings" w:hAnsi="Wingdings" w:hint="default"/>
      </w:rPr>
    </w:lvl>
    <w:lvl w:ilvl="6" w:tplc="5E60050A" w:tentative="1">
      <w:start w:val="1"/>
      <w:numFmt w:val="bullet"/>
      <w:lvlText w:val=""/>
      <w:lvlJc w:val="left"/>
      <w:pPr>
        <w:tabs>
          <w:tab w:val="num" w:pos="5040"/>
        </w:tabs>
        <w:ind w:left="5040" w:hanging="360"/>
      </w:pPr>
      <w:rPr>
        <w:rFonts w:ascii="Symbol" w:hAnsi="Symbol" w:hint="default"/>
      </w:rPr>
    </w:lvl>
    <w:lvl w:ilvl="7" w:tplc="8A34610A" w:tentative="1">
      <w:start w:val="1"/>
      <w:numFmt w:val="bullet"/>
      <w:lvlText w:val="o"/>
      <w:lvlJc w:val="left"/>
      <w:pPr>
        <w:tabs>
          <w:tab w:val="num" w:pos="5760"/>
        </w:tabs>
        <w:ind w:left="5760" w:hanging="360"/>
      </w:pPr>
      <w:rPr>
        <w:rFonts w:ascii="Courier New" w:hAnsi="Courier New" w:hint="default"/>
      </w:rPr>
    </w:lvl>
    <w:lvl w:ilvl="8" w:tplc="191A68EA" w:tentative="1">
      <w:start w:val="1"/>
      <w:numFmt w:val="bullet"/>
      <w:lvlText w:val=""/>
      <w:lvlJc w:val="left"/>
      <w:pPr>
        <w:tabs>
          <w:tab w:val="num" w:pos="6480"/>
        </w:tabs>
        <w:ind w:left="6480" w:hanging="360"/>
      </w:pPr>
      <w:rPr>
        <w:rFonts w:ascii="Wingdings" w:hAnsi="Wingdings" w:hint="default"/>
      </w:rPr>
    </w:lvl>
  </w:abstractNum>
  <w:abstractNum w:abstractNumId="3">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4">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F64E1C"/>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1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nsid w:val="4AC81173"/>
    <w:multiLevelType w:val="multilevel"/>
    <w:tmpl w:val="B3C4D8B2"/>
    <w:numStyleLink w:val="AonList"/>
  </w:abstractNum>
  <w:abstractNum w:abstractNumId="9">
    <w:nsid w:val="55F9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2">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0E42893"/>
    <w:multiLevelType w:val="multilevel"/>
    <w:tmpl w:val="3704F20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7F11A83"/>
    <w:multiLevelType w:val="hybridMultilevel"/>
    <w:tmpl w:val="59E8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6"/>
  </w:num>
  <w:num w:numId="4">
    <w:abstractNumId w:val="11"/>
  </w:num>
  <w:num w:numId="5">
    <w:abstractNumId w:val="12"/>
  </w:num>
  <w:num w:numId="6">
    <w:abstractNumId w:val="5"/>
  </w:num>
  <w:num w:numId="7">
    <w:abstractNumId w:val="0"/>
  </w:num>
  <w:num w:numId="8">
    <w:abstractNumId w:val="8"/>
  </w:num>
  <w:num w:numId="9">
    <w:abstractNumId w:val="7"/>
  </w:num>
  <w:num w:numId="10">
    <w:abstractNumId w:val="3"/>
  </w:num>
  <w:num w:numId="11">
    <w:abstractNumId w:val="14"/>
  </w:num>
  <w:num w:numId="12">
    <w:abstractNumId w:val="9"/>
  </w:num>
  <w:num w:numId="13">
    <w:abstractNumId w:val="13"/>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6ED0"/>
    <w:rsid w:val="00026D6E"/>
    <w:rsid w:val="00046D27"/>
    <w:rsid w:val="00075357"/>
    <w:rsid w:val="00087709"/>
    <w:rsid w:val="000B2B20"/>
    <w:rsid w:val="000C237C"/>
    <w:rsid w:val="001052D9"/>
    <w:rsid w:val="00130EFA"/>
    <w:rsid w:val="00132EAB"/>
    <w:rsid w:val="00133EB8"/>
    <w:rsid w:val="00140654"/>
    <w:rsid w:val="001519A0"/>
    <w:rsid w:val="00161C38"/>
    <w:rsid w:val="00193FB9"/>
    <w:rsid w:val="001D01D4"/>
    <w:rsid w:val="00207AC9"/>
    <w:rsid w:val="00230498"/>
    <w:rsid w:val="00234A8F"/>
    <w:rsid w:val="00243AAD"/>
    <w:rsid w:val="0026357D"/>
    <w:rsid w:val="0026509A"/>
    <w:rsid w:val="00274338"/>
    <w:rsid w:val="002757BF"/>
    <w:rsid w:val="002C43A9"/>
    <w:rsid w:val="002D378B"/>
    <w:rsid w:val="00321778"/>
    <w:rsid w:val="003641B4"/>
    <w:rsid w:val="003B4445"/>
    <w:rsid w:val="003D11EF"/>
    <w:rsid w:val="004826DF"/>
    <w:rsid w:val="00484C05"/>
    <w:rsid w:val="004A6699"/>
    <w:rsid w:val="004C19C5"/>
    <w:rsid w:val="004F6723"/>
    <w:rsid w:val="00572B9B"/>
    <w:rsid w:val="0058699E"/>
    <w:rsid w:val="00596FE5"/>
    <w:rsid w:val="005B402B"/>
    <w:rsid w:val="005D6101"/>
    <w:rsid w:val="00631213"/>
    <w:rsid w:val="0064411E"/>
    <w:rsid w:val="00657B79"/>
    <w:rsid w:val="00657BDB"/>
    <w:rsid w:val="00666F6C"/>
    <w:rsid w:val="006F2AD3"/>
    <w:rsid w:val="007372A8"/>
    <w:rsid w:val="0074779E"/>
    <w:rsid w:val="007B6C0D"/>
    <w:rsid w:val="008671C4"/>
    <w:rsid w:val="00877C5D"/>
    <w:rsid w:val="008F152A"/>
    <w:rsid w:val="009349C9"/>
    <w:rsid w:val="00942648"/>
    <w:rsid w:val="009837F6"/>
    <w:rsid w:val="009A1695"/>
    <w:rsid w:val="009A3A28"/>
    <w:rsid w:val="009C15C5"/>
    <w:rsid w:val="009F7CF9"/>
    <w:rsid w:val="00A667E0"/>
    <w:rsid w:val="00A855D2"/>
    <w:rsid w:val="00B33A2C"/>
    <w:rsid w:val="00B606E6"/>
    <w:rsid w:val="00B71DB5"/>
    <w:rsid w:val="00C16A23"/>
    <w:rsid w:val="00C57EE1"/>
    <w:rsid w:val="00D33649"/>
    <w:rsid w:val="00D563B0"/>
    <w:rsid w:val="00D5712B"/>
    <w:rsid w:val="00D80981"/>
    <w:rsid w:val="00D81842"/>
    <w:rsid w:val="00D94A05"/>
    <w:rsid w:val="00DF3ECD"/>
    <w:rsid w:val="00E147BB"/>
    <w:rsid w:val="00E269A3"/>
    <w:rsid w:val="00E542BC"/>
    <w:rsid w:val="00E82861"/>
    <w:rsid w:val="00F06404"/>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 w:type="paragraph" w:customStyle="1" w:styleId="TableRowHead">
    <w:name w:val="TableRowHead"/>
    <w:basedOn w:val="Normal"/>
    <w:rsid w:val="00657B79"/>
    <w:pPr>
      <w:spacing w:before="40" w:line="200" w:lineRule="atLeast"/>
    </w:pPr>
    <w:rPr>
      <w:rFonts w:ascii="Arial" w:eastAsia="MS Mincho" w:hAnsi="Arial" w:cs="Arial"/>
      <w:b/>
      <w:szCs w:val="20"/>
    </w:rPr>
  </w:style>
  <w:style w:type="paragraph" w:customStyle="1" w:styleId="Tablecopy0">
    <w:name w:val="Tablecopy"/>
    <w:basedOn w:val="Normal"/>
    <w:rsid w:val="00657B79"/>
    <w:pPr>
      <w:spacing w:before="40" w:line="200" w:lineRule="atLeast"/>
      <w:jc w:val="right"/>
    </w:pPr>
    <w:rPr>
      <w:rFonts w:ascii="Arial" w:eastAsia="MS Mincho" w:hAnsi="Arial" w:cs="Arial"/>
      <w:szCs w:val="20"/>
    </w:rPr>
  </w:style>
  <w:style w:type="paragraph" w:customStyle="1" w:styleId="TableColumnHead0">
    <w:name w:val="TableColumnHead"/>
    <w:basedOn w:val="Normal"/>
    <w:rsid w:val="00657B79"/>
    <w:pPr>
      <w:spacing w:after="60" w:line="240" w:lineRule="auto"/>
      <w:jc w:val="right"/>
    </w:pPr>
    <w:rPr>
      <w:rFonts w:ascii="Arial" w:eastAsia="Times" w:hAnsi="Arial" w:cs="Arial"/>
      <w:b/>
      <w:szCs w:val="20"/>
    </w:rPr>
  </w:style>
  <w:style w:type="character" w:styleId="FollowedHyperlink">
    <w:name w:val="FollowedHyperlink"/>
    <w:basedOn w:val="DefaultParagraphFont"/>
    <w:uiPriority w:val="99"/>
    <w:semiHidden/>
    <w:unhideWhenUsed/>
    <w:rsid w:val="00657B79"/>
    <w:rPr>
      <w:color w:val="777877"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 w:type="paragraph" w:customStyle="1" w:styleId="TableRowHead">
    <w:name w:val="TableRowHead"/>
    <w:basedOn w:val="Normal"/>
    <w:rsid w:val="00657B79"/>
    <w:pPr>
      <w:spacing w:before="40" w:line="200" w:lineRule="atLeast"/>
    </w:pPr>
    <w:rPr>
      <w:rFonts w:ascii="Arial" w:eastAsia="MS Mincho" w:hAnsi="Arial" w:cs="Arial"/>
      <w:b/>
      <w:szCs w:val="20"/>
    </w:rPr>
  </w:style>
  <w:style w:type="paragraph" w:customStyle="1" w:styleId="Tablecopy0">
    <w:name w:val="Tablecopy"/>
    <w:basedOn w:val="Normal"/>
    <w:rsid w:val="00657B79"/>
    <w:pPr>
      <w:spacing w:before="40" w:line="200" w:lineRule="atLeast"/>
      <w:jc w:val="right"/>
    </w:pPr>
    <w:rPr>
      <w:rFonts w:ascii="Arial" w:eastAsia="MS Mincho" w:hAnsi="Arial" w:cs="Arial"/>
      <w:szCs w:val="20"/>
    </w:rPr>
  </w:style>
  <w:style w:type="paragraph" w:customStyle="1" w:styleId="TableColumnHead0">
    <w:name w:val="TableColumnHead"/>
    <w:basedOn w:val="Normal"/>
    <w:rsid w:val="00657B79"/>
    <w:pPr>
      <w:spacing w:after="60" w:line="240" w:lineRule="auto"/>
      <w:jc w:val="right"/>
    </w:pPr>
    <w:rPr>
      <w:rFonts w:ascii="Arial" w:eastAsia="Times" w:hAnsi="Arial" w:cs="Arial"/>
      <w:b/>
      <w:szCs w:val="20"/>
    </w:rPr>
  </w:style>
  <w:style w:type="character" w:styleId="FollowedHyperlink">
    <w:name w:val="FollowedHyperlink"/>
    <w:basedOn w:val="DefaultParagraphFont"/>
    <w:uiPriority w:val="99"/>
    <w:semiHidden/>
    <w:unhideWhenUsed/>
    <w:rsid w:val="00657B79"/>
    <w:rPr>
      <w:color w:val="77787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SRM.Mailbox@aon.com" TargetMode="External"/><Relationship Id="rId14" Type="http://schemas.openxmlformats.org/officeDocument/2006/relationships/customXml" Target="../customXml/item2.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A7EA73-AF43-4212-972D-70C91FDE61E5}">
  <ds:schemaRefs>
    <ds:schemaRef ds:uri="http://schemas.openxmlformats.org/officeDocument/2006/bibliography"/>
  </ds:schemaRefs>
</ds:datastoreItem>
</file>

<file path=customXml/itemProps2.xml><?xml version="1.0" encoding="utf-8"?>
<ds:datastoreItem xmlns:ds="http://schemas.openxmlformats.org/officeDocument/2006/customXml" ds:itemID="{65D8D792-BD34-4207-95C5-0B8DC9779ED2}"/>
</file>

<file path=customXml/itemProps3.xml><?xml version="1.0" encoding="utf-8"?>
<ds:datastoreItem xmlns:ds="http://schemas.openxmlformats.org/officeDocument/2006/customXml" ds:itemID="{27422261-46FA-4A48-8979-1DD5E403A81A}"/>
</file>

<file path=customXml/itemProps4.xml><?xml version="1.0" encoding="utf-8"?>
<ds:datastoreItem xmlns:ds="http://schemas.openxmlformats.org/officeDocument/2006/customXml" ds:itemID="{BCBC68D3-E19E-4180-9025-840067CF9F9E}"/>
</file>

<file path=docProps/app.xml><?xml version="1.0" encoding="utf-8"?>
<Properties xmlns="http://schemas.openxmlformats.org/officeDocument/2006/extended-properties" xmlns:vt="http://schemas.openxmlformats.org/officeDocument/2006/docPropsVTypes">
  <Template>Normal.dotm</Template>
  <TotalTime>1</TotalTime>
  <Pages>6</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6265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Courtney Weiland</cp:lastModifiedBy>
  <cp:revision>3</cp:revision>
  <cp:lastPrinted>2017-07-21T14:16:00Z</cp:lastPrinted>
  <dcterms:created xsi:type="dcterms:W3CDTF">2017-07-17T19:46:00Z</dcterms:created>
  <dcterms:modified xsi:type="dcterms:W3CDTF">2017-07-21T14:17:00Z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