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BC3" w:rsidRDefault="00623BC3" w:rsidP="00623BC3">
      <w:pPr>
        <w:pStyle w:val="Heading1"/>
      </w:pPr>
      <w:bookmarkStart w:id="0" w:name="_Toc289842747"/>
      <w:bookmarkStart w:id="1" w:name="_Toc301517818"/>
      <w:bookmarkStart w:id="2" w:name="_Toc304735574"/>
      <w:bookmarkStart w:id="3" w:name="_Toc300653622"/>
      <w:bookmarkStart w:id="4" w:name="_GoBack"/>
      <w:bookmarkEnd w:id="4"/>
      <w:r>
        <w:t>Vulnerability and Compliance Management Standard</w:t>
      </w:r>
    </w:p>
    <w:p w:rsidR="00623BC3" w:rsidRDefault="00623BC3" w:rsidP="00623BC3">
      <w:pPr>
        <w:pStyle w:val="Heading2"/>
      </w:pPr>
      <w:r>
        <w:t xml:space="preserve">Related </w:t>
      </w:r>
      <w:r w:rsidRPr="002311A6">
        <w:t>P</w:t>
      </w:r>
      <w:r>
        <w:t>olicy</w:t>
      </w:r>
    </w:p>
    <w:p w:rsidR="00623BC3" w:rsidRDefault="00623BC3" w:rsidP="00623BC3">
      <w:pPr>
        <w:pStyle w:val="NormalDS"/>
        <w:numPr>
          <w:ilvl w:val="0"/>
          <w:numId w:val="14"/>
        </w:numPr>
      </w:pPr>
      <w:bookmarkStart w:id="5" w:name="_Toc158805971"/>
      <w:bookmarkStart w:id="6" w:name="_Toc289842748"/>
      <w:bookmarkEnd w:id="0"/>
      <w:bookmarkEnd w:id="1"/>
      <w:bookmarkEnd w:id="2"/>
      <w:r>
        <w:t>202.00 Vulnerability and Compliance Management Policy</w:t>
      </w:r>
      <w:bookmarkStart w:id="7" w:name="_Toc304735578"/>
      <w:bookmarkEnd w:id="5"/>
      <w:bookmarkEnd w:id="6"/>
    </w:p>
    <w:p w:rsidR="00623BC3" w:rsidRPr="001325AE" w:rsidRDefault="00623BC3" w:rsidP="00623BC3">
      <w:pPr>
        <w:pStyle w:val="Heading2"/>
      </w:pPr>
      <w:r w:rsidRPr="001325AE">
        <w:t>Purpose</w:t>
      </w:r>
    </w:p>
    <w:p w:rsidR="00623BC3" w:rsidRPr="004A0F67" w:rsidRDefault="00623BC3" w:rsidP="00623BC3">
      <w:pPr>
        <w:pStyle w:val="NormalDS"/>
      </w:pPr>
      <w:r w:rsidRPr="004A0F67">
        <w:t xml:space="preserve">The purpose of the Standard pertains to the patching and secure configuration of information technology assets such as laptops, desktops, servers, and network equipment within </w:t>
      </w:r>
      <w:r>
        <w:t>Alight</w:t>
      </w:r>
      <w:r w:rsidRPr="004A0F67">
        <w:t>'s technology infrastructure. </w:t>
      </w:r>
    </w:p>
    <w:p w:rsidR="00623BC3" w:rsidRPr="004A0F67" w:rsidRDefault="00623BC3" w:rsidP="00623BC3">
      <w:pPr>
        <w:pStyle w:val="NormalDS"/>
      </w:pPr>
      <w:r>
        <w:t>Alight</w:t>
      </w:r>
      <w:r w:rsidRPr="004A0F67">
        <w:t xml:space="preserve"> </w:t>
      </w:r>
      <w:proofErr w:type="gramStart"/>
      <w:r w:rsidRPr="004A0F67">
        <w:t>has</w:t>
      </w:r>
      <w:proofErr w:type="gramEnd"/>
      <w:r w:rsidRPr="004A0F67">
        <w:t xml:space="preserve"> four core processes that define the vulnerability and compliance management process. Those processes at a high level include:</w:t>
      </w:r>
    </w:p>
    <w:p w:rsidR="00623BC3" w:rsidRPr="004A0F67" w:rsidRDefault="00623BC3" w:rsidP="00623BC3">
      <w:pPr>
        <w:pStyle w:val="NormalDS"/>
        <w:numPr>
          <w:ilvl w:val="0"/>
          <w:numId w:val="14"/>
        </w:numPr>
      </w:pPr>
      <w:r w:rsidRPr="004A0F67">
        <w:t>Monitor Internet sources and technology vendors for vulnerability risk related events</w:t>
      </w:r>
    </w:p>
    <w:p w:rsidR="00623BC3" w:rsidRPr="004A0F67" w:rsidRDefault="00623BC3" w:rsidP="00623BC3">
      <w:pPr>
        <w:pStyle w:val="NormalDS"/>
        <w:numPr>
          <w:ilvl w:val="0"/>
          <w:numId w:val="14"/>
        </w:numPr>
      </w:pPr>
      <w:r w:rsidRPr="004A0F67">
        <w:t>Delivery of vulnerability alerts/notifications that define risk levels and SLA</w:t>
      </w:r>
    </w:p>
    <w:p w:rsidR="00623BC3" w:rsidRPr="004A0F67" w:rsidRDefault="00623BC3" w:rsidP="00623BC3">
      <w:pPr>
        <w:pStyle w:val="NormalDS"/>
        <w:numPr>
          <w:ilvl w:val="0"/>
          <w:numId w:val="14"/>
        </w:numPr>
      </w:pPr>
      <w:r w:rsidRPr="004A0F67">
        <w:t>Vulnerability and Policy Compliance scanning of existing systems</w:t>
      </w:r>
    </w:p>
    <w:p w:rsidR="00623BC3" w:rsidRPr="004A0F67" w:rsidRDefault="00623BC3" w:rsidP="00623BC3">
      <w:pPr>
        <w:pStyle w:val="NormalDS"/>
        <w:numPr>
          <w:ilvl w:val="0"/>
          <w:numId w:val="14"/>
        </w:numPr>
      </w:pPr>
      <w:r w:rsidRPr="004A0F67">
        <w:t>Vulnerability and Policy Compliance scanning of new systems on the network</w:t>
      </w:r>
    </w:p>
    <w:p w:rsidR="00623BC3" w:rsidRPr="004A0F67" w:rsidRDefault="00623BC3" w:rsidP="00623BC3">
      <w:pPr>
        <w:pStyle w:val="NormalDS"/>
        <w:numPr>
          <w:ilvl w:val="0"/>
          <w:numId w:val="14"/>
        </w:numPr>
      </w:pPr>
      <w:r w:rsidRPr="004A0F67">
        <w:t xml:space="preserve">Driving treatment of identified vulnerabilities and system misconfigurations. </w:t>
      </w:r>
    </w:p>
    <w:p w:rsidR="00623BC3" w:rsidRPr="004A0F67" w:rsidRDefault="00623BC3" w:rsidP="00623BC3">
      <w:pPr>
        <w:pStyle w:val="NormalDS"/>
        <w:numPr>
          <w:ilvl w:val="0"/>
          <w:numId w:val="14"/>
        </w:numPr>
      </w:pPr>
      <w:r w:rsidRPr="004A0F67">
        <w:t>Reporting to provide business units CIOs with scorecards and metrics as well as templates for technology teams (self-service reporting).</w:t>
      </w:r>
    </w:p>
    <w:p w:rsidR="00623BC3" w:rsidRPr="00B76C96" w:rsidRDefault="00623BC3" w:rsidP="00623BC3">
      <w:pPr>
        <w:pStyle w:val="NormalDS"/>
      </w:pPr>
      <w:r w:rsidRPr="00B76C96">
        <w:t>.</w:t>
      </w:r>
    </w:p>
    <w:p w:rsidR="00623BC3" w:rsidRPr="00110062" w:rsidRDefault="00623BC3" w:rsidP="00623BC3">
      <w:pPr>
        <w:pStyle w:val="Heading2"/>
        <w:rPr>
          <w:rStyle w:val="Heading1Char"/>
        </w:rPr>
      </w:pPr>
      <w:r w:rsidRPr="00110062">
        <w:rPr>
          <w:rStyle w:val="Heading1Char"/>
        </w:rPr>
        <w:t>Standard Statements</w:t>
      </w:r>
      <w:bookmarkStart w:id="8" w:name="_Hlt103157950"/>
      <w:bookmarkStart w:id="9" w:name="_Toc300653623"/>
      <w:bookmarkEnd w:id="3"/>
      <w:bookmarkEnd w:id="7"/>
      <w:bookmarkEnd w:id="8"/>
    </w:p>
    <w:p w:rsidR="00623BC3" w:rsidRPr="000F5F9E" w:rsidRDefault="00623BC3" w:rsidP="00623BC3">
      <w:pPr>
        <w:pStyle w:val="Heading3"/>
        <w:numPr>
          <w:ilvl w:val="0"/>
          <w:numId w:val="9"/>
        </w:numPr>
        <w:spacing w:after="0"/>
        <w:ind w:left="540" w:hanging="540"/>
        <w:jc w:val="both"/>
        <w:rPr>
          <w:rFonts w:cs="Arial"/>
        </w:rPr>
      </w:pPr>
      <w:bookmarkStart w:id="10" w:name="_Toc308425989"/>
      <w:bookmarkStart w:id="11" w:name="_Toc158805972"/>
      <w:bookmarkStart w:id="12" w:name="_Toc289842767"/>
      <w:bookmarkStart w:id="13" w:name="_Toc301517836"/>
      <w:bookmarkStart w:id="14" w:name="_Toc304735590"/>
      <w:bookmarkEnd w:id="9"/>
      <w:r w:rsidRPr="000F5F9E">
        <w:rPr>
          <w:rFonts w:cs="Arial"/>
        </w:rPr>
        <w:t>Authorized Scanning Organization</w:t>
      </w:r>
      <w:r>
        <w:rPr>
          <w:rFonts w:cs="Arial"/>
        </w:rPr>
        <w:t xml:space="preserve"> Responsibilities</w:t>
      </w:r>
      <w:bookmarkEnd w:id="10"/>
    </w:p>
    <w:p w:rsidR="00623BC3" w:rsidRPr="000034CB" w:rsidRDefault="00623BC3" w:rsidP="00623BC3">
      <w:pPr>
        <w:pStyle w:val="NormalDS"/>
        <w:numPr>
          <w:ilvl w:val="1"/>
          <w:numId w:val="9"/>
        </w:numPr>
      </w:pPr>
      <w:r w:rsidRPr="000034CB">
        <w:t xml:space="preserve">The </w:t>
      </w:r>
      <w:r>
        <w:t xml:space="preserve">Alight Global Security Services (GSS) </w:t>
      </w:r>
      <w:r w:rsidRPr="000034CB">
        <w:t>team is the organization authorized to manage vulnerability management</w:t>
      </w:r>
      <w:r>
        <w:t xml:space="preserve"> and policy compliance</w:t>
      </w:r>
      <w:r w:rsidRPr="000034CB">
        <w:t xml:space="preserve"> scanning activities. </w:t>
      </w:r>
      <w:r>
        <w:t>GSS</w:t>
      </w:r>
      <w:r w:rsidRPr="000034CB">
        <w:t xml:space="preserve"> may grant </w:t>
      </w:r>
      <w:r>
        <w:t xml:space="preserve">self-scan </w:t>
      </w:r>
      <w:r w:rsidRPr="000034CB">
        <w:t>access to the scanning infrastructure resources upon request.</w:t>
      </w:r>
    </w:p>
    <w:p w:rsidR="00623BC3" w:rsidRPr="000034CB" w:rsidRDefault="00623BC3" w:rsidP="00623BC3">
      <w:pPr>
        <w:pStyle w:val="NormalDS"/>
        <w:numPr>
          <w:ilvl w:val="1"/>
          <w:numId w:val="9"/>
        </w:numPr>
      </w:pPr>
      <w:r>
        <w:t>GSS</w:t>
      </w:r>
      <w:r w:rsidRPr="000034CB">
        <w:t xml:space="preserve"> will evaluate and test products designed to collect vulnerability information from </w:t>
      </w:r>
      <w:r>
        <w:t>Alight</w:t>
      </w:r>
      <w:r w:rsidRPr="000034CB">
        <w:t>’s technology infrastructure.</w:t>
      </w:r>
    </w:p>
    <w:p w:rsidR="00623BC3" w:rsidRPr="000034CB" w:rsidRDefault="00623BC3" w:rsidP="00623BC3">
      <w:pPr>
        <w:pStyle w:val="NormalDS"/>
        <w:numPr>
          <w:ilvl w:val="1"/>
          <w:numId w:val="9"/>
        </w:numPr>
      </w:pPr>
      <w:r>
        <w:t>GSS</w:t>
      </w:r>
      <w:r w:rsidRPr="000034CB">
        <w:t xml:space="preserve"> will evaluate technology risks and communicate those risks along with the associated patch SLA to IT Support Organizations. </w:t>
      </w:r>
    </w:p>
    <w:p w:rsidR="00623BC3" w:rsidRDefault="00623BC3" w:rsidP="00623BC3">
      <w:pPr>
        <w:pStyle w:val="Heading3"/>
        <w:numPr>
          <w:ilvl w:val="0"/>
          <w:numId w:val="9"/>
        </w:numPr>
        <w:spacing w:after="0"/>
        <w:ind w:left="540" w:hanging="540"/>
        <w:jc w:val="both"/>
        <w:rPr>
          <w:rFonts w:cs="Arial"/>
        </w:rPr>
      </w:pPr>
      <w:bookmarkStart w:id="15" w:name="_Toc308425990"/>
      <w:r>
        <w:rPr>
          <w:rFonts w:cs="Arial"/>
        </w:rPr>
        <w:lastRenderedPageBreak/>
        <w:t>IT Support Organization Responsibilities</w:t>
      </w:r>
      <w:bookmarkEnd w:id="15"/>
    </w:p>
    <w:p w:rsidR="00623BC3" w:rsidRPr="000034CB" w:rsidRDefault="00623BC3" w:rsidP="00623BC3">
      <w:pPr>
        <w:pStyle w:val="NormalDS"/>
        <w:numPr>
          <w:ilvl w:val="1"/>
          <w:numId w:val="9"/>
        </w:numPr>
      </w:pPr>
      <w:r w:rsidRPr="000034CB">
        <w:t xml:space="preserve">All technology groups and support functions must provide </w:t>
      </w:r>
      <w:r>
        <w:t>administrative</w:t>
      </w:r>
      <w:r w:rsidRPr="000034CB">
        <w:t xml:space="preserve"> system access (as defined by the technology selected) in order to perform comprehensive scans of the environment.</w:t>
      </w:r>
    </w:p>
    <w:p w:rsidR="00623BC3" w:rsidRDefault="00623BC3" w:rsidP="00623BC3">
      <w:pPr>
        <w:pStyle w:val="NormalDS"/>
        <w:numPr>
          <w:ilvl w:val="1"/>
          <w:numId w:val="9"/>
        </w:numPr>
      </w:pPr>
      <w:r w:rsidRPr="000034CB">
        <w:t>IT Support Organizations will remediate vulnerabilities</w:t>
      </w:r>
      <w:r>
        <w:t>/system misconfigurations</w:t>
      </w:r>
      <w:r w:rsidRPr="000034CB">
        <w:t xml:space="preserve"> per the SLA, or will apply for a policy exception.</w:t>
      </w:r>
    </w:p>
    <w:p w:rsidR="00623BC3" w:rsidRPr="000034CB" w:rsidRDefault="00623BC3" w:rsidP="00623BC3">
      <w:pPr>
        <w:pStyle w:val="NormalDS"/>
        <w:numPr>
          <w:ilvl w:val="1"/>
          <w:numId w:val="9"/>
        </w:numPr>
      </w:pPr>
      <w:r>
        <w:t>IT Support Organizations will leverage the self-scan capability to scanning infrastructure to self-check the vulnerability/ misconfiguration remediation status on the system.</w:t>
      </w:r>
    </w:p>
    <w:p w:rsidR="00623BC3" w:rsidRPr="000F5F9E" w:rsidRDefault="00623BC3" w:rsidP="00623BC3">
      <w:pPr>
        <w:pStyle w:val="Heading3"/>
        <w:numPr>
          <w:ilvl w:val="0"/>
          <w:numId w:val="9"/>
        </w:numPr>
        <w:spacing w:after="0"/>
        <w:ind w:left="540" w:hanging="540"/>
        <w:jc w:val="both"/>
        <w:rPr>
          <w:rFonts w:cs="Arial"/>
        </w:rPr>
      </w:pPr>
      <w:bookmarkStart w:id="16" w:name="_Toc308425991"/>
      <w:r w:rsidRPr="000F5F9E">
        <w:rPr>
          <w:rFonts w:cs="Arial"/>
        </w:rPr>
        <w:t>Availability of Services for Scanning</w:t>
      </w:r>
      <w:bookmarkEnd w:id="16"/>
    </w:p>
    <w:p w:rsidR="00623BC3" w:rsidRPr="000034CB" w:rsidRDefault="00623BC3" w:rsidP="00623BC3">
      <w:pPr>
        <w:pStyle w:val="NormalDS"/>
        <w:numPr>
          <w:ilvl w:val="1"/>
          <w:numId w:val="9"/>
        </w:numPr>
      </w:pPr>
      <w:r w:rsidRPr="000034CB">
        <w:t>System owners must make systems available for scanning as needed.</w:t>
      </w:r>
    </w:p>
    <w:p w:rsidR="00623BC3" w:rsidRDefault="00623BC3" w:rsidP="00623BC3">
      <w:pPr>
        <w:pStyle w:val="NormalDS"/>
        <w:numPr>
          <w:ilvl w:val="1"/>
          <w:numId w:val="9"/>
        </w:numPr>
        <w:rPr>
          <w:szCs w:val="20"/>
        </w:rPr>
      </w:pPr>
      <w:r w:rsidRPr="000034CB">
        <w:t>As defined by scope, all systems must be evaluated for vulnerabilities</w:t>
      </w:r>
      <w:r>
        <w:t>/system misconfigurations</w:t>
      </w:r>
      <w:r w:rsidRPr="000034CB">
        <w:t xml:space="preserve"> accordingly.</w:t>
      </w:r>
    </w:p>
    <w:p w:rsidR="00623BC3" w:rsidRPr="00A354A6" w:rsidRDefault="00623BC3" w:rsidP="00623BC3">
      <w:pPr>
        <w:pStyle w:val="Heading3"/>
        <w:numPr>
          <w:ilvl w:val="0"/>
          <w:numId w:val="9"/>
        </w:numPr>
        <w:spacing w:after="0"/>
        <w:ind w:left="540" w:hanging="540"/>
        <w:jc w:val="both"/>
        <w:rPr>
          <w:rFonts w:cs="Arial"/>
        </w:rPr>
      </w:pPr>
      <w:bookmarkStart w:id="17" w:name="_Toc308425992"/>
      <w:r w:rsidRPr="00A354A6">
        <w:rPr>
          <w:rFonts w:cs="Arial"/>
        </w:rPr>
        <w:t>IT Responsibilities</w:t>
      </w:r>
      <w:bookmarkEnd w:id="17"/>
    </w:p>
    <w:p w:rsidR="00623BC3" w:rsidRPr="000034CB" w:rsidRDefault="00623BC3" w:rsidP="00623BC3">
      <w:pPr>
        <w:pStyle w:val="NormalDS"/>
        <w:numPr>
          <w:ilvl w:val="1"/>
          <w:numId w:val="9"/>
        </w:numPr>
      </w:pPr>
      <w:r w:rsidRPr="000034CB">
        <w:t>IT must have a process/procedure for vulnerability</w:t>
      </w:r>
      <w:r>
        <w:t xml:space="preserve"> and policy compliance</w:t>
      </w:r>
      <w:r w:rsidRPr="000034CB">
        <w:t xml:space="preserve"> management.</w:t>
      </w:r>
    </w:p>
    <w:p w:rsidR="00623BC3" w:rsidRPr="00D74781" w:rsidRDefault="00623BC3" w:rsidP="00623BC3">
      <w:pPr>
        <w:pStyle w:val="NormalDS"/>
        <w:numPr>
          <w:ilvl w:val="1"/>
          <w:numId w:val="9"/>
        </w:numPr>
      </w:pPr>
      <w:r w:rsidRPr="00D74781">
        <w:t>IT is responsible for patch management.</w:t>
      </w:r>
    </w:p>
    <w:p w:rsidR="00623BC3" w:rsidRPr="000034CB" w:rsidRDefault="00623BC3" w:rsidP="00623BC3">
      <w:pPr>
        <w:pStyle w:val="NormalDS"/>
        <w:numPr>
          <w:ilvl w:val="1"/>
          <w:numId w:val="9"/>
        </w:numPr>
      </w:pPr>
      <w:r w:rsidRPr="000034CB">
        <w:t>IT is responsible for vulnerability</w:t>
      </w:r>
      <w:r>
        <w:t>/system misconfiguration</w:t>
      </w:r>
      <w:r w:rsidRPr="000034CB">
        <w:t xml:space="preserve"> remediation.</w:t>
      </w:r>
    </w:p>
    <w:p w:rsidR="00623BC3" w:rsidRDefault="00623BC3" w:rsidP="00623BC3">
      <w:pPr>
        <w:pStyle w:val="NormalDS"/>
        <w:numPr>
          <w:ilvl w:val="1"/>
          <w:numId w:val="9"/>
        </w:numPr>
      </w:pPr>
      <w:r w:rsidRPr="000034CB">
        <w:t>IT must resolve vulnerabilities</w:t>
      </w:r>
      <w:r>
        <w:t>/system misconfigurations</w:t>
      </w:r>
      <w:r w:rsidRPr="000034CB">
        <w:t xml:space="preserve"> in accordance with </w:t>
      </w:r>
      <w:r>
        <w:t xml:space="preserve">defined SLAs found in </w:t>
      </w:r>
      <w:hyperlink w:anchor="_Vulnerability_Ratings" w:history="1">
        <w:r w:rsidRPr="00D30AB6">
          <w:rPr>
            <w:rStyle w:val="Hyperlink"/>
            <w:rFonts w:ascii="Arial" w:hAnsi="Arial" w:cs="Arial"/>
          </w:rPr>
          <w:t>Section 13</w:t>
        </w:r>
      </w:hyperlink>
      <w:r>
        <w:t xml:space="preserve"> of this document. </w:t>
      </w:r>
    </w:p>
    <w:p w:rsidR="00623BC3" w:rsidRPr="000034CB" w:rsidRDefault="00623BC3" w:rsidP="00623BC3">
      <w:pPr>
        <w:pStyle w:val="NormalDS"/>
        <w:numPr>
          <w:ilvl w:val="1"/>
          <w:numId w:val="9"/>
        </w:numPr>
      </w:pPr>
      <w:r>
        <w:t xml:space="preserve">IT is responsible for </w:t>
      </w:r>
      <w:r w:rsidRPr="00EF4FE4">
        <w:t>maintaining updated vendor supported operating systems and application software with service packs, fixes and updates.</w:t>
      </w:r>
    </w:p>
    <w:p w:rsidR="00623BC3" w:rsidRPr="000F5F9E" w:rsidRDefault="00623BC3" w:rsidP="00623BC3">
      <w:pPr>
        <w:pStyle w:val="Heading3"/>
        <w:numPr>
          <w:ilvl w:val="0"/>
          <w:numId w:val="9"/>
        </w:numPr>
        <w:spacing w:after="0"/>
        <w:ind w:left="540" w:hanging="540"/>
        <w:jc w:val="both"/>
        <w:rPr>
          <w:rFonts w:cs="Arial"/>
        </w:rPr>
      </w:pPr>
      <w:bookmarkStart w:id="18" w:name="_Toc308425993"/>
      <w:r>
        <w:rPr>
          <w:rFonts w:cs="Arial"/>
        </w:rPr>
        <w:t>Internet-Facing Systems</w:t>
      </w:r>
      <w:bookmarkEnd w:id="18"/>
    </w:p>
    <w:p w:rsidR="00623BC3" w:rsidRDefault="00623BC3" w:rsidP="00623BC3">
      <w:pPr>
        <w:pStyle w:val="NormalDS"/>
        <w:numPr>
          <w:ilvl w:val="1"/>
          <w:numId w:val="9"/>
        </w:numPr>
      </w:pPr>
      <w:r>
        <w:t>All internet facing devices/equipment/services</w:t>
      </w:r>
      <w:r w:rsidRPr="000034CB">
        <w:t xml:space="preserve"> must be scanned for vulnerabilities and misconfiguration through the firewall</w:t>
      </w:r>
      <w:r>
        <w:t xml:space="preserve">.  </w:t>
      </w:r>
    </w:p>
    <w:p w:rsidR="00623BC3" w:rsidRPr="000034CB" w:rsidRDefault="00623BC3" w:rsidP="00623BC3">
      <w:pPr>
        <w:pStyle w:val="NormalDS"/>
        <w:numPr>
          <w:ilvl w:val="1"/>
          <w:numId w:val="9"/>
        </w:numPr>
      </w:pPr>
      <w:r>
        <w:t>T</w:t>
      </w:r>
      <w:r w:rsidRPr="000034CB">
        <w:t>he services</w:t>
      </w:r>
      <w:r>
        <w:t xml:space="preserve"> and applications</w:t>
      </w:r>
      <w:r w:rsidRPr="000034CB">
        <w:t xml:space="preserve"> exposed to the Internet will be evaluated</w:t>
      </w:r>
      <w:r>
        <w:t xml:space="preserve"> for external threat vulnerabilities</w:t>
      </w:r>
      <w:r w:rsidRPr="000034CB">
        <w:t xml:space="preserve">. </w:t>
      </w:r>
    </w:p>
    <w:p w:rsidR="00623BC3" w:rsidRPr="00FF6794" w:rsidRDefault="00623BC3" w:rsidP="00623BC3">
      <w:pPr>
        <w:pStyle w:val="Heading3"/>
        <w:numPr>
          <w:ilvl w:val="0"/>
          <w:numId w:val="9"/>
        </w:numPr>
        <w:spacing w:after="0"/>
        <w:ind w:left="540" w:hanging="540"/>
        <w:jc w:val="both"/>
        <w:rPr>
          <w:rFonts w:cs="Arial"/>
        </w:rPr>
      </w:pPr>
      <w:bookmarkStart w:id="19" w:name="_Toc308425994"/>
      <w:r w:rsidRPr="00FF6794">
        <w:rPr>
          <w:rFonts w:cs="Arial"/>
        </w:rPr>
        <w:t>DMZ Systems</w:t>
      </w:r>
      <w:bookmarkEnd w:id="19"/>
    </w:p>
    <w:p w:rsidR="00623BC3" w:rsidRPr="000034CB" w:rsidRDefault="00623BC3" w:rsidP="00623BC3">
      <w:pPr>
        <w:pStyle w:val="NormalDS"/>
        <w:numPr>
          <w:ilvl w:val="1"/>
          <w:numId w:val="9"/>
        </w:numPr>
      </w:pPr>
      <w:r>
        <w:t>All devices and applications in a DMZ</w:t>
      </w:r>
      <w:r w:rsidRPr="000034CB">
        <w:t xml:space="preserve"> must also be scanned for vulnerabilities and </w:t>
      </w:r>
      <w:r>
        <w:t xml:space="preserve">system </w:t>
      </w:r>
      <w:r w:rsidRPr="000034CB">
        <w:t>misconfiguration</w:t>
      </w:r>
      <w:r>
        <w:t>s</w:t>
      </w:r>
      <w:r w:rsidRPr="000034CB">
        <w:t xml:space="preserve">. </w:t>
      </w:r>
    </w:p>
    <w:p w:rsidR="00623BC3" w:rsidRPr="000F5F9E" w:rsidRDefault="00623BC3" w:rsidP="00623BC3">
      <w:pPr>
        <w:pStyle w:val="Heading3"/>
        <w:numPr>
          <w:ilvl w:val="0"/>
          <w:numId w:val="9"/>
        </w:numPr>
        <w:spacing w:after="0"/>
        <w:ind w:left="540" w:hanging="540"/>
        <w:jc w:val="both"/>
        <w:rPr>
          <w:rFonts w:cs="Arial"/>
        </w:rPr>
      </w:pPr>
      <w:bookmarkStart w:id="20" w:name="_Toc308425995"/>
      <w:r w:rsidRPr="000F5F9E">
        <w:rPr>
          <w:rFonts w:cs="Arial"/>
        </w:rPr>
        <w:t>Systems on the Internal Network</w:t>
      </w:r>
      <w:bookmarkEnd w:id="20"/>
    </w:p>
    <w:p w:rsidR="00623BC3" w:rsidRPr="000034CB" w:rsidRDefault="00623BC3" w:rsidP="00623BC3">
      <w:pPr>
        <w:pStyle w:val="NormalDS"/>
        <w:numPr>
          <w:ilvl w:val="1"/>
          <w:numId w:val="9"/>
        </w:numPr>
      </w:pPr>
      <w:r w:rsidRPr="000034CB">
        <w:t xml:space="preserve">Computer systems </w:t>
      </w:r>
      <w:r>
        <w:t>shall</w:t>
      </w:r>
      <w:r w:rsidRPr="000034CB">
        <w:t xml:space="preserve"> be scanned for vulnerabilities and misconfiguration from within the network environment</w:t>
      </w:r>
      <w:r>
        <w:t>.</w:t>
      </w:r>
      <w:r w:rsidRPr="000034CB">
        <w:t xml:space="preserve"> </w:t>
      </w:r>
    </w:p>
    <w:p w:rsidR="00623BC3" w:rsidRPr="000F5F9E" w:rsidRDefault="00623BC3" w:rsidP="00623BC3">
      <w:pPr>
        <w:pStyle w:val="Heading3"/>
        <w:numPr>
          <w:ilvl w:val="0"/>
          <w:numId w:val="9"/>
        </w:numPr>
        <w:spacing w:after="0"/>
        <w:ind w:left="540" w:hanging="540"/>
        <w:jc w:val="both"/>
        <w:rPr>
          <w:rFonts w:cs="Arial"/>
        </w:rPr>
      </w:pPr>
      <w:bookmarkStart w:id="21" w:name="_Toc308425996"/>
      <w:r w:rsidRPr="000F5F9E">
        <w:rPr>
          <w:rFonts w:cs="Arial"/>
        </w:rPr>
        <w:lastRenderedPageBreak/>
        <w:t>Scanning Frequency and Schedules</w:t>
      </w:r>
      <w:bookmarkEnd w:id="21"/>
    </w:p>
    <w:p w:rsidR="00623BC3" w:rsidRDefault="00623BC3" w:rsidP="00623BC3">
      <w:pPr>
        <w:pStyle w:val="NormalDS"/>
        <w:numPr>
          <w:ilvl w:val="1"/>
          <w:numId w:val="9"/>
        </w:numPr>
      </w:pPr>
      <w:r>
        <w:t>GSS</w:t>
      </w:r>
      <w:r w:rsidRPr="000034CB">
        <w:t xml:space="preserve"> is responsible for the establishment of the frequency by which systems must be scanned. </w:t>
      </w:r>
    </w:p>
    <w:p w:rsidR="00623BC3" w:rsidRPr="00544CA6" w:rsidRDefault="00623BC3" w:rsidP="00623BC3">
      <w:pPr>
        <w:pStyle w:val="NormalDS"/>
        <w:numPr>
          <w:ilvl w:val="1"/>
          <w:numId w:val="9"/>
        </w:numPr>
      </w:pPr>
      <w:r w:rsidRPr="00544CA6">
        <w:t xml:space="preserve">Schedules for scanning must be made available upon request. (Schedule will be published and ad hoc scanning will be performed on needed basis)  </w:t>
      </w:r>
    </w:p>
    <w:p w:rsidR="00623BC3" w:rsidRPr="00343A25" w:rsidRDefault="00623BC3" w:rsidP="00623BC3">
      <w:pPr>
        <w:pStyle w:val="Heading3"/>
        <w:numPr>
          <w:ilvl w:val="0"/>
          <w:numId w:val="9"/>
        </w:numPr>
        <w:spacing w:after="0"/>
        <w:ind w:left="540" w:hanging="540"/>
        <w:jc w:val="both"/>
      </w:pPr>
      <w:r>
        <w:rPr>
          <w:rFonts w:cs="Arial"/>
        </w:rPr>
        <w:t>Pre-Production Scanning Requirements</w:t>
      </w:r>
    </w:p>
    <w:p w:rsidR="00623BC3" w:rsidRPr="000034CB" w:rsidRDefault="00623BC3" w:rsidP="00623BC3">
      <w:pPr>
        <w:pStyle w:val="NormalDS"/>
        <w:numPr>
          <w:ilvl w:val="1"/>
          <w:numId w:val="9"/>
        </w:numPr>
      </w:pPr>
      <w:r w:rsidRPr="000034CB">
        <w:t xml:space="preserve">All servers must be evaluated for vulnerabilities and system misconfigurations prior to implementation. </w:t>
      </w:r>
    </w:p>
    <w:p w:rsidR="00623BC3" w:rsidRPr="000034CB" w:rsidRDefault="00623BC3" w:rsidP="00623BC3">
      <w:pPr>
        <w:pStyle w:val="NormalDS"/>
        <w:numPr>
          <w:ilvl w:val="1"/>
          <w:numId w:val="9"/>
        </w:numPr>
      </w:pPr>
      <w:r w:rsidRPr="000034CB">
        <w:t xml:space="preserve">All </w:t>
      </w:r>
      <w:r>
        <w:t>c</w:t>
      </w:r>
      <w:r w:rsidRPr="000034CB">
        <w:t xml:space="preserve">onfirmed </w:t>
      </w:r>
      <w:r>
        <w:t>v</w:t>
      </w:r>
      <w:r w:rsidRPr="000034CB">
        <w:t>ulnerabilities</w:t>
      </w:r>
      <w:r>
        <w:t>/system misconfigurations</w:t>
      </w:r>
      <w:r w:rsidRPr="000034CB">
        <w:t xml:space="preserve"> </w:t>
      </w:r>
      <w:r>
        <w:t>that are s</w:t>
      </w:r>
      <w:r w:rsidRPr="000034CB">
        <w:t xml:space="preserve">everity 3 and higher (see </w:t>
      </w:r>
      <w:hyperlink w:anchor="_Remediation_Schedule,_by" w:history="1">
        <w:r w:rsidRPr="0053549D">
          <w:rPr>
            <w:rStyle w:val="Hyperlink"/>
            <w:rFonts w:ascii="Arial" w:hAnsi="Arial" w:cs="Arial"/>
          </w:rPr>
          <w:t>Remediation Schedule, by Severity</w:t>
        </w:r>
      </w:hyperlink>
      <w:r w:rsidRPr="000034CB">
        <w:t xml:space="preserve"> for details) must be remediated before the system is approved for Internet facing zones or before processing/storing client data</w:t>
      </w:r>
      <w:r>
        <w:t xml:space="preserve">. </w:t>
      </w:r>
    </w:p>
    <w:p w:rsidR="00623BC3" w:rsidRDefault="00623BC3" w:rsidP="00623BC3">
      <w:pPr>
        <w:pStyle w:val="Heading3"/>
        <w:numPr>
          <w:ilvl w:val="0"/>
          <w:numId w:val="9"/>
        </w:numPr>
        <w:spacing w:after="0"/>
        <w:ind w:left="540" w:hanging="540"/>
        <w:jc w:val="both"/>
      </w:pPr>
      <w:bookmarkStart w:id="22" w:name="_Toc308425998"/>
      <w:r w:rsidRPr="00294F0C">
        <w:rPr>
          <w:rFonts w:cs="Arial"/>
        </w:rPr>
        <w:t>Vulnerability</w:t>
      </w:r>
      <w:r w:rsidRPr="004D30F5">
        <w:t xml:space="preserve"> Scanning and False Positives</w:t>
      </w:r>
      <w:bookmarkEnd w:id="22"/>
    </w:p>
    <w:p w:rsidR="00623BC3" w:rsidRPr="000034CB" w:rsidRDefault="00623BC3" w:rsidP="00623BC3">
      <w:pPr>
        <w:pStyle w:val="NormalDS"/>
        <w:numPr>
          <w:ilvl w:val="1"/>
          <w:numId w:val="9"/>
        </w:numPr>
      </w:pPr>
      <w:r w:rsidRPr="0053245A">
        <w:rPr>
          <w:b/>
        </w:rPr>
        <w:t>Definition:</w:t>
      </w:r>
      <w:r w:rsidRPr="000034CB">
        <w:t xml:space="preserve"> False positives describe a condition where a system or application is not vulnerable to a particular vulnerability.</w:t>
      </w:r>
    </w:p>
    <w:p w:rsidR="00623BC3" w:rsidRPr="000034CB" w:rsidRDefault="00623BC3" w:rsidP="00623BC3">
      <w:pPr>
        <w:pStyle w:val="NormalDS"/>
        <w:numPr>
          <w:ilvl w:val="1"/>
          <w:numId w:val="9"/>
        </w:numPr>
      </w:pPr>
      <w:r w:rsidRPr="0053245A">
        <w:rPr>
          <w:b/>
        </w:rPr>
        <w:t>Administrator Responsibility:</w:t>
      </w:r>
      <w:r w:rsidRPr="000034CB">
        <w:t xml:space="preserve"> Administrators have the responsibility to collect evidence (i.e., logs, code versions, time stamps) and present it to the scanning authority.</w:t>
      </w:r>
    </w:p>
    <w:p w:rsidR="00623BC3" w:rsidRPr="000034CB" w:rsidRDefault="00623BC3" w:rsidP="00623BC3">
      <w:pPr>
        <w:pStyle w:val="NormalDS"/>
        <w:numPr>
          <w:ilvl w:val="1"/>
          <w:numId w:val="9"/>
        </w:numPr>
      </w:pPr>
      <w:r w:rsidRPr="0053245A">
        <w:rPr>
          <w:b/>
        </w:rPr>
        <w:t>Scanning Authority Responsibility</w:t>
      </w:r>
      <w:r w:rsidRPr="000034CB">
        <w:t xml:space="preserve">: </w:t>
      </w:r>
      <w:r>
        <w:t>GSS</w:t>
      </w:r>
      <w:r w:rsidRPr="000034CB">
        <w:t xml:space="preserve"> will present any false positive information collected to the scanning vendor for resolution.</w:t>
      </w:r>
    </w:p>
    <w:p w:rsidR="00623BC3" w:rsidRPr="000F5F9E" w:rsidRDefault="00623BC3" w:rsidP="00623BC3">
      <w:pPr>
        <w:pStyle w:val="Heading3"/>
        <w:numPr>
          <w:ilvl w:val="0"/>
          <w:numId w:val="9"/>
        </w:numPr>
        <w:spacing w:after="0"/>
        <w:ind w:left="540" w:hanging="540"/>
        <w:jc w:val="both"/>
        <w:rPr>
          <w:rFonts w:cs="Arial"/>
        </w:rPr>
      </w:pPr>
      <w:bookmarkStart w:id="23" w:name="_Toc308425999"/>
      <w:r w:rsidRPr="000F5F9E">
        <w:rPr>
          <w:rFonts w:cs="Arial"/>
        </w:rPr>
        <w:t>Vulnerability Alerting</w:t>
      </w:r>
      <w:bookmarkEnd w:id="23"/>
    </w:p>
    <w:p w:rsidR="00623BC3" w:rsidRPr="000034CB" w:rsidRDefault="00623BC3" w:rsidP="00623BC3">
      <w:pPr>
        <w:pStyle w:val="NormalDS"/>
        <w:numPr>
          <w:ilvl w:val="1"/>
          <w:numId w:val="9"/>
        </w:numPr>
      </w:pPr>
      <w:r w:rsidRPr="000034CB">
        <w:t xml:space="preserve">The </w:t>
      </w:r>
      <w:r>
        <w:t>Alight</w:t>
      </w:r>
      <w:r w:rsidRPr="000034CB">
        <w:t xml:space="preserve"> </w:t>
      </w:r>
      <w:r>
        <w:t>Global Security Services</w:t>
      </w:r>
      <w:r w:rsidRPr="000034CB">
        <w:t xml:space="preserve"> (</w:t>
      </w:r>
      <w:r>
        <w:t>GSS</w:t>
      </w:r>
      <w:r w:rsidRPr="000034CB">
        <w:t xml:space="preserve">) team will provide a vulnerability alerting function for all technology vulnerabilities that applies to the </w:t>
      </w:r>
      <w:proofErr w:type="gramStart"/>
      <w:r>
        <w:t>Alight</w:t>
      </w:r>
      <w:proofErr w:type="gramEnd"/>
      <w:r w:rsidRPr="000034CB">
        <w:t xml:space="preserve"> infrastructure. </w:t>
      </w:r>
    </w:p>
    <w:p w:rsidR="00623BC3" w:rsidRPr="000034CB" w:rsidRDefault="00623BC3" w:rsidP="00623BC3">
      <w:pPr>
        <w:pStyle w:val="NormalDS"/>
        <w:numPr>
          <w:ilvl w:val="1"/>
          <w:numId w:val="9"/>
        </w:numPr>
      </w:pPr>
      <w:r w:rsidRPr="000034CB">
        <w:t>Each alert at a minimum must contain the risk rating and remediation SLA, as defined by this standard.</w:t>
      </w:r>
    </w:p>
    <w:p w:rsidR="00623BC3" w:rsidRPr="000034CB" w:rsidRDefault="00623BC3" w:rsidP="00623BC3">
      <w:pPr>
        <w:pStyle w:val="NormalDS"/>
        <w:numPr>
          <w:ilvl w:val="1"/>
          <w:numId w:val="9"/>
        </w:numPr>
      </w:pPr>
      <w:r w:rsidRPr="000034CB">
        <w:t>SLAs for vulnerability alerting will be:</w:t>
      </w:r>
    </w:p>
    <w:p w:rsidR="00623BC3" w:rsidRPr="000034CB" w:rsidRDefault="00623BC3" w:rsidP="00623BC3">
      <w:pPr>
        <w:pStyle w:val="NormalDS"/>
        <w:numPr>
          <w:ilvl w:val="2"/>
          <w:numId w:val="9"/>
        </w:numPr>
        <w:ind w:left="1224"/>
      </w:pPr>
      <w:r w:rsidRPr="0053245A">
        <w:rPr>
          <w:b/>
        </w:rPr>
        <w:t>Scheduled Patch Releases</w:t>
      </w:r>
      <w:r>
        <w:t xml:space="preserve">: </w:t>
      </w:r>
      <w:r w:rsidRPr="000034CB">
        <w:t>Two business days from the announcement of a patch/workaround for scheduled releases.</w:t>
      </w:r>
    </w:p>
    <w:p w:rsidR="00623BC3" w:rsidRPr="000034CB" w:rsidRDefault="00623BC3" w:rsidP="00623BC3">
      <w:pPr>
        <w:pStyle w:val="NormalDS"/>
        <w:numPr>
          <w:ilvl w:val="2"/>
          <w:numId w:val="9"/>
        </w:numPr>
        <w:ind w:left="1224"/>
      </w:pPr>
      <w:r>
        <w:t xml:space="preserve">Ad Hoc / Off Cycle Patch Release: </w:t>
      </w:r>
      <w:r w:rsidRPr="000034CB">
        <w:t>Three business days from the announcement of a patch/workaround for scheduled releases.</w:t>
      </w:r>
    </w:p>
    <w:p w:rsidR="00623BC3" w:rsidRPr="000034CB" w:rsidRDefault="00623BC3" w:rsidP="00623BC3">
      <w:pPr>
        <w:pStyle w:val="NormalDS"/>
        <w:numPr>
          <w:ilvl w:val="1"/>
          <w:numId w:val="9"/>
        </w:numPr>
      </w:pPr>
      <w:r w:rsidRPr="000034CB">
        <w:t>IT support personnel are required to manage systems to vulnerability alert SLAs and, as a result, need to subscribe to the service.</w:t>
      </w:r>
    </w:p>
    <w:p w:rsidR="00623BC3" w:rsidRPr="000F5F9E" w:rsidRDefault="00623BC3" w:rsidP="00623BC3">
      <w:pPr>
        <w:pStyle w:val="Heading3"/>
        <w:numPr>
          <w:ilvl w:val="0"/>
          <w:numId w:val="9"/>
        </w:numPr>
        <w:spacing w:after="0"/>
        <w:ind w:left="540" w:hanging="540"/>
        <w:jc w:val="both"/>
        <w:rPr>
          <w:rFonts w:cs="Arial"/>
        </w:rPr>
      </w:pPr>
      <w:bookmarkStart w:id="24" w:name="_Remediation_Schedule,_by"/>
      <w:bookmarkStart w:id="25" w:name="_Toc308426000"/>
      <w:bookmarkEnd w:id="24"/>
      <w:r w:rsidRPr="000F5F9E">
        <w:rPr>
          <w:rFonts w:cs="Arial"/>
        </w:rPr>
        <w:t>Remediation Schedule, by Severity</w:t>
      </w:r>
      <w:bookmarkEnd w:id="25"/>
    </w:p>
    <w:p w:rsidR="00623BC3" w:rsidRDefault="00623BC3" w:rsidP="00623BC3">
      <w:pPr>
        <w:pStyle w:val="NormalDS"/>
        <w:numPr>
          <w:ilvl w:val="1"/>
          <w:numId w:val="9"/>
        </w:numPr>
      </w:pPr>
      <w:r w:rsidRPr="000034CB">
        <w:t xml:space="preserve">The following remediation schedule defines the severity ratings used in the Vulnerability Alerting process, and provides evaluation criteria used by </w:t>
      </w:r>
      <w:r>
        <w:t>Alight</w:t>
      </w:r>
      <w:r w:rsidRPr="000034CB">
        <w:t xml:space="preserve"> to describe and define risk. All vulnerabilities must be remediated as outlined in this Standard.</w:t>
      </w:r>
    </w:p>
    <w:tbl>
      <w:tblPr>
        <w:tblW w:w="0" w:type="auto"/>
        <w:tblInd w:w="705" w:type="dxa"/>
        <w:tblCellMar>
          <w:left w:w="0" w:type="dxa"/>
          <w:right w:w="0" w:type="dxa"/>
        </w:tblCellMar>
        <w:tblLook w:val="04A0" w:firstRow="1" w:lastRow="0" w:firstColumn="1" w:lastColumn="0" w:noHBand="0" w:noVBand="1"/>
      </w:tblPr>
      <w:tblGrid>
        <w:gridCol w:w="1062"/>
        <w:gridCol w:w="7668"/>
      </w:tblGrid>
      <w:tr w:rsidR="00623BC3" w:rsidRPr="002A02DA" w:rsidTr="00133A93">
        <w:tc>
          <w:tcPr>
            <w:tcW w:w="1062" w:type="dxa"/>
            <w:tcBorders>
              <w:top w:val="single" w:sz="8" w:space="0" w:color="auto"/>
              <w:left w:val="single" w:sz="8" w:space="0" w:color="auto"/>
              <w:bottom w:val="single" w:sz="8" w:space="0" w:color="auto"/>
              <w:right w:val="single" w:sz="8" w:space="0" w:color="auto"/>
            </w:tcBorders>
            <w:shd w:val="clear" w:color="auto" w:fill="E6E6E6"/>
            <w:tcMar>
              <w:top w:w="75" w:type="dxa"/>
              <w:left w:w="75" w:type="dxa"/>
              <w:bottom w:w="75" w:type="dxa"/>
              <w:right w:w="75" w:type="dxa"/>
            </w:tcMar>
            <w:hideMark/>
          </w:tcPr>
          <w:p w:rsidR="00623BC3" w:rsidRPr="002A02DA" w:rsidRDefault="00623BC3" w:rsidP="00133A93">
            <w:pPr>
              <w:spacing w:after="60"/>
              <w:jc w:val="center"/>
              <w:rPr>
                <w:rFonts w:eastAsia="Times New Roman" w:cs="Arial"/>
                <w:b/>
                <w:bCs/>
              </w:rPr>
            </w:pPr>
            <w:r w:rsidRPr="002A02DA">
              <w:rPr>
                <w:rFonts w:eastAsia="Times New Roman" w:cs="Arial"/>
                <w:b/>
                <w:bCs/>
              </w:rPr>
              <w:lastRenderedPageBreak/>
              <w:t>Rating</w:t>
            </w:r>
          </w:p>
          <w:p w:rsidR="00623BC3" w:rsidRPr="002A02DA" w:rsidRDefault="00623BC3" w:rsidP="00133A93">
            <w:pPr>
              <w:spacing w:after="60"/>
              <w:jc w:val="center"/>
              <w:rPr>
                <w:rFonts w:eastAsia="Times New Roman" w:cs="Arial"/>
                <w:b/>
                <w:bCs/>
              </w:rPr>
            </w:pPr>
            <w:r w:rsidRPr="002A02DA">
              <w:rPr>
                <w:rFonts w:eastAsia="Times New Roman" w:cs="Arial"/>
                <w:b/>
                <w:bCs/>
              </w:rPr>
              <w:t>(Severity)</w:t>
            </w:r>
          </w:p>
        </w:tc>
        <w:tc>
          <w:tcPr>
            <w:tcW w:w="7668" w:type="dxa"/>
            <w:tcBorders>
              <w:top w:val="single" w:sz="8" w:space="0" w:color="auto"/>
              <w:left w:val="nil"/>
              <w:bottom w:val="single" w:sz="8" w:space="0" w:color="auto"/>
              <w:right w:val="single" w:sz="8" w:space="0" w:color="auto"/>
            </w:tcBorders>
            <w:shd w:val="clear" w:color="auto" w:fill="E6E6E6"/>
            <w:tcMar>
              <w:top w:w="75" w:type="dxa"/>
              <w:left w:w="75" w:type="dxa"/>
              <w:bottom w:w="75" w:type="dxa"/>
              <w:right w:w="75" w:type="dxa"/>
            </w:tcMar>
            <w:vAlign w:val="center"/>
            <w:hideMark/>
          </w:tcPr>
          <w:p w:rsidR="00623BC3" w:rsidRPr="002A02DA" w:rsidRDefault="00623BC3" w:rsidP="00133A93">
            <w:pPr>
              <w:spacing w:after="60"/>
              <w:jc w:val="center"/>
              <w:rPr>
                <w:rFonts w:eastAsia="Times New Roman" w:cs="Arial"/>
                <w:b/>
                <w:bCs/>
              </w:rPr>
            </w:pPr>
            <w:r w:rsidRPr="002A02DA">
              <w:rPr>
                <w:rFonts w:eastAsia="Times New Roman" w:cs="Arial"/>
                <w:b/>
                <w:bCs/>
              </w:rPr>
              <w:t>Remediation SLA</w:t>
            </w:r>
          </w:p>
        </w:tc>
      </w:tr>
      <w:tr w:rsidR="00623BC3" w:rsidRPr="002A02DA" w:rsidTr="00133A93">
        <w:tc>
          <w:tcPr>
            <w:tcW w:w="1062" w:type="dxa"/>
            <w:tcBorders>
              <w:top w:val="nil"/>
              <w:left w:val="single" w:sz="8" w:space="0" w:color="auto"/>
              <w:bottom w:val="single" w:sz="8" w:space="0" w:color="auto"/>
              <w:right w:val="single" w:sz="8" w:space="0" w:color="auto"/>
            </w:tcBorders>
            <w:shd w:val="clear" w:color="auto" w:fill="E6E6E6"/>
            <w:tcMar>
              <w:top w:w="75" w:type="dxa"/>
              <w:left w:w="75" w:type="dxa"/>
              <w:bottom w:w="75" w:type="dxa"/>
              <w:right w:w="75" w:type="dxa"/>
            </w:tcMar>
            <w:hideMark/>
          </w:tcPr>
          <w:p w:rsidR="00623BC3" w:rsidRPr="002A02DA" w:rsidRDefault="00623BC3" w:rsidP="00133A93">
            <w:pPr>
              <w:spacing w:before="40" w:line="200" w:lineRule="atLeast"/>
              <w:jc w:val="center"/>
              <w:rPr>
                <w:rFonts w:eastAsia="Times New Roman" w:cs="Arial"/>
                <w:b/>
                <w:bCs/>
              </w:rPr>
            </w:pPr>
            <w:r w:rsidRPr="002A02DA">
              <w:rPr>
                <w:rFonts w:eastAsia="Times New Roman" w:cs="Arial"/>
                <w:b/>
                <w:bCs/>
              </w:rPr>
              <w:t>Critical</w:t>
            </w:r>
          </w:p>
          <w:p w:rsidR="00623BC3" w:rsidRPr="002A02DA" w:rsidRDefault="00623BC3" w:rsidP="00133A93">
            <w:pPr>
              <w:spacing w:before="40" w:line="200" w:lineRule="atLeast"/>
              <w:jc w:val="center"/>
              <w:rPr>
                <w:rFonts w:eastAsia="Times New Roman" w:cs="Arial"/>
                <w:b/>
                <w:bCs/>
              </w:rPr>
            </w:pPr>
            <w:r w:rsidRPr="002A02DA">
              <w:rPr>
                <w:rFonts w:eastAsia="Times New Roman" w:cs="Arial"/>
                <w:b/>
                <w:bCs/>
              </w:rPr>
              <w:t>(5)</w:t>
            </w:r>
          </w:p>
        </w:tc>
        <w:tc>
          <w:tcPr>
            <w:tcW w:w="7668" w:type="dxa"/>
            <w:tcBorders>
              <w:top w:val="nil"/>
              <w:left w:val="nil"/>
              <w:bottom w:val="single" w:sz="8" w:space="0" w:color="auto"/>
              <w:right w:val="single" w:sz="8" w:space="0" w:color="auto"/>
            </w:tcBorders>
            <w:tcMar>
              <w:top w:w="75" w:type="dxa"/>
              <w:left w:w="75" w:type="dxa"/>
              <w:bottom w:w="75" w:type="dxa"/>
              <w:right w:w="75" w:type="dxa"/>
            </w:tcMar>
            <w:hideMark/>
          </w:tcPr>
          <w:p w:rsidR="00623BC3" w:rsidRPr="002A02DA" w:rsidRDefault="00623BC3" w:rsidP="00133A93">
            <w:pPr>
              <w:rPr>
                <w:rFonts w:eastAsia="Times New Roman" w:cs="Arial"/>
              </w:rPr>
            </w:pPr>
            <w:r w:rsidRPr="002A02DA">
              <w:rPr>
                <w:rFonts w:eastAsia="Times New Roman" w:cs="Arial"/>
                <w:color w:val="000000"/>
              </w:rPr>
              <w:t xml:space="preserve">72 hours from </w:t>
            </w:r>
            <w:r w:rsidRPr="002A02DA">
              <w:rPr>
                <w:rFonts w:eastAsia="Times New Roman" w:cs="Arial"/>
              </w:rPr>
              <w:t>vulnerability alert released</w:t>
            </w:r>
          </w:p>
        </w:tc>
      </w:tr>
      <w:tr w:rsidR="00623BC3" w:rsidRPr="002A02DA" w:rsidTr="00133A93">
        <w:tc>
          <w:tcPr>
            <w:tcW w:w="1062" w:type="dxa"/>
            <w:tcBorders>
              <w:top w:val="nil"/>
              <w:left w:val="single" w:sz="8" w:space="0" w:color="auto"/>
              <w:bottom w:val="single" w:sz="8" w:space="0" w:color="auto"/>
              <w:right w:val="single" w:sz="8" w:space="0" w:color="auto"/>
            </w:tcBorders>
            <w:shd w:val="clear" w:color="auto" w:fill="E6E6E6"/>
            <w:tcMar>
              <w:top w:w="75" w:type="dxa"/>
              <w:left w:w="75" w:type="dxa"/>
              <w:bottom w:w="75" w:type="dxa"/>
              <w:right w:w="75" w:type="dxa"/>
            </w:tcMar>
            <w:hideMark/>
          </w:tcPr>
          <w:p w:rsidR="00623BC3" w:rsidRPr="002A02DA" w:rsidRDefault="00623BC3" w:rsidP="00133A93">
            <w:pPr>
              <w:spacing w:before="40" w:line="200" w:lineRule="atLeast"/>
              <w:jc w:val="center"/>
              <w:rPr>
                <w:rFonts w:eastAsia="Times New Roman" w:cs="Arial"/>
                <w:b/>
                <w:bCs/>
              </w:rPr>
            </w:pPr>
            <w:r w:rsidRPr="002A02DA">
              <w:rPr>
                <w:rFonts w:eastAsia="Times New Roman" w:cs="Arial"/>
                <w:b/>
                <w:bCs/>
              </w:rPr>
              <w:t>Urgent</w:t>
            </w:r>
          </w:p>
          <w:p w:rsidR="00623BC3" w:rsidRPr="002A02DA" w:rsidRDefault="00623BC3" w:rsidP="00133A93">
            <w:pPr>
              <w:spacing w:before="40" w:line="200" w:lineRule="atLeast"/>
              <w:jc w:val="center"/>
              <w:rPr>
                <w:rFonts w:eastAsia="Times New Roman" w:cs="Arial"/>
                <w:b/>
                <w:bCs/>
              </w:rPr>
            </w:pPr>
            <w:r w:rsidRPr="002A02DA">
              <w:rPr>
                <w:rFonts w:eastAsia="Times New Roman" w:cs="Arial"/>
                <w:b/>
                <w:bCs/>
              </w:rPr>
              <w:t>(4)</w:t>
            </w:r>
          </w:p>
        </w:tc>
        <w:tc>
          <w:tcPr>
            <w:tcW w:w="7668" w:type="dxa"/>
            <w:tcBorders>
              <w:top w:val="nil"/>
              <w:left w:val="nil"/>
              <w:bottom w:val="single" w:sz="8" w:space="0" w:color="auto"/>
              <w:right w:val="single" w:sz="8" w:space="0" w:color="auto"/>
            </w:tcBorders>
            <w:tcMar>
              <w:top w:w="75" w:type="dxa"/>
              <w:left w:w="75" w:type="dxa"/>
              <w:bottom w:w="75" w:type="dxa"/>
              <w:right w:w="75" w:type="dxa"/>
            </w:tcMar>
            <w:hideMark/>
          </w:tcPr>
          <w:p w:rsidR="00623BC3" w:rsidRPr="002A02DA" w:rsidRDefault="00623BC3" w:rsidP="00133A93">
            <w:pPr>
              <w:rPr>
                <w:rFonts w:eastAsia="Times New Roman" w:cs="Arial"/>
              </w:rPr>
            </w:pPr>
            <w:r w:rsidRPr="002A02DA">
              <w:rPr>
                <w:rFonts w:eastAsia="Times New Roman" w:cs="Arial"/>
                <w:color w:val="000000"/>
              </w:rPr>
              <w:t xml:space="preserve">14 days from </w:t>
            </w:r>
            <w:r w:rsidRPr="002A02DA">
              <w:rPr>
                <w:rFonts w:eastAsia="Times New Roman" w:cs="Arial"/>
              </w:rPr>
              <w:t xml:space="preserve">vulnerability alert </w:t>
            </w:r>
            <w:r w:rsidRPr="002A02DA">
              <w:rPr>
                <w:rFonts w:eastAsia="Times New Roman" w:cs="Arial"/>
                <w:color w:val="000000"/>
              </w:rPr>
              <w:t xml:space="preserve">released </w:t>
            </w:r>
          </w:p>
        </w:tc>
      </w:tr>
      <w:tr w:rsidR="00623BC3" w:rsidRPr="002A02DA" w:rsidTr="00133A93">
        <w:tc>
          <w:tcPr>
            <w:tcW w:w="1062" w:type="dxa"/>
            <w:tcBorders>
              <w:top w:val="nil"/>
              <w:left w:val="single" w:sz="8" w:space="0" w:color="auto"/>
              <w:bottom w:val="single" w:sz="8" w:space="0" w:color="auto"/>
              <w:right w:val="single" w:sz="8" w:space="0" w:color="auto"/>
            </w:tcBorders>
            <w:shd w:val="clear" w:color="auto" w:fill="E6E6E6"/>
            <w:tcMar>
              <w:top w:w="75" w:type="dxa"/>
              <w:left w:w="75" w:type="dxa"/>
              <w:bottom w:w="75" w:type="dxa"/>
              <w:right w:w="75" w:type="dxa"/>
            </w:tcMar>
            <w:hideMark/>
          </w:tcPr>
          <w:p w:rsidR="00623BC3" w:rsidRPr="002A02DA" w:rsidRDefault="00623BC3" w:rsidP="00133A93">
            <w:pPr>
              <w:spacing w:before="40" w:line="200" w:lineRule="atLeast"/>
              <w:jc w:val="center"/>
              <w:rPr>
                <w:rFonts w:eastAsia="Times New Roman" w:cs="Arial"/>
                <w:b/>
                <w:bCs/>
              </w:rPr>
            </w:pPr>
            <w:r w:rsidRPr="002A02DA">
              <w:rPr>
                <w:rFonts w:eastAsia="Times New Roman" w:cs="Arial"/>
                <w:b/>
                <w:bCs/>
              </w:rPr>
              <w:t>High</w:t>
            </w:r>
          </w:p>
          <w:p w:rsidR="00623BC3" w:rsidRPr="002A02DA" w:rsidRDefault="00623BC3" w:rsidP="00133A93">
            <w:pPr>
              <w:spacing w:before="40" w:line="200" w:lineRule="atLeast"/>
              <w:jc w:val="center"/>
              <w:rPr>
                <w:rFonts w:eastAsia="Times New Roman" w:cs="Arial"/>
                <w:b/>
                <w:bCs/>
              </w:rPr>
            </w:pPr>
            <w:r w:rsidRPr="002A02DA">
              <w:rPr>
                <w:rFonts w:eastAsia="Times New Roman" w:cs="Arial"/>
                <w:b/>
                <w:bCs/>
              </w:rPr>
              <w:t>(3)</w:t>
            </w:r>
          </w:p>
        </w:tc>
        <w:tc>
          <w:tcPr>
            <w:tcW w:w="7668" w:type="dxa"/>
            <w:tcBorders>
              <w:top w:val="nil"/>
              <w:left w:val="nil"/>
              <w:bottom w:val="single" w:sz="8" w:space="0" w:color="auto"/>
              <w:right w:val="single" w:sz="8" w:space="0" w:color="auto"/>
            </w:tcBorders>
            <w:tcMar>
              <w:top w:w="75" w:type="dxa"/>
              <w:left w:w="75" w:type="dxa"/>
              <w:bottom w:w="75" w:type="dxa"/>
              <w:right w:w="75" w:type="dxa"/>
            </w:tcMar>
            <w:hideMark/>
          </w:tcPr>
          <w:p w:rsidR="00623BC3" w:rsidRPr="002A02DA" w:rsidRDefault="00623BC3" w:rsidP="00133A93">
            <w:pPr>
              <w:rPr>
                <w:rFonts w:eastAsia="Times New Roman" w:cs="Arial"/>
              </w:rPr>
            </w:pPr>
            <w:r w:rsidRPr="002A02DA">
              <w:rPr>
                <w:rFonts w:eastAsia="Times New Roman" w:cs="Arial"/>
                <w:color w:val="000000"/>
              </w:rPr>
              <w:t>28 days from vulnerability</w:t>
            </w:r>
            <w:r w:rsidRPr="002A02DA">
              <w:rPr>
                <w:rFonts w:eastAsia="Times New Roman" w:cs="Arial"/>
              </w:rPr>
              <w:t xml:space="preserve"> alert released</w:t>
            </w:r>
          </w:p>
        </w:tc>
      </w:tr>
      <w:tr w:rsidR="00623BC3" w:rsidRPr="002A02DA" w:rsidTr="00133A93">
        <w:tc>
          <w:tcPr>
            <w:tcW w:w="1062" w:type="dxa"/>
            <w:tcBorders>
              <w:top w:val="nil"/>
              <w:left w:val="single" w:sz="8" w:space="0" w:color="auto"/>
              <w:bottom w:val="single" w:sz="8" w:space="0" w:color="auto"/>
              <w:right w:val="single" w:sz="8" w:space="0" w:color="auto"/>
            </w:tcBorders>
            <w:shd w:val="clear" w:color="auto" w:fill="E6E6E6"/>
            <w:tcMar>
              <w:top w:w="75" w:type="dxa"/>
              <w:left w:w="75" w:type="dxa"/>
              <w:bottom w:w="75" w:type="dxa"/>
              <w:right w:w="75" w:type="dxa"/>
            </w:tcMar>
            <w:hideMark/>
          </w:tcPr>
          <w:p w:rsidR="00623BC3" w:rsidRPr="002A02DA" w:rsidRDefault="00623BC3" w:rsidP="00133A93">
            <w:pPr>
              <w:spacing w:before="40" w:line="200" w:lineRule="atLeast"/>
              <w:jc w:val="center"/>
              <w:rPr>
                <w:rFonts w:eastAsia="Times New Roman" w:cs="Arial"/>
                <w:b/>
                <w:bCs/>
              </w:rPr>
            </w:pPr>
            <w:r w:rsidRPr="002A02DA">
              <w:rPr>
                <w:rFonts w:eastAsia="Times New Roman" w:cs="Arial"/>
                <w:b/>
                <w:bCs/>
              </w:rPr>
              <w:t>Medium</w:t>
            </w:r>
          </w:p>
          <w:p w:rsidR="00623BC3" w:rsidRPr="002A02DA" w:rsidRDefault="00623BC3" w:rsidP="00133A93">
            <w:pPr>
              <w:spacing w:before="40" w:line="200" w:lineRule="atLeast"/>
              <w:jc w:val="center"/>
              <w:rPr>
                <w:rFonts w:eastAsia="Times New Roman" w:cs="Arial"/>
                <w:b/>
                <w:bCs/>
              </w:rPr>
            </w:pPr>
            <w:r w:rsidRPr="002A02DA">
              <w:rPr>
                <w:rFonts w:eastAsia="Times New Roman" w:cs="Arial"/>
                <w:b/>
                <w:bCs/>
              </w:rPr>
              <w:t>(2)</w:t>
            </w:r>
          </w:p>
        </w:tc>
        <w:tc>
          <w:tcPr>
            <w:tcW w:w="7668" w:type="dxa"/>
            <w:tcBorders>
              <w:top w:val="nil"/>
              <w:left w:val="nil"/>
              <w:bottom w:val="single" w:sz="8" w:space="0" w:color="auto"/>
              <w:right w:val="single" w:sz="8" w:space="0" w:color="auto"/>
            </w:tcBorders>
            <w:tcMar>
              <w:top w:w="75" w:type="dxa"/>
              <w:left w:w="75" w:type="dxa"/>
              <w:bottom w:w="75" w:type="dxa"/>
              <w:right w:w="75" w:type="dxa"/>
            </w:tcMar>
            <w:hideMark/>
          </w:tcPr>
          <w:p w:rsidR="00623BC3" w:rsidRPr="002A02DA" w:rsidRDefault="00623BC3" w:rsidP="00133A93">
            <w:pPr>
              <w:rPr>
                <w:rFonts w:eastAsia="Times New Roman" w:cs="Arial"/>
              </w:rPr>
            </w:pPr>
            <w:r w:rsidRPr="002A02DA">
              <w:rPr>
                <w:rFonts w:eastAsia="Times New Roman" w:cs="Arial"/>
                <w:color w:val="000000"/>
              </w:rPr>
              <w:t xml:space="preserve">60 days from </w:t>
            </w:r>
            <w:r w:rsidRPr="002A02DA">
              <w:rPr>
                <w:rFonts w:eastAsia="Times New Roman" w:cs="Arial"/>
              </w:rPr>
              <w:t xml:space="preserve">vulnerability alert </w:t>
            </w:r>
            <w:r w:rsidRPr="002A02DA">
              <w:rPr>
                <w:rFonts w:eastAsia="Times New Roman" w:cs="Arial"/>
                <w:color w:val="000000"/>
              </w:rPr>
              <w:t>released</w:t>
            </w:r>
            <w:r>
              <w:rPr>
                <w:rFonts w:eastAsia="Times New Roman" w:cs="Arial"/>
                <w:color w:val="000000"/>
              </w:rPr>
              <w:t xml:space="preserve"> </w:t>
            </w:r>
          </w:p>
        </w:tc>
      </w:tr>
      <w:tr w:rsidR="00623BC3" w:rsidRPr="002A02DA" w:rsidTr="00133A93">
        <w:tc>
          <w:tcPr>
            <w:tcW w:w="1062" w:type="dxa"/>
            <w:tcBorders>
              <w:top w:val="nil"/>
              <w:left w:val="single" w:sz="8" w:space="0" w:color="auto"/>
              <w:bottom w:val="single" w:sz="8" w:space="0" w:color="auto"/>
              <w:right w:val="single" w:sz="8" w:space="0" w:color="auto"/>
            </w:tcBorders>
            <w:shd w:val="clear" w:color="auto" w:fill="E6E6E6"/>
            <w:tcMar>
              <w:top w:w="75" w:type="dxa"/>
              <w:left w:w="75" w:type="dxa"/>
              <w:bottom w:w="75" w:type="dxa"/>
              <w:right w:w="75" w:type="dxa"/>
            </w:tcMar>
            <w:hideMark/>
          </w:tcPr>
          <w:p w:rsidR="00623BC3" w:rsidRPr="002A02DA" w:rsidRDefault="00623BC3" w:rsidP="00133A93">
            <w:pPr>
              <w:spacing w:before="40" w:line="200" w:lineRule="atLeast"/>
              <w:jc w:val="center"/>
              <w:rPr>
                <w:rFonts w:eastAsia="Times New Roman" w:cs="Arial"/>
                <w:b/>
                <w:bCs/>
              </w:rPr>
            </w:pPr>
            <w:r w:rsidRPr="002A02DA">
              <w:rPr>
                <w:rFonts w:eastAsia="Times New Roman" w:cs="Arial"/>
                <w:b/>
                <w:bCs/>
              </w:rPr>
              <w:t>Low</w:t>
            </w:r>
          </w:p>
          <w:p w:rsidR="00623BC3" w:rsidRPr="002A02DA" w:rsidRDefault="00623BC3" w:rsidP="00133A93">
            <w:pPr>
              <w:spacing w:before="40" w:line="200" w:lineRule="atLeast"/>
              <w:jc w:val="center"/>
              <w:rPr>
                <w:rFonts w:eastAsia="Times New Roman" w:cs="Arial"/>
                <w:b/>
                <w:bCs/>
              </w:rPr>
            </w:pPr>
            <w:r w:rsidRPr="002A02DA">
              <w:rPr>
                <w:rFonts w:eastAsia="Times New Roman" w:cs="Arial"/>
                <w:b/>
                <w:bCs/>
              </w:rPr>
              <w:t>(1)</w:t>
            </w:r>
          </w:p>
        </w:tc>
        <w:tc>
          <w:tcPr>
            <w:tcW w:w="7668" w:type="dxa"/>
            <w:tcBorders>
              <w:top w:val="nil"/>
              <w:left w:val="nil"/>
              <w:bottom w:val="single" w:sz="8" w:space="0" w:color="auto"/>
              <w:right w:val="single" w:sz="8" w:space="0" w:color="auto"/>
            </w:tcBorders>
            <w:tcMar>
              <w:top w:w="75" w:type="dxa"/>
              <w:left w:w="75" w:type="dxa"/>
              <w:bottom w:w="75" w:type="dxa"/>
              <w:right w:w="75" w:type="dxa"/>
            </w:tcMar>
            <w:hideMark/>
          </w:tcPr>
          <w:p w:rsidR="00623BC3" w:rsidRPr="002A02DA" w:rsidRDefault="00623BC3" w:rsidP="00133A93">
            <w:pPr>
              <w:rPr>
                <w:rFonts w:eastAsia="Times New Roman" w:cs="Arial"/>
              </w:rPr>
            </w:pPr>
            <w:r w:rsidRPr="002A02DA">
              <w:rPr>
                <w:rFonts w:eastAsia="Times New Roman" w:cs="Arial"/>
                <w:color w:val="000000"/>
              </w:rPr>
              <w:t xml:space="preserve">Next scheduled system upgrade (not to exceed 90 days) </w:t>
            </w:r>
          </w:p>
        </w:tc>
      </w:tr>
    </w:tbl>
    <w:p w:rsidR="00623BC3" w:rsidRPr="00267AEF" w:rsidRDefault="00623BC3" w:rsidP="00623BC3">
      <w:pPr>
        <w:spacing w:before="120" w:after="120"/>
        <w:ind w:left="540"/>
        <w:jc w:val="both"/>
        <w:rPr>
          <w:rFonts w:cs="Arial"/>
        </w:rPr>
      </w:pPr>
    </w:p>
    <w:p w:rsidR="00623BC3" w:rsidRPr="000F5F9E" w:rsidRDefault="00623BC3" w:rsidP="00623BC3">
      <w:pPr>
        <w:pStyle w:val="Heading3"/>
        <w:numPr>
          <w:ilvl w:val="0"/>
          <w:numId w:val="9"/>
        </w:numPr>
        <w:spacing w:after="0"/>
        <w:ind w:left="540" w:hanging="547"/>
        <w:jc w:val="both"/>
        <w:rPr>
          <w:rFonts w:cs="Arial"/>
        </w:rPr>
      </w:pPr>
      <w:bookmarkStart w:id="26" w:name="_Vulnerability_Ratings"/>
      <w:bookmarkStart w:id="27" w:name="_Toc308426001"/>
      <w:bookmarkEnd w:id="26"/>
      <w:r w:rsidRPr="000F5F9E">
        <w:rPr>
          <w:rFonts w:cs="Arial"/>
        </w:rPr>
        <w:t>Vulnerability Ratings</w:t>
      </w:r>
      <w:bookmarkEnd w:id="27"/>
    </w:p>
    <w:p w:rsidR="00623BC3" w:rsidRPr="000034CB" w:rsidRDefault="00623BC3" w:rsidP="00623BC3">
      <w:pPr>
        <w:pStyle w:val="NormalDS"/>
        <w:numPr>
          <w:ilvl w:val="1"/>
          <w:numId w:val="9"/>
        </w:numPr>
      </w:pPr>
      <w:r w:rsidRPr="000034CB">
        <w:t>Vulnerabilities are designated into one of five classes, each with its own predetermined service level expectation for remediation:</w:t>
      </w:r>
    </w:p>
    <w:tbl>
      <w:tblPr>
        <w:tblW w:w="0" w:type="auto"/>
        <w:tblInd w:w="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062"/>
        <w:gridCol w:w="5123"/>
        <w:gridCol w:w="2620"/>
      </w:tblGrid>
      <w:tr w:rsidR="00623BC3" w:rsidRPr="00A246A0" w:rsidTr="00133A93">
        <w:tc>
          <w:tcPr>
            <w:tcW w:w="1062" w:type="dxa"/>
            <w:shd w:val="clear" w:color="auto" w:fill="E6E6E6"/>
            <w:tcMar>
              <w:top w:w="75" w:type="dxa"/>
              <w:left w:w="75" w:type="dxa"/>
              <w:bottom w:w="75" w:type="dxa"/>
              <w:right w:w="75" w:type="dxa"/>
            </w:tcMar>
          </w:tcPr>
          <w:p w:rsidR="00623BC3" w:rsidRPr="004A0F67" w:rsidRDefault="00623BC3" w:rsidP="00133A93">
            <w:pPr>
              <w:rPr>
                <w:b/>
              </w:rPr>
            </w:pPr>
            <w:r w:rsidRPr="004A0F67">
              <w:rPr>
                <w:b/>
              </w:rPr>
              <w:t>Rating</w:t>
            </w:r>
          </w:p>
          <w:p w:rsidR="00623BC3" w:rsidRPr="004A0F67" w:rsidRDefault="00623BC3" w:rsidP="00133A93">
            <w:pPr>
              <w:rPr>
                <w:b/>
              </w:rPr>
            </w:pPr>
            <w:r w:rsidRPr="004A0F67">
              <w:rPr>
                <w:b/>
              </w:rPr>
              <w:t>(Severity)</w:t>
            </w:r>
          </w:p>
        </w:tc>
        <w:tc>
          <w:tcPr>
            <w:tcW w:w="0" w:type="auto"/>
            <w:shd w:val="clear" w:color="auto" w:fill="E6E6E6"/>
            <w:tcMar>
              <w:top w:w="75" w:type="dxa"/>
              <w:left w:w="75" w:type="dxa"/>
              <w:bottom w:w="75" w:type="dxa"/>
              <w:right w:w="75" w:type="dxa"/>
            </w:tcMar>
            <w:vAlign w:val="center"/>
          </w:tcPr>
          <w:p w:rsidR="00623BC3" w:rsidRPr="004A0F67" w:rsidRDefault="00623BC3" w:rsidP="00133A93">
            <w:pPr>
              <w:rPr>
                <w:b/>
              </w:rPr>
            </w:pPr>
            <w:r w:rsidRPr="004A0F67">
              <w:rPr>
                <w:b/>
              </w:rPr>
              <w:t xml:space="preserve">Evaluation Criteria </w:t>
            </w:r>
            <w:r w:rsidRPr="004A0F67">
              <w:rPr>
                <w:b/>
              </w:rPr>
              <w:br w:type="textWrapping" w:clear="all"/>
            </w:r>
            <w:r w:rsidRPr="004A0F67">
              <w:rPr>
                <w:b/>
                <w:i/>
                <w:iCs/>
              </w:rPr>
              <w:t>Exploitation of Vulnerability Leads to:</w:t>
            </w:r>
          </w:p>
        </w:tc>
        <w:tc>
          <w:tcPr>
            <w:tcW w:w="0" w:type="auto"/>
            <w:shd w:val="clear" w:color="auto" w:fill="E6E6E6"/>
            <w:tcMar>
              <w:top w:w="75" w:type="dxa"/>
              <w:left w:w="75" w:type="dxa"/>
              <w:bottom w:w="75" w:type="dxa"/>
              <w:right w:w="75" w:type="dxa"/>
            </w:tcMar>
            <w:vAlign w:val="center"/>
          </w:tcPr>
          <w:p w:rsidR="00623BC3" w:rsidRPr="004A0F67" w:rsidRDefault="00623BC3" w:rsidP="00133A93">
            <w:pPr>
              <w:rPr>
                <w:b/>
              </w:rPr>
            </w:pPr>
            <w:r w:rsidRPr="004A0F67">
              <w:rPr>
                <w:b/>
              </w:rPr>
              <w:t>Remediation SLA</w:t>
            </w:r>
          </w:p>
        </w:tc>
      </w:tr>
      <w:tr w:rsidR="00623BC3" w:rsidRPr="00856D3B" w:rsidTr="00133A93">
        <w:tc>
          <w:tcPr>
            <w:tcW w:w="1062" w:type="dxa"/>
            <w:shd w:val="clear" w:color="auto" w:fill="E6E6E6"/>
            <w:tcMar>
              <w:top w:w="75" w:type="dxa"/>
              <w:left w:w="75" w:type="dxa"/>
              <w:bottom w:w="75" w:type="dxa"/>
              <w:right w:w="75" w:type="dxa"/>
            </w:tcMar>
          </w:tcPr>
          <w:p w:rsidR="00623BC3" w:rsidRPr="004A0F67" w:rsidRDefault="00623BC3" w:rsidP="00133A93">
            <w:pPr>
              <w:rPr>
                <w:b/>
                <w:bCs/>
              </w:rPr>
            </w:pPr>
            <w:r w:rsidRPr="004A0F67">
              <w:rPr>
                <w:b/>
                <w:bCs/>
              </w:rPr>
              <w:t>Critical</w:t>
            </w:r>
          </w:p>
          <w:p w:rsidR="00623BC3" w:rsidRPr="004A0F67" w:rsidRDefault="00623BC3" w:rsidP="00133A93">
            <w:pPr>
              <w:rPr>
                <w:b/>
              </w:rPr>
            </w:pPr>
            <w:r w:rsidRPr="004A0F67">
              <w:rPr>
                <w:b/>
                <w:bCs/>
              </w:rPr>
              <w:t>(5)</w:t>
            </w:r>
          </w:p>
        </w:tc>
        <w:tc>
          <w:tcPr>
            <w:tcW w:w="0" w:type="auto"/>
            <w:tcMar>
              <w:top w:w="75" w:type="dxa"/>
              <w:left w:w="75" w:type="dxa"/>
              <w:bottom w:w="75" w:type="dxa"/>
              <w:right w:w="75" w:type="dxa"/>
            </w:tcMar>
          </w:tcPr>
          <w:p w:rsidR="00623BC3" w:rsidRPr="00294F0C" w:rsidRDefault="00623BC3" w:rsidP="00133A93">
            <w:r>
              <w:t>I</w:t>
            </w:r>
            <w:r w:rsidRPr="00294F0C">
              <w:t xml:space="preserve">mmediate threat of integrity or confidentiality of customer data via the public Internet </w:t>
            </w:r>
          </w:p>
          <w:p w:rsidR="00623BC3" w:rsidRPr="00294F0C" w:rsidRDefault="00623BC3" w:rsidP="00133A93">
            <w:r>
              <w:t>W</w:t>
            </w:r>
            <w:r w:rsidRPr="00294F0C">
              <w:t xml:space="preserve">idespread virus or worm propagation through the </w:t>
            </w:r>
            <w:r>
              <w:t>Alight</w:t>
            </w:r>
            <w:r w:rsidRPr="00294F0C">
              <w:t xml:space="preserve"> private network </w:t>
            </w:r>
          </w:p>
        </w:tc>
        <w:tc>
          <w:tcPr>
            <w:tcW w:w="0" w:type="auto"/>
            <w:tcMar>
              <w:top w:w="75" w:type="dxa"/>
              <w:left w:w="75" w:type="dxa"/>
              <w:bottom w:w="75" w:type="dxa"/>
              <w:right w:w="75" w:type="dxa"/>
            </w:tcMar>
          </w:tcPr>
          <w:p w:rsidR="00623BC3" w:rsidRPr="00294F0C" w:rsidRDefault="00623BC3" w:rsidP="00133A93">
            <w:pPr>
              <w:rPr>
                <w:color w:val="000000"/>
              </w:rPr>
            </w:pPr>
            <w:r w:rsidRPr="00294F0C">
              <w:rPr>
                <w:color w:val="000000"/>
              </w:rPr>
              <w:t xml:space="preserve">72 hours from </w:t>
            </w:r>
            <w:r w:rsidRPr="00294F0C">
              <w:t>vulnerability alert released</w:t>
            </w:r>
          </w:p>
        </w:tc>
      </w:tr>
      <w:tr w:rsidR="00623BC3" w:rsidRPr="00856D3B" w:rsidTr="00133A93">
        <w:tc>
          <w:tcPr>
            <w:tcW w:w="1062" w:type="dxa"/>
            <w:shd w:val="clear" w:color="auto" w:fill="E6E6E6"/>
            <w:tcMar>
              <w:top w:w="75" w:type="dxa"/>
              <w:left w:w="75" w:type="dxa"/>
              <w:bottom w:w="75" w:type="dxa"/>
              <w:right w:w="75" w:type="dxa"/>
            </w:tcMar>
          </w:tcPr>
          <w:p w:rsidR="00623BC3" w:rsidRPr="004A0F67" w:rsidRDefault="00623BC3" w:rsidP="00133A93">
            <w:pPr>
              <w:rPr>
                <w:b/>
              </w:rPr>
            </w:pPr>
            <w:r w:rsidRPr="004A0F67">
              <w:rPr>
                <w:b/>
                <w:bCs/>
              </w:rPr>
              <w:t>Urgent</w:t>
            </w:r>
          </w:p>
          <w:p w:rsidR="00623BC3" w:rsidRPr="004A0F67" w:rsidRDefault="00623BC3" w:rsidP="00133A93">
            <w:pPr>
              <w:rPr>
                <w:b/>
              </w:rPr>
            </w:pPr>
            <w:r w:rsidRPr="004A0F67">
              <w:rPr>
                <w:b/>
              </w:rPr>
              <w:t>(4)</w:t>
            </w:r>
          </w:p>
        </w:tc>
        <w:tc>
          <w:tcPr>
            <w:tcW w:w="0" w:type="auto"/>
            <w:tcMar>
              <w:top w:w="75" w:type="dxa"/>
              <w:left w:w="75" w:type="dxa"/>
              <w:bottom w:w="75" w:type="dxa"/>
              <w:right w:w="75" w:type="dxa"/>
            </w:tcMar>
          </w:tcPr>
          <w:p w:rsidR="00623BC3" w:rsidRPr="00294F0C" w:rsidRDefault="00623BC3" w:rsidP="00133A93">
            <w:r>
              <w:t>P</w:t>
            </w:r>
            <w:r w:rsidRPr="00294F0C">
              <w:t>otential threat to integrity or confidentiality of customer data via the public Internet</w:t>
            </w:r>
          </w:p>
          <w:p w:rsidR="00623BC3" w:rsidRPr="00294F0C" w:rsidRDefault="00623BC3" w:rsidP="00133A93">
            <w:r>
              <w:t>P</w:t>
            </w:r>
            <w:r w:rsidRPr="00294F0C">
              <w:t>otential threat to availability of customer-facing systems</w:t>
            </w:r>
          </w:p>
          <w:p w:rsidR="00623BC3" w:rsidRPr="00294F0C" w:rsidRDefault="00623BC3" w:rsidP="00133A93">
            <w:r>
              <w:t>I</w:t>
            </w:r>
            <w:r w:rsidRPr="00294F0C">
              <w:t>mmediate threat to integrity or confidentiality of internal or customer data via internal corporate network</w:t>
            </w:r>
          </w:p>
          <w:p w:rsidR="00623BC3" w:rsidRPr="00294F0C" w:rsidRDefault="00623BC3" w:rsidP="00133A93">
            <w:r>
              <w:t>I</w:t>
            </w:r>
            <w:r w:rsidRPr="00294F0C">
              <w:t xml:space="preserve">mmediate threat to integrity or confidentiality of internal or customer data via private </w:t>
            </w:r>
            <w:r>
              <w:t>third</w:t>
            </w:r>
            <w:r w:rsidRPr="00294F0C">
              <w:t xml:space="preserve"> party links </w:t>
            </w:r>
          </w:p>
        </w:tc>
        <w:tc>
          <w:tcPr>
            <w:tcW w:w="0" w:type="auto"/>
            <w:tcMar>
              <w:top w:w="75" w:type="dxa"/>
              <w:left w:w="75" w:type="dxa"/>
              <w:bottom w:w="75" w:type="dxa"/>
              <w:right w:w="75" w:type="dxa"/>
            </w:tcMar>
          </w:tcPr>
          <w:p w:rsidR="00623BC3" w:rsidRPr="00294F0C" w:rsidRDefault="00623BC3" w:rsidP="00133A93">
            <w:pPr>
              <w:rPr>
                <w:color w:val="000000"/>
              </w:rPr>
            </w:pPr>
            <w:r w:rsidRPr="00294F0C">
              <w:rPr>
                <w:color w:val="000000"/>
              </w:rPr>
              <w:t xml:space="preserve">14 days from </w:t>
            </w:r>
            <w:r w:rsidRPr="00294F0C">
              <w:t xml:space="preserve">vulnerability alert </w:t>
            </w:r>
            <w:r w:rsidRPr="00294F0C">
              <w:rPr>
                <w:color w:val="000000"/>
              </w:rPr>
              <w:t>released</w:t>
            </w:r>
          </w:p>
        </w:tc>
      </w:tr>
      <w:tr w:rsidR="00623BC3" w:rsidRPr="00856D3B" w:rsidTr="00133A93">
        <w:tc>
          <w:tcPr>
            <w:tcW w:w="1062" w:type="dxa"/>
            <w:shd w:val="clear" w:color="auto" w:fill="E6E6E6"/>
            <w:tcMar>
              <w:top w:w="75" w:type="dxa"/>
              <w:left w:w="75" w:type="dxa"/>
              <w:bottom w:w="75" w:type="dxa"/>
              <w:right w:w="75" w:type="dxa"/>
            </w:tcMar>
          </w:tcPr>
          <w:p w:rsidR="00623BC3" w:rsidRPr="004A0F67" w:rsidRDefault="00623BC3" w:rsidP="00133A93">
            <w:pPr>
              <w:rPr>
                <w:b/>
                <w:bCs/>
              </w:rPr>
            </w:pPr>
            <w:r w:rsidRPr="004A0F67">
              <w:rPr>
                <w:b/>
                <w:bCs/>
              </w:rPr>
              <w:t>High</w:t>
            </w:r>
          </w:p>
          <w:p w:rsidR="00623BC3" w:rsidRPr="004A0F67" w:rsidRDefault="00623BC3" w:rsidP="00133A93">
            <w:pPr>
              <w:rPr>
                <w:b/>
              </w:rPr>
            </w:pPr>
            <w:r w:rsidRPr="004A0F67">
              <w:rPr>
                <w:b/>
                <w:bCs/>
              </w:rPr>
              <w:t>(3)</w:t>
            </w:r>
          </w:p>
        </w:tc>
        <w:tc>
          <w:tcPr>
            <w:tcW w:w="0" w:type="auto"/>
            <w:tcMar>
              <w:top w:w="75" w:type="dxa"/>
              <w:left w:w="75" w:type="dxa"/>
              <w:bottom w:w="75" w:type="dxa"/>
              <w:right w:w="75" w:type="dxa"/>
            </w:tcMar>
          </w:tcPr>
          <w:p w:rsidR="00623BC3" w:rsidRPr="00294F0C" w:rsidRDefault="00623BC3" w:rsidP="00133A93">
            <w:r>
              <w:t>P</w:t>
            </w:r>
            <w:r w:rsidRPr="00294F0C">
              <w:t>otential threat to integrity or confidentiality of sensitive internal or customer data via internal corporate network</w:t>
            </w:r>
          </w:p>
          <w:p w:rsidR="00623BC3" w:rsidRPr="00294F0C" w:rsidRDefault="00623BC3" w:rsidP="00133A93">
            <w:r>
              <w:t>P</w:t>
            </w:r>
            <w:r w:rsidRPr="00294F0C">
              <w:t xml:space="preserve">otential threat to integrity or confidentiality of sensitive internal or customer data via </w:t>
            </w:r>
            <w:r>
              <w:t>third</w:t>
            </w:r>
            <w:r w:rsidRPr="00294F0C">
              <w:t xml:space="preserve"> party links </w:t>
            </w:r>
          </w:p>
          <w:p w:rsidR="00623BC3" w:rsidRPr="00294F0C" w:rsidRDefault="00623BC3" w:rsidP="00133A93">
            <w:r>
              <w:t>I</w:t>
            </w:r>
            <w:r w:rsidRPr="00294F0C">
              <w:t xml:space="preserve">mmediate threat to availability of internal systems </w:t>
            </w:r>
          </w:p>
          <w:p w:rsidR="00623BC3" w:rsidRPr="00294F0C" w:rsidRDefault="00623BC3" w:rsidP="00133A93">
            <w:r>
              <w:lastRenderedPageBreak/>
              <w:t>P</w:t>
            </w:r>
            <w:r w:rsidRPr="00294F0C">
              <w:t xml:space="preserve">otential threat to integrity or confidentiality of sensitive internal or customer data by authenticated internal user on the vulnerable device </w:t>
            </w:r>
          </w:p>
        </w:tc>
        <w:tc>
          <w:tcPr>
            <w:tcW w:w="0" w:type="auto"/>
            <w:tcMar>
              <w:top w:w="75" w:type="dxa"/>
              <w:left w:w="75" w:type="dxa"/>
              <w:bottom w:w="75" w:type="dxa"/>
              <w:right w:w="75" w:type="dxa"/>
            </w:tcMar>
          </w:tcPr>
          <w:p w:rsidR="00623BC3" w:rsidRPr="00294F0C" w:rsidRDefault="00623BC3" w:rsidP="00133A93">
            <w:pPr>
              <w:rPr>
                <w:color w:val="000000"/>
              </w:rPr>
            </w:pPr>
            <w:r w:rsidRPr="00294F0C">
              <w:rPr>
                <w:color w:val="000000"/>
              </w:rPr>
              <w:lastRenderedPageBreak/>
              <w:t>28 days from vulnerability</w:t>
            </w:r>
            <w:r w:rsidRPr="00294F0C">
              <w:t xml:space="preserve"> alert released</w:t>
            </w:r>
          </w:p>
        </w:tc>
      </w:tr>
      <w:tr w:rsidR="00623BC3" w:rsidRPr="00856D3B" w:rsidTr="00133A93">
        <w:tc>
          <w:tcPr>
            <w:tcW w:w="1062" w:type="dxa"/>
            <w:shd w:val="clear" w:color="auto" w:fill="E6E6E6"/>
            <w:tcMar>
              <w:top w:w="75" w:type="dxa"/>
              <w:left w:w="75" w:type="dxa"/>
              <w:bottom w:w="75" w:type="dxa"/>
              <w:right w:w="75" w:type="dxa"/>
            </w:tcMar>
          </w:tcPr>
          <w:p w:rsidR="00623BC3" w:rsidRPr="004A0F67" w:rsidRDefault="00623BC3" w:rsidP="00133A93">
            <w:pPr>
              <w:rPr>
                <w:b/>
              </w:rPr>
            </w:pPr>
            <w:r w:rsidRPr="004A0F67">
              <w:rPr>
                <w:b/>
              </w:rPr>
              <w:lastRenderedPageBreak/>
              <w:t>Medium</w:t>
            </w:r>
          </w:p>
          <w:p w:rsidR="00623BC3" w:rsidRPr="004A0F67" w:rsidRDefault="00623BC3" w:rsidP="00133A93">
            <w:pPr>
              <w:rPr>
                <w:b/>
              </w:rPr>
            </w:pPr>
            <w:r w:rsidRPr="004A0F67">
              <w:rPr>
                <w:b/>
              </w:rPr>
              <w:t>(2)</w:t>
            </w:r>
          </w:p>
        </w:tc>
        <w:tc>
          <w:tcPr>
            <w:tcW w:w="0" w:type="auto"/>
            <w:tcMar>
              <w:top w:w="75" w:type="dxa"/>
              <w:left w:w="75" w:type="dxa"/>
              <w:bottom w:w="75" w:type="dxa"/>
              <w:right w:w="75" w:type="dxa"/>
            </w:tcMar>
          </w:tcPr>
          <w:p w:rsidR="00623BC3" w:rsidRPr="00294F0C" w:rsidRDefault="00623BC3" w:rsidP="00133A93">
            <w:r>
              <w:t>P</w:t>
            </w:r>
            <w:r w:rsidRPr="00294F0C">
              <w:t>otential threat to integrity or confidentiality of non-sensitiv</w:t>
            </w:r>
            <w:r>
              <w:t>e customer or internal data</w:t>
            </w:r>
          </w:p>
          <w:p w:rsidR="00623BC3" w:rsidRPr="00294F0C" w:rsidRDefault="00623BC3" w:rsidP="00133A93">
            <w:r>
              <w:t>P</w:t>
            </w:r>
            <w:r w:rsidRPr="00294F0C">
              <w:t xml:space="preserve">otential threat to integrity or confidentiality of non-sensitive customer or internal data via private </w:t>
            </w:r>
            <w:r>
              <w:t>third</w:t>
            </w:r>
            <w:r w:rsidRPr="00294F0C">
              <w:t xml:space="preserve"> </w:t>
            </w:r>
            <w:r>
              <w:t>party links</w:t>
            </w:r>
          </w:p>
          <w:p w:rsidR="00623BC3" w:rsidRPr="00294F0C" w:rsidRDefault="00623BC3" w:rsidP="00133A93">
            <w:r>
              <w:t>P</w:t>
            </w:r>
            <w:r w:rsidRPr="00294F0C">
              <w:t xml:space="preserve">otential threat to availability of internal systems </w:t>
            </w:r>
          </w:p>
        </w:tc>
        <w:tc>
          <w:tcPr>
            <w:tcW w:w="0" w:type="auto"/>
            <w:tcMar>
              <w:top w:w="75" w:type="dxa"/>
              <w:left w:w="75" w:type="dxa"/>
              <w:bottom w:w="75" w:type="dxa"/>
              <w:right w:w="75" w:type="dxa"/>
            </w:tcMar>
          </w:tcPr>
          <w:p w:rsidR="00623BC3" w:rsidRPr="00294F0C" w:rsidRDefault="00623BC3" w:rsidP="00133A93">
            <w:pPr>
              <w:rPr>
                <w:rFonts w:cs="Arial"/>
                <w:color w:val="000000"/>
              </w:rPr>
            </w:pPr>
            <w:r w:rsidRPr="00294F0C">
              <w:rPr>
                <w:rFonts w:cs="Arial"/>
                <w:color w:val="000000"/>
              </w:rPr>
              <w:t xml:space="preserve">60 days from </w:t>
            </w:r>
            <w:r w:rsidRPr="00294F0C">
              <w:rPr>
                <w:rFonts w:cs="Arial"/>
              </w:rPr>
              <w:t xml:space="preserve">vulnerability alert </w:t>
            </w:r>
            <w:r w:rsidRPr="00294F0C">
              <w:rPr>
                <w:color w:val="000000"/>
              </w:rPr>
              <w:t>released</w:t>
            </w:r>
          </w:p>
        </w:tc>
      </w:tr>
      <w:tr w:rsidR="00623BC3" w:rsidRPr="00856D3B" w:rsidTr="00133A93">
        <w:tc>
          <w:tcPr>
            <w:tcW w:w="1062" w:type="dxa"/>
            <w:shd w:val="clear" w:color="auto" w:fill="E6E6E6"/>
            <w:tcMar>
              <w:top w:w="75" w:type="dxa"/>
              <w:left w:w="75" w:type="dxa"/>
              <w:bottom w:w="75" w:type="dxa"/>
              <w:right w:w="75" w:type="dxa"/>
            </w:tcMar>
          </w:tcPr>
          <w:p w:rsidR="00623BC3" w:rsidRPr="004A0F67" w:rsidRDefault="00623BC3" w:rsidP="00133A93">
            <w:pPr>
              <w:rPr>
                <w:b/>
              </w:rPr>
            </w:pPr>
            <w:r w:rsidRPr="004A0F67">
              <w:rPr>
                <w:b/>
              </w:rPr>
              <w:t>Low</w:t>
            </w:r>
          </w:p>
          <w:p w:rsidR="00623BC3" w:rsidRPr="004A0F67" w:rsidRDefault="00623BC3" w:rsidP="00133A93">
            <w:pPr>
              <w:rPr>
                <w:b/>
              </w:rPr>
            </w:pPr>
            <w:r w:rsidRPr="004A0F67">
              <w:rPr>
                <w:b/>
              </w:rPr>
              <w:t>(1)</w:t>
            </w:r>
          </w:p>
        </w:tc>
        <w:tc>
          <w:tcPr>
            <w:tcW w:w="0" w:type="auto"/>
            <w:tcMar>
              <w:top w:w="75" w:type="dxa"/>
              <w:left w:w="75" w:type="dxa"/>
              <w:bottom w:w="75" w:type="dxa"/>
              <w:right w:w="75" w:type="dxa"/>
            </w:tcMar>
          </w:tcPr>
          <w:p w:rsidR="00623BC3" w:rsidRPr="00294F0C" w:rsidRDefault="00623BC3" w:rsidP="00133A93">
            <w:r>
              <w:t>P</w:t>
            </w:r>
            <w:r w:rsidRPr="00294F0C">
              <w:t xml:space="preserve">otential threat to integrity or confidentiality of non-sensitive material on </w:t>
            </w:r>
            <w:r>
              <w:t xml:space="preserve">a </w:t>
            </w:r>
            <w:r w:rsidRPr="00294F0C">
              <w:t xml:space="preserve">small number of internal or external facing systems </w:t>
            </w:r>
          </w:p>
        </w:tc>
        <w:tc>
          <w:tcPr>
            <w:tcW w:w="0" w:type="auto"/>
            <w:tcMar>
              <w:top w:w="75" w:type="dxa"/>
              <w:left w:w="75" w:type="dxa"/>
              <w:bottom w:w="75" w:type="dxa"/>
              <w:right w:w="75" w:type="dxa"/>
            </w:tcMar>
          </w:tcPr>
          <w:p w:rsidR="00623BC3" w:rsidRPr="00294F0C" w:rsidRDefault="00623BC3" w:rsidP="00133A93">
            <w:pPr>
              <w:rPr>
                <w:rFonts w:cs="Arial"/>
                <w:color w:val="000000"/>
              </w:rPr>
            </w:pPr>
            <w:r w:rsidRPr="00294F0C">
              <w:rPr>
                <w:rFonts w:cs="Arial"/>
                <w:color w:val="000000"/>
              </w:rPr>
              <w:t xml:space="preserve">Next scheduled system upgrade (not to exceed </w:t>
            </w:r>
            <w:r>
              <w:rPr>
                <w:rFonts w:cs="Arial"/>
                <w:color w:val="000000"/>
              </w:rPr>
              <w:t>90 days</w:t>
            </w:r>
            <w:r w:rsidRPr="00294F0C">
              <w:rPr>
                <w:rFonts w:cs="Arial"/>
                <w:color w:val="000000"/>
              </w:rPr>
              <w:t>)</w:t>
            </w:r>
            <w:r>
              <w:rPr>
                <w:rFonts w:cs="Arial"/>
                <w:color w:val="000000"/>
              </w:rPr>
              <w:t xml:space="preserve">. </w:t>
            </w:r>
          </w:p>
        </w:tc>
      </w:tr>
    </w:tbl>
    <w:p w:rsidR="00623BC3" w:rsidRPr="009B7E7F" w:rsidRDefault="00623BC3" w:rsidP="00623BC3">
      <w:pPr>
        <w:pStyle w:val="NormalDS"/>
        <w:rPr>
          <w:lang w:bidi="he-IL"/>
        </w:rPr>
      </w:pPr>
    </w:p>
    <w:p w:rsidR="00623BC3" w:rsidRDefault="00623BC3" w:rsidP="00623BC3">
      <w:pPr>
        <w:pStyle w:val="Heading2"/>
      </w:pPr>
      <w:r>
        <w:t xml:space="preserve">References and </w:t>
      </w:r>
      <w:r w:rsidRPr="003C0DCB">
        <w:t>Mandates</w:t>
      </w:r>
      <w:bookmarkStart w:id="28" w:name="_Appendix_I"/>
      <w:bookmarkStart w:id="29" w:name="_Appendix_I_"/>
      <w:bookmarkStart w:id="30" w:name="_Toc304735593"/>
      <w:bookmarkEnd w:id="11"/>
      <w:bookmarkEnd w:id="12"/>
      <w:bookmarkEnd w:id="13"/>
      <w:bookmarkEnd w:id="14"/>
      <w:bookmarkEnd w:id="28"/>
      <w:bookmarkEnd w:id="29"/>
    </w:p>
    <w:p w:rsidR="00623BC3" w:rsidRPr="007E72DB" w:rsidRDefault="00623BC3" w:rsidP="00623BC3">
      <w:pPr>
        <w:pStyle w:val="NormalDS"/>
        <w:numPr>
          <w:ilvl w:val="0"/>
          <w:numId w:val="14"/>
        </w:numPr>
      </w:pPr>
      <w:bookmarkStart w:id="31" w:name="_Appendix_I_1"/>
      <w:bookmarkEnd w:id="31"/>
      <w:r>
        <w:t>None</w:t>
      </w:r>
    </w:p>
    <w:p w:rsidR="00623BC3" w:rsidRPr="00EE255B" w:rsidRDefault="00623BC3" w:rsidP="00623BC3">
      <w:pPr>
        <w:pStyle w:val="Heading2"/>
      </w:pPr>
      <w:r w:rsidRPr="007E6914">
        <w:t>Legal Conflicts</w:t>
      </w:r>
      <w:r w:rsidRPr="00EE255B">
        <w:t xml:space="preserve"> </w:t>
      </w:r>
    </w:p>
    <w:p w:rsidR="00623BC3" w:rsidRPr="001325AE" w:rsidRDefault="00623BC3" w:rsidP="00623BC3">
      <w:pPr>
        <w:pStyle w:val="NormalDS"/>
      </w:pPr>
      <w:r>
        <w:t>Alight</w:t>
      </w:r>
      <w:r w:rsidRPr="001325AE">
        <w:t xml:space="preserve"> Security Policies and Standards were drafted to address the protections found in existing laws and regulations and may be amended as necessary due to law, regulation, or business requirements.  There is no intent to conflict with relevant laws or regulations.  In the event of any conflict with relevant laws or regulations, they will control.</w:t>
      </w:r>
    </w:p>
    <w:p w:rsidR="00623BC3" w:rsidRDefault="00623BC3" w:rsidP="00623BC3">
      <w:pPr>
        <w:pStyle w:val="NormalDS"/>
      </w:pPr>
      <w:r>
        <w:t>Alight</w:t>
      </w:r>
      <w:r w:rsidRPr="001325AE">
        <w:t xml:space="preserve"> Security Policies and Standards may be supplemented by other policies or standards of </w:t>
      </w:r>
      <w:r>
        <w:t>Alight</w:t>
      </w:r>
      <w:r w:rsidRPr="001325AE">
        <w:t xml:space="preserve">.  In the case of a conflict or ambiguity, the more specific provisions of any such policy or standard of </w:t>
      </w:r>
      <w:r>
        <w:t>Alight</w:t>
      </w:r>
      <w:r w:rsidRPr="001325AE">
        <w:t xml:space="preserve"> shall take precedence over the more general provisions contained in </w:t>
      </w:r>
      <w:r>
        <w:t>Alight</w:t>
      </w:r>
      <w:r w:rsidRPr="001325AE">
        <w:t xml:space="preserve"> Security Policies and Standards.</w:t>
      </w:r>
    </w:p>
    <w:p w:rsidR="00623BC3" w:rsidRDefault="00623BC3" w:rsidP="00623BC3">
      <w:r>
        <w:br w:type="page"/>
      </w:r>
    </w:p>
    <w:p w:rsidR="00623BC3" w:rsidRPr="002311A6" w:rsidRDefault="00623BC3" w:rsidP="00623BC3">
      <w:pPr>
        <w:pStyle w:val="Heading1"/>
      </w:pPr>
      <w:bookmarkStart w:id="32" w:name="_Toc306014656"/>
      <w:bookmarkEnd w:id="30"/>
      <w:r w:rsidRPr="002311A6">
        <w:lastRenderedPageBreak/>
        <w:t>Document Control Information</w:t>
      </w:r>
      <w:bookmarkEnd w:id="32"/>
    </w:p>
    <w:p w:rsidR="00623BC3" w:rsidRPr="00274338" w:rsidRDefault="00623BC3" w:rsidP="00623BC3">
      <w:pPr>
        <w:pStyle w:val="TableTitle"/>
      </w:pPr>
      <w:bookmarkStart w:id="33" w:name="_Toc528945611"/>
      <w:bookmarkStart w:id="34" w:name="_Toc529855774"/>
      <w:bookmarkStart w:id="35" w:name="_Toc529856551"/>
      <w:bookmarkStart w:id="36" w:name="_Toc531756491"/>
      <w:bookmarkStart w:id="37" w:name="_Toc1631615"/>
      <w:bookmarkStart w:id="38" w:name="_Toc133747320"/>
      <w:bookmarkStart w:id="39" w:name="_Toc158457851"/>
      <w:bookmarkStart w:id="40" w:name="_Toc158805969"/>
      <w:bookmarkStart w:id="41" w:name="_Toc289842769"/>
      <w:bookmarkStart w:id="42" w:name="_Toc306014657"/>
      <w:r>
        <w:t xml:space="preserve">Document Control Information </w:t>
      </w:r>
    </w:p>
    <w:tbl>
      <w:tblPr>
        <w:tblW w:w="4987"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3355"/>
        <w:gridCol w:w="6210"/>
      </w:tblGrid>
      <w:tr w:rsidR="00623BC3" w:rsidRPr="00274338" w:rsidTr="00133A93">
        <w:trPr>
          <w:cantSplit/>
          <w:trHeight w:val="483"/>
        </w:trPr>
        <w:tc>
          <w:tcPr>
            <w:tcW w:w="3355" w:type="dxa"/>
            <w:tcBorders>
              <w:top w:val="single" w:sz="12" w:space="0" w:color="808080" w:themeColor="background1" w:themeShade="80"/>
              <w:bottom w:val="single" w:sz="4" w:space="0" w:color="808080" w:themeColor="background1" w:themeShade="80"/>
            </w:tcBorders>
            <w:shd w:val="clear" w:color="auto" w:fill="auto"/>
          </w:tcPr>
          <w:p w:rsidR="00623BC3" w:rsidRDefault="00623BC3" w:rsidP="00133A93">
            <w:pPr>
              <w:pStyle w:val="TableCopy"/>
            </w:pPr>
            <w:r>
              <w:t>Document Name</w:t>
            </w:r>
          </w:p>
        </w:tc>
        <w:tc>
          <w:tcPr>
            <w:tcW w:w="6210" w:type="dxa"/>
            <w:tcBorders>
              <w:top w:val="single" w:sz="12" w:space="0" w:color="808080" w:themeColor="background1" w:themeShade="80"/>
              <w:bottom w:val="single" w:sz="4" w:space="0" w:color="808080" w:themeColor="background1" w:themeShade="80"/>
            </w:tcBorders>
            <w:shd w:val="clear" w:color="auto" w:fill="auto"/>
          </w:tcPr>
          <w:p w:rsidR="00623BC3" w:rsidRDefault="00623BC3" w:rsidP="00133A93">
            <w:pPr>
              <w:pStyle w:val="Bullet4Table"/>
              <w:numPr>
                <w:ilvl w:val="0"/>
                <w:numId w:val="0"/>
              </w:numPr>
            </w:pPr>
            <w:r w:rsidRPr="004A0F67">
              <w:t>202.01 Vulnerability and Compliance Management Standard</w:t>
            </w:r>
          </w:p>
        </w:tc>
      </w:tr>
      <w:tr w:rsidR="00623BC3" w:rsidRPr="00274338" w:rsidTr="00133A93">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623BC3" w:rsidRDefault="00623BC3" w:rsidP="00133A93">
            <w:pPr>
              <w:pStyle w:val="TableCopy"/>
            </w:pPr>
            <w:r>
              <w:t>Primary Contact</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623BC3" w:rsidRDefault="00623BC3" w:rsidP="00133A93">
            <w:pPr>
              <w:pStyle w:val="TableCopy"/>
            </w:pPr>
            <w:r>
              <w:t>Alight</w:t>
            </w:r>
            <w:r w:rsidRPr="009B6065">
              <w:t xml:space="preserve"> Global Security Services | </w:t>
            </w:r>
            <w:hyperlink r:id="rId9" w:history="1">
              <w:r w:rsidRPr="009B6065">
                <w:rPr>
                  <w:rStyle w:val="Hyperlink"/>
                  <w:color w:val="auto"/>
                  <w:u w:val="none"/>
                </w:rPr>
                <w:t>global.security.services@aon.com</w:t>
              </w:r>
            </w:hyperlink>
          </w:p>
        </w:tc>
      </w:tr>
      <w:tr w:rsidR="00623BC3" w:rsidRPr="00274338" w:rsidTr="00133A93">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623BC3" w:rsidRPr="00274338" w:rsidRDefault="00623BC3" w:rsidP="00133A93">
            <w:pPr>
              <w:pStyle w:val="TableCopy"/>
            </w:pPr>
            <w:r>
              <w:t>Version Number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623BC3" w:rsidRPr="00274338" w:rsidRDefault="00623BC3" w:rsidP="00133A93">
            <w:pPr>
              <w:pStyle w:val="TableCopy"/>
            </w:pPr>
            <w:r>
              <w:t>1.7</w:t>
            </w:r>
          </w:p>
        </w:tc>
      </w:tr>
      <w:tr w:rsidR="00623BC3" w:rsidRPr="00274338" w:rsidTr="00133A93">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623BC3" w:rsidRPr="00274338" w:rsidRDefault="00623BC3" w:rsidP="00133A93">
            <w:pPr>
              <w:pStyle w:val="TableCopy"/>
            </w:pPr>
            <w:r>
              <w:t>Owner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623BC3" w:rsidRPr="00274338" w:rsidRDefault="00623BC3" w:rsidP="00133A93">
            <w:pPr>
              <w:pStyle w:val="TableCopy"/>
            </w:pPr>
            <w:r>
              <w:t>Alight</w:t>
            </w:r>
            <w:r w:rsidRPr="009B6065">
              <w:t xml:space="preserve"> Global Security Services | Information Security</w:t>
            </w:r>
          </w:p>
        </w:tc>
      </w:tr>
      <w:tr w:rsidR="00623BC3" w:rsidRPr="00274338" w:rsidTr="00133A93">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623BC3" w:rsidRPr="00274338" w:rsidRDefault="00623BC3" w:rsidP="00133A93">
            <w:pPr>
              <w:pStyle w:val="TableCopy"/>
            </w:pPr>
            <w:r>
              <w:t>Author(s)</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623BC3" w:rsidRPr="00274338" w:rsidRDefault="00623BC3" w:rsidP="00133A93">
            <w:pPr>
              <w:pStyle w:val="TableCopy"/>
            </w:pPr>
            <w:r>
              <w:t>Alight</w:t>
            </w:r>
            <w:r w:rsidRPr="009B6065">
              <w:t xml:space="preserve"> Global Security Services | Information Security</w:t>
            </w:r>
          </w:p>
        </w:tc>
      </w:tr>
      <w:tr w:rsidR="00623BC3" w:rsidRPr="00274338" w:rsidTr="00133A93">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623BC3" w:rsidRDefault="00623BC3" w:rsidP="00133A93">
            <w:pPr>
              <w:pStyle w:val="TableCopy"/>
            </w:pPr>
            <w:r>
              <w:t>Approved By</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623BC3" w:rsidRDefault="00623BC3" w:rsidP="00133A93">
            <w:pPr>
              <w:pStyle w:val="TableCopy"/>
            </w:pPr>
            <w:r>
              <w:t>Jim Hartley</w:t>
            </w:r>
            <w:r w:rsidRPr="009B6065">
              <w:t xml:space="preserve">, Chief </w:t>
            </w:r>
            <w:r>
              <w:t xml:space="preserve">Information </w:t>
            </w:r>
            <w:r w:rsidRPr="009B6065">
              <w:t>Security Officer</w:t>
            </w:r>
          </w:p>
        </w:tc>
      </w:tr>
      <w:tr w:rsidR="00623BC3" w:rsidRPr="00274338" w:rsidTr="00133A93">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623BC3" w:rsidRDefault="00623BC3" w:rsidP="00133A93">
            <w:pPr>
              <w:pStyle w:val="TableCopy"/>
            </w:pPr>
            <w:r>
              <w:t>Approval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623BC3" w:rsidRDefault="00623BC3" w:rsidP="00133A93">
            <w:pPr>
              <w:pStyle w:val="TableCopy"/>
            </w:pPr>
            <w:r>
              <w:t>May 1, 2017</w:t>
            </w:r>
          </w:p>
        </w:tc>
      </w:tr>
      <w:tr w:rsidR="00623BC3" w:rsidRPr="00274338" w:rsidTr="00133A93">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623BC3" w:rsidRDefault="00623BC3" w:rsidP="00133A93">
            <w:pPr>
              <w:pStyle w:val="TableCopy"/>
            </w:pPr>
            <w:r>
              <w:t>Effective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623BC3" w:rsidRDefault="00623BC3" w:rsidP="00133A93">
            <w:pPr>
              <w:pStyle w:val="TableCopy"/>
            </w:pPr>
            <w:r>
              <w:t>May 1, 2017</w:t>
            </w:r>
          </w:p>
        </w:tc>
      </w:tr>
      <w:tr w:rsidR="00623BC3" w:rsidRPr="00274338" w:rsidTr="00133A93">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623BC3" w:rsidRDefault="00623BC3" w:rsidP="00133A93">
            <w:pPr>
              <w:pStyle w:val="TableCopy"/>
            </w:pPr>
            <w:r>
              <w:t>Creation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623BC3" w:rsidRDefault="00623BC3" w:rsidP="00133A93">
            <w:pPr>
              <w:pStyle w:val="TableCopy"/>
            </w:pPr>
            <w:r>
              <w:t>May 2, 2011</w:t>
            </w:r>
          </w:p>
        </w:tc>
      </w:tr>
      <w:tr w:rsidR="00623BC3" w:rsidRPr="00274338" w:rsidTr="00133A93">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623BC3" w:rsidRDefault="00623BC3" w:rsidP="00133A93">
            <w:pPr>
              <w:pStyle w:val="TableCopy"/>
            </w:pPr>
            <w:r>
              <w:t>Information Classification</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623BC3" w:rsidRDefault="00623BC3" w:rsidP="00133A93">
            <w:pPr>
              <w:pStyle w:val="TableCopy"/>
            </w:pPr>
            <w:r w:rsidRPr="009B6065">
              <w:t>General Internal – Low Business Impact (Green)</w:t>
            </w:r>
          </w:p>
        </w:tc>
      </w:tr>
    </w:tbl>
    <w:p w:rsidR="00623BC3" w:rsidRPr="002311A6" w:rsidRDefault="00623BC3" w:rsidP="00623BC3">
      <w:pPr>
        <w:pStyle w:val="Heading1"/>
      </w:pPr>
      <w:r w:rsidRPr="002311A6">
        <w:lastRenderedPageBreak/>
        <w:t>Revision</w:t>
      </w:r>
      <w:bookmarkEnd w:id="33"/>
      <w:bookmarkEnd w:id="34"/>
      <w:bookmarkEnd w:id="35"/>
      <w:bookmarkEnd w:id="36"/>
      <w:r w:rsidRPr="002311A6">
        <w:t xml:space="preserve"> History</w:t>
      </w:r>
      <w:bookmarkEnd w:id="37"/>
      <w:bookmarkEnd w:id="38"/>
      <w:bookmarkEnd w:id="39"/>
      <w:bookmarkEnd w:id="40"/>
      <w:bookmarkEnd w:id="41"/>
      <w:bookmarkEnd w:id="42"/>
    </w:p>
    <w:p w:rsidR="00623BC3" w:rsidRPr="00274338" w:rsidRDefault="00623BC3" w:rsidP="00623BC3">
      <w:pPr>
        <w:pStyle w:val="TableTitle"/>
      </w:pPr>
      <w:r>
        <w:t>Revision History</w:t>
      </w:r>
    </w:p>
    <w:tbl>
      <w:tblPr>
        <w:tblW w:w="4987"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1646"/>
        <w:gridCol w:w="1441"/>
        <w:gridCol w:w="1979"/>
        <w:gridCol w:w="4499"/>
      </w:tblGrid>
      <w:tr w:rsidR="00623BC3" w:rsidRPr="00274338" w:rsidTr="00133A93">
        <w:trPr>
          <w:cantSplit/>
        </w:trPr>
        <w:tc>
          <w:tcPr>
            <w:tcW w:w="1646" w:type="dxa"/>
            <w:tcBorders>
              <w:top w:val="nil"/>
              <w:bottom w:val="single" w:sz="12" w:space="0" w:color="808080" w:themeColor="background1" w:themeShade="80"/>
            </w:tcBorders>
            <w:shd w:val="clear" w:color="auto" w:fill="auto"/>
            <w:vAlign w:val="bottom"/>
          </w:tcPr>
          <w:p w:rsidR="00623BC3" w:rsidRPr="00274338" w:rsidRDefault="00623BC3" w:rsidP="00133A93">
            <w:pPr>
              <w:pStyle w:val="TableColumnHead"/>
            </w:pPr>
            <w:r>
              <w:t>Revision Level</w:t>
            </w:r>
          </w:p>
        </w:tc>
        <w:tc>
          <w:tcPr>
            <w:tcW w:w="1441" w:type="dxa"/>
            <w:tcBorders>
              <w:top w:val="nil"/>
              <w:bottom w:val="single" w:sz="12" w:space="0" w:color="808080" w:themeColor="background1" w:themeShade="80"/>
            </w:tcBorders>
            <w:shd w:val="clear" w:color="auto" w:fill="auto"/>
            <w:vAlign w:val="bottom"/>
          </w:tcPr>
          <w:p w:rsidR="00623BC3" w:rsidRPr="00274338" w:rsidRDefault="00623BC3" w:rsidP="00133A93">
            <w:pPr>
              <w:pStyle w:val="TableColumnHead"/>
            </w:pPr>
            <w:r>
              <w:t>Date</w:t>
            </w:r>
          </w:p>
        </w:tc>
        <w:tc>
          <w:tcPr>
            <w:tcW w:w="1979" w:type="dxa"/>
            <w:tcBorders>
              <w:top w:val="nil"/>
              <w:bottom w:val="single" w:sz="12" w:space="0" w:color="808080" w:themeColor="background1" w:themeShade="80"/>
            </w:tcBorders>
            <w:shd w:val="clear" w:color="auto" w:fill="auto"/>
            <w:vAlign w:val="bottom"/>
          </w:tcPr>
          <w:p w:rsidR="00623BC3" w:rsidRPr="00274338" w:rsidRDefault="00623BC3" w:rsidP="00133A93">
            <w:pPr>
              <w:pStyle w:val="TableColumnHead"/>
            </w:pPr>
            <w:r>
              <w:t>Description</w:t>
            </w:r>
            <w:r w:rsidRPr="00274338">
              <w:t xml:space="preserve"> </w:t>
            </w:r>
          </w:p>
        </w:tc>
        <w:tc>
          <w:tcPr>
            <w:tcW w:w="4499" w:type="dxa"/>
            <w:tcBorders>
              <w:top w:val="nil"/>
              <w:bottom w:val="single" w:sz="12" w:space="0" w:color="808080" w:themeColor="background1" w:themeShade="80"/>
            </w:tcBorders>
          </w:tcPr>
          <w:p w:rsidR="00623BC3" w:rsidRDefault="00623BC3" w:rsidP="00133A93">
            <w:pPr>
              <w:pStyle w:val="TableColumnHead"/>
            </w:pPr>
            <w:r>
              <w:t>Change Summary</w:t>
            </w:r>
          </w:p>
        </w:tc>
      </w:tr>
      <w:tr w:rsidR="00623BC3" w:rsidRPr="00274338" w:rsidTr="00133A93">
        <w:trPr>
          <w:cantSplit/>
          <w:trHeight w:val="510"/>
        </w:trPr>
        <w:tc>
          <w:tcPr>
            <w:tcW w:w="1646" w:type="dxa"/>
            <w:tcBorders>
              <w:top w:val="single" w:sz="12" w:space="0" w:color="808080" w:themeColor="background1" w:themeShade="80"/>
              <w:bottom w:val="single" w:sz="4" w:space="0" w:color="808080" w:themeColor="background1" w:themeShade="80"/>
            </w:tcBorders>
            <w:shd w:val="clear" w:color="auto" w:fill="auto"/>
          </w:tcPr>
          <w:p w:rsidR="00623BC3" w:rsidRPr="00890ABF" w:rsidRDefault="00623BC3" w:rsidP="00133A93">
            <w:pPr>
              <w:pStyle w:val="TableCopy"/>
              <w:rPr>
                <w:sz w:val="18"/>
                <w:szCs w:val="18"/>
              </w:rPr>
            </w:pPr>
            <w:r w:rsidRPr="00890ABF">
              <w:rPr>
                <w:sz w:val="18"/>
                <w:szCs w:val="18"/>
              </w:rPr>
              <w:t>1.0</w:t>
            </w:r>
          </w:p>
        </w:tc>
        <w:tc>
          <w:tcPr>
            <w:tcW w:w="1441" w:type="dxa"/>
            <w:tcBorders>
              <w:top w:val="single" w:sz="12" w:space="0" w:color="808080" w:themeColor="background1" w:themeShade="80"/>
              <w:bottom w:val="single" w:sz="4" w:space="0" w:color="808080" w:themeColor="background1" w:themeShade="80"/>
            </w:tcBorders>
            <w:shd w:val="clear" w:color="auto" w:fill="auto"/>
          </w:tcPr>
          <w:p w:rsidR="00623BC3" w:rsidRPr="00890ABF" w:rsidRDefault="00623BC3" w:rsidP="00133A93">
            <w:pPr>
              <w:pStyle w:val="NormalDS"/>
              <w:rPr>
                <w:sz w:val="18"/>
                <w:szCs w:val="18"/>
              </w:rPr>
            </w:pPr>
            <w:r w:rsidRPr="00890ABF">
              <w:rPr>
                <w:sz w:val="18"/>
                <w:szCs w:val="18"/>
              </w:rPr>
              <w:t>2012 March</w:t>
            </w:r>
          </w:p>
        </w:tc>
        <w:tc>
          <w:tcPr>
            <w:tcW w:w="1979" w:type="dxa"/>
            <w:tcBorders>
              <w:top w:val="single" w:sz="12" w:space="0" w:color="808080" w:themeColor="background1" w:themeShade="80"/>
              <w:bottom w:val="single" w:sz="4" w:space="0" w:color="808080" w:themeColor="background1" w:themeShade="80"/>
            </w:tcBorders>
            <w:shd w:val="clear" w:color="auto" w:fill="auto"/>
          </w:tcPr>
          <w:p w:rsidR="00623BC3" w:rsidRPr="00890ABF" w:rsidRDefault="00623BC3" w:rsidP="00133A93">
            <w:pPr>
              <w:pStyle w:val="TableCopy"/>
              <w:rPr>
                <w:sz w:val="18"/>
                <w:szCs w:val="18"/>
              </w:rPr>
            </w:pPr>
            <w:r w:rsidRPr="00890ABF">
              <w:rPr>
                <w:sz w:val="18"/>
                <w:szCs w:val="18"/>
              </w:rPr>
              <w:t>Original</w:t>
            </w:r>
          </w:p>
        </w:tc>
        <w:tc>
          <w:tcPr>
            <w:tcW w:w="4499" w:type="dxa"/>
            <w:tcBorders>
              <w:top w:val="single" w:sz="12" w:space="0" w:color="808080" w:themeColor="background1" w:themeShade="80"/>
              <w:bottom w:val="single" w:sz="4" w:space="0" w:color="808080" w:themeColor="background1" w:themeShade="80"/>
            </w:tcBorders>
          </w:tcPr>
          <w:p w:rsidR="00623BC3" w:rsidRPr="005B5F4B" w:rsidRDefault="00623BC3" w:rsidP="00133A93">
            <w:pPr>
              <w:pStyle w:val="NormalDS"/>
              <w:rPr>
                <w:sz w:val="18"/>
              </w:rPr>
            </w:pPr>
            <w:r w:rsidRPr="005B5F4B">
              <w:rPr>
                <w:sz w:val="18"/>
              </w:rPr>
              <w:t>Restructured due to Aon Hewitt merger</w:t>
            </w:r>
          </w:p>
        </w:tc>
      </w:tr>
      <w:tr w:rsidR="00623BC3" w:rsidRPr="00274338" w:rsidTr="00133A93">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623BC3" w:rsidRPr="00890ABF" w:rsidRDefault="00623BC3" w:rsidP="00133A93">
            <w:pPr>
              <w:pStyle w:val="TableCopy"/>
              <w:rPr>
                <w:sz w:val="18"/>
                <w:szCs w:val="18"/>
              </w:rPr>
            </w:pPr>
            <w:r w:rsidRPr="00890ABF">
              <w:rPr>
                <w:sz w:val="18"/>
                <w:szCs w:val="18"/>
              </w:rPr>
              <w:t>1.1</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623BC3" w:rsidRPr="00890ABF" w:rsidRDefault="00623BC3" w:rsidP="00133A93">
            <w:pPr>
              <w:pStyle w:val="NormalDS"/>
              <w:rPr>
                <w:sz w:val="18"/>
                <w:szCs w:val="18"/>
              </w:rPr>
            </w:pPr>
            <w:r>
              <w:rPr>
                <w:sz w:val="18"/>
                <w:szCs w:val="18"/>
              </w:rPr>
              <w:t>2012 August</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623BC3" w:rsidRPr="00890ABF" w:rsidRDefault="00623BC3" w:rsidP="00133A93">
            <w:pPr>
              <w:pStyle w:val="TableCopy"/>
              <w:rPr>
                <w:sz w:val="18"/>
                <w:szCs w:val="18"/>
              </w:rPr>
            </w:pPr>
            <w:r>
              <w:rPr>
                <w:sz w:val="18"/>
                <w:szCs w:val="18"/>
              </w:rPr>
              <w:t>Update</w:t>
            </w:r>
          </w:p>
        </w:tc>
        <w:tc>
          <w:tcPr>
            <w:tcW w:w="4499" w:type="dxa"/>
            <w:tcBorders>
              <w:top w:val="single" w:sz="4" w:space="0" w:color="808080" w:themeColor="background1" w:themeShade="80"/>
              <w:bottom w:val="single" w:sz="4" w:space="0" w:color="808080" w:themeColor="background1" w:themeShade="80"/>
            </w:tcBorders>
          </w:tcPr>
          <w:p w:rsidR="00623BC3" w:rsidRPr="005B5F4B" w:rsidRDefault="00623BC3" w:rsidP="00133A93">
            <w:pPr>
              <w:pStyle w:val="NormalDS"/>
              <w:rPr>
                <w:rFonts w:asciiTheme="minorHAnsi" w:hAnsiTheme="minorHAnsi" w:cs="Arial"/>
                <w:color w:val="000000"/>
                <w:sz w:val="18"/>
                <w:szCs w:val="18"/>
              </w:rPr>
            </w:pPr>
            <w:r>
              <w:rPr>
                <w:rFonts w:asciiTheme="minorHAnsi" w:hAnsiTheme="minorHAnsi" w:cs="Arial"/>
                <w:color w:val="000000"/>
                <w:sz w:val="18"/>
                <w:szCs w:val="18"/>
              </w:rPr>
              <w:t>Added Section 4.5</w:t>
            </w:r>
          </w:p>
        </w:tc>
      </w:tr>
      <w:tr w:rsidR="00623BC3" w:rsidRPr="00274338" w:rsidTr="00133A93">
        <w:trPr>
          <w:cantSplit/>
          <w:trHeight w:val="467"/>
        </w:trPr>
        <w:tc>
          <w:tcPr>
            <w:tcW w:w="1646" w:type="dxa"/>
            <w:tcBorders>
              <w:top w:val="single" w:sz="4" w:space="0" w:color="808080" w:themeColor="background1" w:themeShade="80"/>
              <w:bottom w:val="single" w:sz="4" w:space="0" w:color="808080" w:themeColor="background1" w:themeShade="80"/>
            </w:tcBorders>
            <w:shd w:val="clear" w:color="auto" w:fill="auto"/>
          </w:tcPr>
          <w:p w:rsidR="00623BC3" w:rsidRPr="00890ABF" w:rsidRDefault="00623BC3" w:rsidP="00133A93">
            <w:pPr>
              <w:pStyle w:val="TableCopy"/>
              <w:rPr>
                <w:sz w:val="18"/>
                <w:szCs w:val="18"/>
              </w:rPr>
            </w:pPr>
            <w:r w:rsidRPr="00890ABF">
              <w:rPr>
                <w:sz w:val="18"/>
                <w:szCs w:val="18"/>
              </w:rPr>
              <w:t>1.2</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623BC3" w:rsidRPr="00890ABF" w:rsidRDefault="00623BC3" w:rsidP="00133A93">
            <w:pPr>
              <w:pStyle w:val="NormalDS"/>
              <w:rPr>
                <w:sz w:val="18"/>
                <w:szCs w:val="18"/>
              </w:rPr>
            </w:pPr>
            <w:r>
              <w:rPr>
                <w:sz w:val="18"/>
                <w:szCs w:val="18"/>
              </w:rPr>
              <w:t>2012 September</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623BC3" w:rsidRPr="00890ABF" w:rsidRDefault="00623BC3" w:rsidP="00133A93">
            <w:pPr>
              <w:pStyle w:val="TableCopy"/>
              <w:rPr>
                <w:sz w:val="18"/>
                <w:szCs w:val="18"/>
              </w:rPr>
            </w:pPr>
            <w:r>
              <w:rPr>
                <w:sz w:val="18"/>
                <w:szCs w:val="18"/>
              </w:rPr>
              <w:t>Update</w:t>
            </w:r>
          </w:p>
        </w:tc>
        <w:tc>
          <w:tcPr>
            <w:tcW w:w="4499" w:type="dxa"/>
            <w:tcBorders>
              <w:top w:val="single" w:sz="4" w:space="0" w:color="808080" w:themeColor="background1" w:themeShade="80"/>
              <w:bottom w:val="single" w:sz="4" w:space="0" w:color="808080" w:themeColor="background1" w:themeShade="80"/>
            </w:tcBorders>
          </w:tcPr>
          <w:p w:rsidR="00623BC3" w:rsidRPr="005B5F4B" w:rsidRDefault="00623BC3" w:rsidP="00133A93">
            <w:pPr>
              <w:pStyle w:val="NormalDS"/>
              <w:rPr>
                <w:rFonts w:asciiTheme="minorHAnsi" w:hAnsiTheme="minorHAnsi" w:cs="Arial"/>
                <w:color w:val="000000"/>
                <w:sz w:val="18"/>
                <w:szCs w:val="18"/>
              </w:rPr>
            </w:pPr>
            <w:r>
              <w:rPr>
                <w:rFonts w:asciiTheme="minorHAnsi" w:hAnsiTheme="minorHAnsi" w:cs="Arial"/>
                <w:color w:val="000000"/>
                <w:sz w:val="18"/>
                <w:szCs w:val="18"/>
              </w:rPr>
              <w:t>13.1 Changed Nominal rating to Low and set remediation SLA no longer than 90 days</w:t>
            </w:r>
          </w:p>
        </w:tc>
      </w:tr>
      <w:tr w:rsidR="00623BC3" w:rsidRPr="00274338" w:rsidTr="00133A93">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623BC3" w:rsidRPr="00890ABF" w:rsidRDefault="00623BC3" w:rsidP="00133A93">
            <w:pPr>
              <w:pStyle w:val="TableCopy"/>
              <w:rPr>
                <w:sz w:val="18"/>
                <w:szCs w:val="18"/>
              </w:rPr>
            </w:pPr>
            <w:r w:rsidRPr="00890ABF">
              <w:rPr>
                <w:sz w:val="18"/>
                <w:szCs w:val="18"/>
              </w:rPr>
              <w:t>1.3</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623BC3" w:rsidRPr="00890ABF" w:rsidRDefault="00623BC3" w:rsidP="00133A93">
            <w:pPr>
              <w:pStyle w:val="NormalDS"/>
              <w:rPr>
                <w:sz w:val="18"/>
                <w:szCs w:val="18"/>
              </w:rPr>
            </w:pPr>
            <w:r w:rsidRPr="00890ABF">
              <w:rPr>
                <w:sz w:val="18"/>
                <w:szCs w:val="18"/>
              </w:rPr>
              <w:t>2013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623BC3" w:rsidRPr="00890ABF" w:rsidRDefault="00623BC3" w:rsidP="00133A93">
            <w:pPr>
              <w:pStyle w:val="TableCopy"/>
              <w:rPr>
                <w:sz w:val="18"/>
                <w:szCs w:val="18"/>
              </w:rPr>
            </w:pPr>
            <w:r w:rsidRPr="00890ABF">
              <w:rPr>
                <w:sz w:val="18"/>
                <w:szCs w:val="18"/>
              </w:rPr>
              <w:t>2013 Annual Review</w:t>
            </w:r>
          </w:p>
        </w:tc>
        <w:tc>
          <w:tcPr>
            <w:tcW w:w="4499" w:type="dxa"/>
            <w:tcBorders>
              <w:top w:val="single" w:sz="4" w:space="0" w:color="808080" w:themeColor="background1" w:themeShade="80"/>
              <w:bottom w:val="single" w:sz="4" w:space="0" w:color="808080" w:themeColor="background1" w:themeShade="80"/>
            </w:tcBorders>
          </w:tcPr>
          <w:p w:rsidR="00623BC3" w:rsidRPr="005B5F4B" w:rsidRDefault="00623BC3" w:rsidP="00133A93">
            <w:pPr>
              <w:pStyle w:val="NormalDS"/>
              <w:rPr>
                <w:rFonts w:asciiTheme="minorHAnsi" w:hAnsiTheme="minorHAnsi" w:cs="Arial"/>
                <w:color w:val="000000"/>
                <w:sz w:val="18"/>
                <w:szCs w:val="18"/>
              </w:rPr>
            </w:pPr>
            <w:r w:rsidRPr="005B5F4B">
              <w:rPr>
                <w:rFonts w:asciiTheme="minorHAnsi" w:hAnsiTheme="minorHAnsi" w:cs="Arial"/>
                <w:color w:val="000000"/>
                <w:sz w:val="18"/>
                <w:szCs w:val="18"/>
              </w:rPr>
              <w:t>Reviewed and validated</w:t>
            </w:r>
          </w:p>
        </w:tc>
      </w:tr>
      <w:tr w:rsidR="00623BC3" w:rsidRPr="00274338" w:rsidTr="00133A93">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623BC3" w:rsidRPr="00890ABF" w:rsidRDefault="00623BC3" w:rsidP="00133A93">
            <w:pPr>
              <w:pStyle w:val="TableCopy"/>
              <w:rPr>
                <w:sz w:val="18"/>
                <w:szCs w:val="18"/>
              </w:rPr>
            </w:pPr>
            <w:r w:rsidRPr="00890ABF">
              <w:rPr>
                <w:sz w:val="18"/>
                <w:szCs w:val="18"/>
              </w:rPr>
              <w:t>1.4</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623BC3" w:rsidRPr="00890ABF" w:rsidRDefault="00623BC3" w:rsidP="00133A93">
            <w:pPr>
              <w:pStyle w:val="NormalDS"/>
              <w:rPr>
                <w:sz w:val="18"/>
                <w:szCs w:val="18"/>
              </w:rPr>
            </w:pPr>
            <w:r w:rsidRPr="00890ABF">
              <w:rPr>
                <w:sz w:val="18"/>
                <w:szCs w:val="18"/>
              </w:rPr>
              <w:t>2014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623BC3" w:rsidRPr="00890ABF" w:rsidRDefault="00623BC3" w:rsidP="00133A93">
            <w:pPr>
              <w:pStyle w:val="TableCopy"/>
              <w:rPr>
                <w:sz w:val="18"/>
                <w:szCs w:val="18"/>
              </w:rPr>
            </w:pPr>
            <w:r w:rsidRPr="00890ABF">
              <w:rPr>
                <w:sz w:val="18"/>
                <w:szCs w:val="18"/>
              </w:rPr>
              <w:t>2014 Annual Review</w:t>
            </w:r>
          </w:p>
        </w:tc>
        <w:tc>
          <w:tcPr>
            <w:tcW w:w="4499" w:type="dxa"/>
            <w:tcBorders>
              <w:top w:val="single" w:sz="4" w:space="0" w:color="808080" w:themeColor="background1" w:themeShade="80"/>
              <w:bottom w:val="single" w:sz="4" w:space="0" w:color="808080" w:themeColor="background1" w:themeShade="80"/>
            </w:tcBorders>
          </w:tcPr>
          <w:p w:rsidR="00623BC3" w:rsidRPr="005B5F4B" w:rsidRDefault="00623BC3" w:rsidP="00133A93">
            <w:pPr>
              <w:pStyle w:val="NormalDS"/>
              <w:rPr>
                <w:rFonts w:asciiTheme="minorHAnsi" w:hAnsiTheme="minorHAnsi" w:cs="Arial"/>
                <w:color w:val="000000"/>
                <w:sz w:val="18"/>
                <w:szCs w:val="18"/>
              </w:rPr>
            </w:pPr>
            <w:r w:rsidRPr="005B5F4B">
              <w:rPr>
                <w:rFonts w:asciiTheme="minorHAnsi" w:hAnsiTheme="minorHAnsi" w:cs="Arial"/>
                <w:color w:val="000000"/>
                <w:sz w:val="18"/>
                <w:szCs w:val="18"/>
              </w:rPr>
              <w:t>Reviewed and validated</w:t>
            </w:r>
          </w:p>
        </w:tc>
      </w:tr>
      <w:tr w:rsidR="00623BC3" w:rsidRPr="00274338" w:rsidTr="00133A93">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623BC3" w:rsidRPr="00890ABF" w:rsidRDefault="00623BC3" w:rsidP="00133A93">
            <w:pPr>
              <w:pStyle w:val="TableCopy"/>
              <w:rPr>
                <w:sz w:val="18"/>
                <w:szCs w:val="18"/>
              </w:rPr>
            </w:pPr>
            <w:r w:rsidRPr="00890ABF">
              <w:rPr>
                <w:sz w:val="18"/>
                <w:szCs w:val="18"/>
              </w:rPr>
              <w:t>1.5</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623BC3" w:rsidRPr="00890ABF" w:rsidRDefault="00623BC3" w:rsidP="00133A93">
            <w:pPr>
              <w:pStyle w:val="NormalDS"/>
              <w:rPr>
                <w:sz w:val="18"/>
                <w:szCs w:val="18"/>
              </w:rPr>
            </w:pPr>
            <w:r w:rsidRPr="00890ABF">
              <w:rPr>
                <w:sz w:val="18"/>
                <w:szCs w:val="18"/>
              </w:rPr>
              <w:t>2015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623BC3" w:rsidRPr="00890ABF" w:rsidRDefault="00623BC3" w:rsidP="00133A93">
            <w:pPr>
              <w:pStyle w:val="TableCopy"/>
              <w:rPr>
                <w:sz w:val="18"/>
                <w:szCs w:val="18"/>
              </w:rPr>
            </w:pPr>
            <w:r w:rsidRPr="00890ABF">
              <w:rPr>
                <w:sz w:val="18"/>
                <w:szCs w:val="18"/>
              </w:rPr>
              <w:t>2015 Annual Review</w:t>
            </w:r>
          </w:p>
        </w:tc>
        <w:tc>
          <w:tcPr>
            <w:tcW w:w="4499" w:type="dxa"/>
            <w:tcBorders>
              <w:top w:val="single" w:sz="4" w:space="0" w:color="808080" w:themeColor="background1" w:themeShade="80"/>
              <w:bottom w:val="single" w:sz="4" w:space="0" w:color="808080" w:themeColor="background1" w:themeShade="80"/>
            </w:tcBorders>
          </w:tcPr>
          <w:p w:rsidR="00623BC3" w:rsidRPr="005B5F4B" w:rsidRDefault="00623BC3" w:rsidP="00133A93">
            <w:pPr>
              <w:pStyle w:val="NormalDS"/>
              <w:rPr>
                <w:rFonts w:asciiTheme="minorHAnsi" w:hAnsiTheme="minorHAnsi" w:cs="Arial"/>
                <w:color w:val="000000"/>
                <w:sz w:val="18"/>
                <w:szCs w:val="18"/>
              </w:rPr>
            </w:pPr>
            <w:r w:rsidRPr="005B5F4B">
              <w:rPr>
                <w:rFonts w:asciiTheme="minorHAnsi" w:hAnsiTheme="minorHAnsi" w:cs="Arial"/>
                <w:color w:val="000000"/>
                <w:sz w:val="18"/>
                <w:szCs w:val="18"/>
              </w:rPr>
              <w:t xml:space="preserve">Reviewed and validated </w:t>
            </w:r>
          </w:p>
        </w:tc>
      </w:tr>
      <w:tr w:rsidR="00623BC3" w:rsidRPr="00274338" w:rsidTr="00133A93">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623BC3" w:rsidRPr="00890ABF" w:rsidRDefault="00623BC3" w:rsidP="00133A93">
            <w:pPr>
              <w:pStyle w:val="TableCopy"/>
              <w:rPr>
                <w:sz w:val="18"/>
                <w:szCs w:val="18"/>
              </w:rPr>
            </w:pPr>
            <w:r>
              <w:rPr>
                <w:sz w:val="18"/>
                <w:szCs w:val="18"/>
              </w:rPr>
              <w:t>1.6</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623BC3" w:rsidRPr="00890ABF" w:rsidRDefault="00623BC3" w:rsidP="00133A93">
            <w:pPr>
              <w:pStyle w:val="NormalDS"/>
              <w:rPr>
                <w:sz w:val="18"/>
                <w:szCs w:val="18"/>
              </w:rPr>
            </w:pPr>
            <w:r>
              <w:rPr>
                <w:sz w:val="18"/>
                <w:szCs w:val="18"/>
              </w:rPr>
              <w:t>2016 July</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623BC3" w:rsidRPr="00890ABF" w:rsidRDefault="00623BC3" w:rsidP="00133A93">
            <w:pPr>
              <w:pStyle w:val="TableCopy"/>
              <w:rPr>
                <w:sz w:val="18"/>
                <w:szCs w:val="18"/>
              </w:rPr>
            </w:pPr>
            <w:r w:rsidRPr="00890ABF">
              <w:rPr>
                <w:sz w:val="18"/>
                <w:szCs w:val="18"/>
              </w:rPr>
              <w:t>2016 Annual Review</w:t>
            </w:r>
          </w:p>
        </w:tc>
        <w:tc>
          <w:tcPr>
            <w:tcW w:w="4499" w:type="dxa"/>
            <w:tcBorders>
              <w:top w:val="single" w:sz="4" w:space="0" w:color="808080" w:themeColor="background1" w:themeShade="80"/>
              <w:bottom w:val="single" w:sz="4" w:space="0" w:color="808080" w:themeColor="background1" w:themeShade="80"/>
            </w:tcBorders>
          </w:tcPr>
          <w:p w:rsidR="00623BC3" w:rsidRDefault="00623BC3" w:rsidP="00133A93">
            <w:pPr>
              <w:pStyle w:val="FNSTableTitleRow1"/>
              <w:jc w:val="left"/>
              <w:rPr>
                <w:rFonts w:asciiTheme="minorHAnsi" w:hAnsiTheme="minorHAnsi" w:cs="Arial"/>
                <w:color w:val="000000"/>
                <w:sz w:val="18"/>
                <w:szCs w:val="18"/>
              </w:rPr>
            </w:pPr>
            <w:r>
              <w:rPr>
                <w:rFonts w:asciiTheme="minorHAnsi" w:hAnsiTheme="minorHAnsi" w:cs="Arial"/>
                <w:color w:val="000000"/>
                <w:sz w:val="18"/>
                <w:szCs w:val="18"/>
              </w:rPr>
              <w:t>Reviewed and validated</w:t>
            </w:r>
          </w:p>
          <w:p w:rsidR="00623BC3" w:rsidRDefault="00623BC3" w:rsidP="00133A93">
            <w:pPr>
              <w:pStyle w:val="FNSTableTitleRow1"/>
              <w:jc w:val="left"/>
              <w:rPr>
                <w:rFonts w:asciiTheme="minorHAnsi" w:hAnsiTheme="minorHAnsi" w:cs="Arial"/>
                <w:color w:val="000000"/>
                <w:sz w:val="18"/>
                <w:szCs w:val="18"/>
              </w:rPr>
            </w:pPr>
            <w:r>
              <w:rPr>
                <w:rFonts w:asciiTheme="minorHAnsi" w:hAnsiTheme="minorHAnsi" w:cs="Arial"/>
                <w:color w:val="000000"/>
                <w:sz w:val="18"/>
                <w:szCs w:val="18"/>
              </w:rPr>
              <w:t>- Updated policy name</w:t>
            </w:r>
          </w:p>
          <w:p w:rsidR="00623BC3" w:rsidRDefault="00623BC3" w:rsidP="00133A93">
            <w:pPr>
              <w:pStyle w:val="FNSTableTitleRow1"/>
              <w:jc w:val="left"/>
              <w:rPr>
                <w:rFonts w:asciiTheme="minorHAnsi" w:hAnsiTheme="minorHAnsi" w:cs="Arial"/>
                <w:color w:val="000000"/>
                <w:sz w:val="18"/>
                <w:szCs w:val="18"/>
              </w:rPr>
            </w:pPr>
            <w:r>
              <w:rPr>
                <w:rFonts w:asciiTheme="minorHAnsi" w:hAnsiTheme="minorHAnsi" w:cs="Arial"/>
                <w:color w:val="000000"/>
                <w:sz w:val="18"/>
                <w:szCs w:val="18"/>
              </w:rPr>
              <w:t>- Added compliance management as part of the policy</w:t>
            </w:r>
          </w:p>
          <w:p w:rsidR="00623BC3" w:rsidRPr="005B5F4B" w:rsidRDefault="00623BC3" w:rsidP="00133A93">
            <w:pPr>
              <w:pStyle w:val="NormalDS"/>
              <w:rPr>
                <w:rFonts w:asciiTheme="minorHAnsi" w:hAnsiTheme="minorHAnsi" w:cs="Arial"/>
                <w:color w:val="000000"/>
                <w:sz w:val="18"/>
                <w:szCs w:val="18"/>
              </w:rPr>
            </w:pPr>
            <w:r>
              <w:rPr>
                <w:rFonts w:asciiTheme="minorHAnsi" w:hAnsiTheme="minorHAnsi" w:cs="Arial"/>
                <w:color w:val="000000"/>
                <w:sz w:val="18"/>
                <w:szCs w:val="18"/>
              </w:rPr>
              <w:t>- Included self-scan, vulnerability treatment and metrics &amp; report as core service</w:t>
            </w:r>
          </w:p>
        </w:tc>
      </w:tr>
      <w:tr w:rsidR="00623BC3" w:rsidRPr="00274338" w:rsidTr="00133A93">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623BC3" w:rsidRPr="00890ABF" w:rsidRDefault="00623BC3" w:rsidP="00133A93">
            <w:pPr>
              <w:pStyle w:val="TableCopy"/>
              <w:rPr>
                <w:sz w:val="18"/>
                <w:szCs w:val="18"/>
              </w:rPr>
            </w:pPr>
            <w:r>
              <w:rPr>
                <w:sz w:val="18"/>
                <w:szCs w:val="18"/>
              </w:rPr>
              <w:t>1.7</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623BC3" w:rsidRPr="00890ABF" w:rsidRDefault="00623BC3" w:rsidP="00133A93">
            <w:pPr>
              <w:pStyle w:val="NormalDS"/>
              <w:rPr>
                <w:sz w:val="18"/>
                <w:szCs w:val="18"/>
              </w:rPr>
            </w:pPr>
            <w:r>
              <w:rPr>
                <w:sz w:val="18"/>
                <w:szCs w:val="18"/>
              </w:rPr>
              <w:t>2017 July</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623BC3" w:rsidRPr="00890ABF" w:rsidRDefault="00623BC3" w:rsidP="00133A93">
            <w:pPr>
              <w:pStyle w:val="TableCopy"/>
              <w:rPr>
                <w:sz w:val="18"/>
                <w:szCs w:val="18"/>
              </w:rPr>
            </w:pPr>
            <w:r w:rsidRPr="00890ABF">
              <w:rPr>
                <w:sz w:val="18"/>
                <w:szCs w:val="18"/>
              </w:rPr>
              <w:t>2017 Rebranding</w:t>
            </w:r>
          </w:p>
        </w:tc>
        <w:tc>
          <w:tcPr>
            <w:tcW w:w="4499" w:type="dxa"/>
            <w:tcBorders>
              <w:top w:val="single" w:sz="4" w:space="0" w:color="808080" w:themeColor="background1" w:themeShade="80"/>
              <w:bottom w:val="single" w:sz="4" w:space="0" w:color="808080" w:themeColor="background1" w:themeShade="80"/>
            </w:tcBorders>
          </w:tcPr>
          <w:p w:rsidR="00623BC3" w:rsidRPr="005B5F4B" w:rsidRDefault="00623BC3" w:rsidP="00133A93">
            <w:pPr>
              <w:pStyle w:val="NormalDS"/>
              <w:rPr>
                <w:sz w:val="18"/>
              </w:rPr>
            </w:pPr>
            <w:r w:rsidRPr="005B5F4B">
              <w:rPr>
                <w:sz w:val="18"/>
              </w:rPr>
              <w:t>Rebranded policy due to Aon Hewitt divestiture</w:t>
            </w:r>
          </w:p>
        </w:tc>
      </w:tr>
      <w:tr w:rsidR="00623BC3" w:rsidRPr="00274338" w:rsidTr="00133A93">
        <w:trPr>
          <w:cantSplit/>
        </w:trPr>
        <w:tc>
          <w:tcPr>
            <w:tcW w:w="1646" w:type="dxa"/>
            <w:tcBorders>
              <w:top w:val="single" w:sz="4" w:space="0" w:color="808080" w:themeColor="background1" w:themeShade="80"/>
              <w:bottom w:val="nil"/>
            </w:tcBorders>
            <w:shd w:val="clear" w:color="auto" w:fill="auto"/>
          </w:tcPr>
          <w:p w:rsidR="00623BC3" w:rsidRDefault="00623BC3" w:rsidP="00133A93">
            <w:pPr>
              <w:pStyle w:val="TableCopy"/>
            </w:pPr>
          </w:p>
        </w:tc>
        <w:tc>
          <w:tcPr>
            <w:tcW w:w="1441" w:type="dxa"/>
            <w:tcBorders>
              <w:top w:val="single" w:sz="4" w:space="0" w:color="808080" w:themeColor="background1" w:themeShade="80"/>
              <w:bottom w:val="nil"/>
            </w:tcBorders>
            <w:shd w:val="clear" w:color="auto" w:fill="auto"/>
          </w:tcPr>
          <w:p w:rsidR="00623BC3" w:rsidRPr="009B6065" w:rsidRDefault="00623BC3" w:rsidP="00133A93">
            <w:pPr>
              <w:pStyle w:val="NormalDS"/>
            </w:pPr>
          </w:p>
        </w:tc>
        <w:tc>
          <w:tcPr>
            <w:tcW w:w="1979" w:type="dxa"/>
            <w:tcBorders>
              <w:top w:val="single" w:sz="4" w:space="0" w:color="808080" w:themeColor="background1" w:themeShade="80"/>
              <w:bottom w:val="nil"/>
            </w:tcBorders>
            <w:shd w:val="clear" w:color="auto" w:fill="auto"/>
          </w:tcPr>
          <w:p w:rsidR="00623BC3" w:rsidRPr="00274338" w:rsidRDefault="00623BC3" w:rsidP="00133A93">
            <w:pPr>
              <w:pStyle w:val="TableCopy"/>
            </w:pPr>
          </w:p>
        </w:tc>
        <w:tc>
          <w:tcPr>
            <w:tcW w:w="4499" w:type="dxa"/>
            <w:tcBorders>
              <w:top w:val="single" w:sz="4" w:space="0" w:color="808080" w:themeColor="background1" w:themeShade="80"/>
              <w:bottom w:val="nil"/>
            </w:tcBorders>
          </w:tcPr>
          <w:p w:rsidR="00623BC3" w:rsidRPr="00274338" w:rsidRDefault="00623BC3" w:rsidP="00133A93">
            <w:pPr>
              <w:pStyle w:val="TableCopy"/>
            </w:pPr>
          </w:p>
        </w:tc>
      </w:tr>
    </w:tbl>
    <w:p w:rsidR="00623BC3" w:rsidRPr="00274338" w:rsidRDefault="00623BC3" w:rsidP="00623BC3">
      <w:pPr>
        <w:pStyle w:val="Bullet3"/>
        <w:numPr>
          <w:ilvl w:val="0"/>
          <w:numId w:val="0"/>
        </w:numPr>
        <w:ind w:left="1080"/>
      </w:pPr>
    </w:p>
    <w:p w:rsidR="00321778" w:rsidRPr="00623BC3" w:rsidRDefault="00321778" w:rsidP="00623BC3"/>
    <w:sectPr w:rsidR="00321778" w:rsidRPr="00623BC3" w:rsidSect="00075357">
      <w:footerReference w:type="default" r:id="rId10"/>
      <w:footerReference w:type="first" r:id="rId11"/>
      <w:pgSz w:w="12240" w:h="15840" w:code="1"/>
      <w:pgMar w:top="1260" w:right="1440" w:bottom="1440" w:left="1440" w:header="720" w:footer="84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4CFB" w:rsidRDefault="006D4CFB" w:rsidP="005B402B">
      <w:r>
        <w:separator/>
      </w:r>
    </w:p>
  </w:endnote>
  <w:endnote w:type="continuationSeparator" w:id="0">
    <w:p w:rsidR="006D4CFB" w:rsidRDefault="006D4CFB" w:rsidP="005B4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FS Thrive Elliot">
    <w:panose1 w:val="02060403030202020204"/>
    <w:charset w:val="00"/>
    <w:family w:val="roman"/>
    <w:notTrueType/>
    <w:pitch w:val="variable"/>
    <w:sig w:usb0="A000006F" w:usb1="4000207A" w:usb2="00000000" w:usb3="00000000" w:csb0="00000093" w:csb1="00000000"/>
  </w:font>
  <w:font w:name="FS Thrive Elliot Heavy">
    <w:panose1 w:val="02060403030202020204"/>
    <w:charset w:val="00"/>
    <w:family w:val="roman"/>
    <w:notTrueType/>
    <w:pitch w:val="variable"/>
    <w:sig w:usb0="A000006F" w:usb1="4000207A" w:usb2="00000000" w:usb3="00000000" w:csb0="00000093" w:csb1="00000000"/>
  </w:font>
  <w:font w:name="FS Elliot Pro Thin">
    <w:altName w:val="Arial"/>
    <w:panose1 w:val="00000000000000000000"/>
    <w:charset w:val="00"/>
    <w:family w:val="modern"/>
    <w:notTrueType/>
    <w:pitch w:val="variable"/>
    <w:sig w:usb0="00000001" w:usb1="5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FS Elliot Pro Heavy">
    <w:altName w:val="Arial"/>
    <w:panose1 w:val="00000000000000000000"/>
    <w:charset w:val="00"/>
    <w:family w:val="modern"/>
    <w:notTrueType/>
    <w:pitch w:val="variable"/>
    <w:sig w:usb0="00000001" w:usb1="5000207B" w:usb2="00000000" w:usb3="00000000" w:csb0="0000009F" w:csb1="00000000"/>
  </w:font>
  <w:font w:name="Times">
    <w:panose1 w:val="02020603050405020304"/>
    <w:charset w:val="00"/>
    <w:family w:val="roman"/>
    <w:pitch w:val="variable"/>
    <w:sig w:usb0="20002A87" w:usb1="80000000" w:usb2="00000008" w:usb3="00000000" w:csb0="000001FF" w:csb1="00000000"/>
  </w:font>
  <w:font w:name="FS Elliot Pro">
    <w:altName w:val="Arial"/>
    <w:panose1 w:val="00000000000000000000"/>
    <w:charset w:val="00"/>
    <w:family w:val="modern"/>
    <w:notTrueType/>
    <w:pitch w:val="variable"/>
    <w:sig w:usb0="00000001" w:usb1="5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445" w:rsidRDefault="003B4445" w:rsidP="003B4445">
    <w:pPr>
      <w:pStyle w:val="Footer"/>
      <w:tabs>
        <w:tab w:val="clear" w:pos="4680"/>
      </w:tabs>
    </w:pPr>
    <w:r>
      <w:br/>
    </w:r>
    <w:r w:rsidR="00C5523F">
      <w:t xml:space="preserve">202.01 </w:t>
    </w:r>
    <w:r w:rsidR="00623BC3">
      <w:t>Vulnerability and Compliance Management Standard</w:t>
    </w:r>
    <w:r>
      <w:tab/>
    </w:r>
    <w:r>
      <w:fldChar w:fldCharType="begin"/>
    </w:r>
    <w:r>
      <w:instrText xml:space="preserve"> PAGE   \* MERGEFORMAT </w:instrText>
    </w:r>
    <w:r>
      <w:fldChar w:fldCharType="separate"/>
    </w:r>
    <w:r w:rsidR="00C5523F">
      <w:rPr>
        <w:noProof/>
      </w:rPr>
      <w:t>7</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357" w:rsidRDefault="00075357">
    <w:pPr>
      <w:pStyle w:val="Footer"/>
    </w:pPr>
    <w:r>
      <w:rPr>
        <w:noProof/>
      </w:rPr>
      <w:drawing>
        <wp:anchor distT="0" distB="0" distL="114300" distR="114300" simplePos="0" relativeHeight="251659264" behindDoc="1" locked="0" layoutInCell="1" allowOverlap="1" wp14:anchorId="670FCB4F" wp14:editId="63F78F28">
          <wp:simplePos x="0" y="0"/>
          <wp:positionH relativeFrom="column">
            <wp:posOffset>4792980</wp:posOffset>
          </wp:positionH>
          <wp:positionV relativeFrom="paragraph">
            <wp:posOffset>-135890</wp:posOffset>
          </wp:positionV>
          <wp:extent cx="1380490" cy="642620"/>
          <wp:effectExtent l="0" t="0" r="0" b="0"/>
          <wp:wrapTight wrapText="bothSides">
            <wp:wrapPolygon edited="0">
              <wp:start x="7750" y="640"/>
              <wp:lineTo x="3875" y="2561"/>
              <wp:lineTo x="298" y="7043"/>
              <wp:lineTo x="596" y="13447"/>
              <wp:lineTo x="10134" y="19850"/>
              <wp:lineTo x="12817" y="19850"/>
              <wp:lineTo x="20567" y="13447"/>
              <wp:lineTo x="21163" y="4482"/>
              <wp:lineTo x="18778" y="2561"/>
              <wp:lineTo x="8942" y="640"/>
              <wp:lineTo x="7750" y="64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ght_Logo_NEW.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0490" cy="642620"/>
                  </a:xfrm>
                  <a:prstGeom prst="rect">
                    <a:avLst/>
                  </a:prstGeom>
                </pic:spPr>
              </pic:pic>
            </a:graphicData>
          </a:graphic>
          <wp14:sizeRelH relativeFrom="page">
            <wp14:pctWidth>0</wp14:pctWidth>
          </wp14:sizeRelH>
          <wp14:sizeRelV relativeFrom="page">
            <wp14:pctHeight>0</wp14:pctHeight>
          </wp14:sizeRelV>
        </wp:anchor>
      </w:drawing>
    </w:r>
    <w:r w:rsidR="007372A8" w:rsidRPr="007372A8">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4CFB" w:rsidRDefault="006D4CFB" w:rsidP="005B402B">
      <w:r>
        <w:separator/>
      </w:r>
    </w:p>
  </w:footnote>
  <w:footnote w:type="continuationSeparator" w:id="0">
    <w:p w:rsidR="006D4CFB" w:rsidRDefault="006D4CFB" w:rsidP="005B40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81F1A"/>
    <w:multiLevelType w:val="multilevel"/>
    <w:tmpl w:val="B3C4D8B2"/>
    <w:styleLink w:val="AonList"/>
    <w:lvl w:ilvl="0">
      <w:start w:val="1"/>
      <w:numFmt w:val="bullet"/>
      <w:pStyle w:val="AonBullet1"/>
      <w:lvlText w:val=""/>
      <w:lvlJc w:val="left"/>
      <w:pPr>
        <w:tabs>
          <w:tab w:val="num" w:pos="360"/>
        </w:tabs>
        <w:ind w:left="360" w:hanging="360"/>
      </w:pPr>
      <w:rPr>
        <w:rFonts w:ascii="Wingdings" w:hAnsi="Wingdings" w:cs="Times New Roman" w:hint="default"/>
        <w:color w:val="auto"/>
        <w:sz w:val="20"/>
        <w:szCs w:val="20"/>
      </w:rPr>
    </w:lvl>
    <w:lvl w:ilvl="1">
      <w:start w:val="1"/>
      <w:numFmt w:val="bullet"/>
      <w:pStyle w:val="AonBullet2"/>
      <w:lvlText w:val="–"/>
      <w:lvlJc w:val="left"/>
      <w:pPr>
        <w:tabs>
          <w:tab w:val="num" w:pos="720"/>
        </w:tabs>
        <w:ind w:left="720" w:hanging="360"/>
      </w:pPr>
      <w:rPr>
        <w:rFonts w:ascii="Arial" w:hAnsi="Arial" w:cs="Times New Roman" w:hint="default"/>
        <w:b/>
        <w:i w:val="0"/>
        <w:color w:val="auto"/>
      </w:rPr>
    </w:lvl>
    <w:lvl w:ilvl="2">
      <w:start w:val="1"/>
      <w:numFmt w:val="bullet"/>
      <w:pStyle w:val="AonBullet3"/>
      <w:lvlText w:val="•"/>
      <w:lvlJc w:val="left"/>
      <w:pPr>
        <w:tabs>
          <w:tab w:val="num" w:pos="1080"/>
        </w:tabs>
        <w:ind w:left="1080" w:hanging="360"/>
      </w:pPr>
      <w:rPr>
        <w:rFonts w:ascii="Arial" w:hAnsi="Arial" w:cs="Times New Roman" w:hint="default"/>
        <w:szCs w:val="20"/>
      </w:rPr>
    </w:lvl>
    <w:lvl w:ilvl="3">
      <w:start w:val="1"/>
      <w:numFmt w:val="bullet"/>
      <w:pStyle w:val="AonBullet4"/>
      <w:lvlText w:val=""/>
      <w:lvlJc w:val="left"/>
      <w:pPr>
        <w:tabs>
          <w:tab w:val="num" w:pos="1440"/>
        </w:tabs>
        <w:ind w:left="1440" w:hanging="360"/>
      </w:pPr>
      <w:rPr>
        <w:rFonts w:ascii="Symbol" w:hAnsi="Symbol" w:cs="Times New Roman" w:hint="default"/>
        <w:sz w:val="20"/>
        <w:szCs w:val="20"/>
      </w:rPr>
    </w:lvl>
    <w:lvl w:ilvl="4">
      <w:start w:val="1"/>
      <w:numFmt w:val="bullet"/>
      <w:pStyle w:val="AonBullet5"/>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
    <w:nsid w:val="19B90EE0"/>
    <w:multiLevelType w:val="hybridMultilevel"/>
    <w:tmpl w:val="E1ECB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FC7CCC"/>
    <w:multiLevelType w:val="multilevel"/>
    <w:tmpl w:val="EE1C6446"/>
    <w:lvl w:ilvl="0">
      <w:start w:val="1"/>
      <w:numFmt w:val="bullet"/>
      <w:lvlText w:val=""/>
      <w:lvlJc w:val="left"/>
      <w:pPr>
        <w:tabs>
          <w:tab w:val="num" w:pos="360"/>
        </w:tabs>
        <w:ind w:left="360" w:hanging="360"/>
      </w:pPr>
      <w:rPr>
        <w:rFonts w:ascii="Symbol" w:hAnsi="Symbol"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3">
    <w:nsid w:val="2B8965B7"/>
    <w:multiLevelType w:val="hybridMultilevel"/>
    <w:tmpl w:val="00DEA1FA"/>
    <w:lvl w:ilvl="0" w:tplc="99EA2884">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DE6897"/>
    <w:multiLevelType w:val="hybridMultilevel"/>
    <w:tmpl w:val="417A55A0"/>
    <w:lvl w:ilvl="0" w:tplc="3BCE9656">
      <w:start w:val="1"/>
      <w:numFmt w:val="bullet"/>
      <w:pStyle w:val="Bullet5"/>
      <w:lvlText w:val=""/>
      <w:lvlJc w:val="left"/>
      <w:pPr>
        <w:ind w:left="2160" w:hanging="360"/>
      </w:pPr>
      <w:rPr>
        <w:rFonts w:ascii="Webdings" w:hAnsi="Web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9663067"/>
    <w:multiLevelType w:val="hybridMultilevel"/>
    <w:tmpl w:val="2F7CF7C6"/>
    <w:lvl w:ilvl="0" w:tplc="0292D60C">
      <w:start w:val="1"/>
      <w:numFmt w:val="bullet"/>
      <w:pStyle w:val="Bullet3"/>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9F64E1C"/>
    <w:multiLevelType w:val="multilevel"/>
    <w:tmpl w:val="0409001F"/>
    <w:lvl w:ilvl="0">
      <w:start w:val="1"/>
      <w:numFmt w:val="decimal"/>
      <w:lvlText w:val="%1."/>
      <w:lvlJc w:val="left"/>
      <w:pPr>
        <w:ind w:left="72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21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7">
    <w:nsid w:val="4AC81173"/>
    <w:multiLevelType w:val="multilevel"/>
    <w:tmpl w:val="B3C4D8B2"/>
    <w:numStyleLink w:val="AonList"/>
  </w:abstractNum>
  <w:abstractNum w:abstractNumId="8">
    <w:nsid w:val="55F97C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B3F43BF"/>
    <w:multiLevelType w:val="hybridMultilevel"/>
    <w:tmpl w:val="EB5A6786"/>
    <w:lvl w:ilvl="0" w:tplc="20687E7E">
      <w:start w:val="1"/>
      <w:numFmt w:val="bullet"/>
      <w:pStyle w:val="Bullet2"/>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CA9143F"/>
    <w:multiLevelType w:val="multilevel"/>
    <w:tmpl w:val="F3548542"/>
    <w:lvl w:ilvl="0">
      <w:start w:val="1"/>
      <w:numFmt w:val="bullet"/>
      <w:pStyle w:val="Bullet1Table"/>
      <w:lvlText w:val=""/>
      <w:lvlJc w:val="left"/>
      <w:pPr>
        <w:ind w:left="360" w:hanging="360"/>
      </w:pPr>
      <w:rPr>
        <w:rFonts w:ascii="Symbol" w:hAnsi="Symbol" w:hint="default"/>
        <w:color w:val="auto"/>
        <w:sz w:val="22"/>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1">
    <w:nsid w:val="5CD1110D"/>
    <w:multiLevelType w:val="hybridMultilevel"/>
    <w:tmpl w:val="1E3093D6"/>
    <w:lvl w:ilvl="0" w:tplc="13F600C8">
      <w:start w:val="1"/>
      <w:numFmt w:val="bullet"/>
      <w:pStyle w:val="Bullet4"/>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70E42893"/>
    <w:multiLevelType w:val="multilevel"/>
    <w:tmpl w:val="3704F208"/>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77F11A83"/>
    <w:multiLevelType w:val="hybridMultilevel"/>
    <w:tmpl w:val="59E87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5"/>
  </w:num>
  <w:num w:numId="4">
    <w:abstractNumId w:val="10"/>
  </w:num>
  <w:num w:numId="5">
    <w:abstractNumId w:val="11"/>
  </w:num>
  <w:num w:numId="6">
    <w:abstractNumId w:val="4"/>
  </w:num>
  <w:num w:numId="7">
    <w:abstractNumId w:val="0"/>
  </w:num>
  <w:num w:numId="8">
    <w:abstractNumId w:val="7"/>
  </w:num>
  <w:num w:numId="9">
    <w:abstractNumId w:val="6"/>
  </w:num>
  <w:num w:numId="10">
    <w:abstractNumId w:val="2"/>
  </w:num>
  <w:num w:numId="11">
    <w:abstractNumId w:val="13"/>
  </w:num>
  <w:num w:numId="12">
    <w:abstractNumId w:val="8"/>
  </w:num>
  <w:num w:numId="13">
    <w:abstractNumId w:val="1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101"/>
    <w:rsid w:val="00004CB7"/>
    <w:rsid w:val="00012EB6"/>
    <w:rsid w:val="00016ED0"/>
    <w:rsid w:val="00026D6E"/>
    <w:rsid w:val="00046D27"/>
    <w:rsid w:val="00075357"/>
    <w:rsid w:val="0008646D"/>
    <w:rsid w:val="00087709"/>
    <w:rsid w:val="000B2B20"/>
    <w:rsid w:val="000C237C"/>
    <w:rsid w:val="001052D9"/>
    <w:rsid w:val="00130EFA"/>
    <w:rsid w:val="00132EAB"/>
    <w:rsid w:val="00133EB8"/>
    <w:rsid w:val="001519A0"/>
    <w:rsid w:val="00161C38"/>
    <w:rsid w:val="00193FB9"/>
    <w:rsid w:val="001D01D4"/>
    <w:rsid w:val="00207AC9"/>
    <w:rsid w:val="00230498"/>
    <w:rsid w:val="00234A8F"/>
    <w:rsid w:val="00243AAD"/>
    <w:rsid w:val="0026509A"/>
    <w:rsid w:val="00274338"/>
    <w:rsid w:val="002757BF"/>
    <w:rsid w:val="002C43A9"/>
    <w:rsid w:val="002D378B"/>
    <w:rsid w:val="00321778"/>
    <w:rsid w:val="003641B4"/>
    <w:rsid w:val="003B4445"/>
    <w:rsid w:val="003D11EF"/>
    <w:rsid w:val="00484C05"/>
    <w:rsid w:val="004A6699"/>
    <w:rsid w:val="004C19C5"/>
    <w:rsid w:val="004F6723"/>
    <w:rsid w:val="00572B9B"/>
    <w:rsid w:val="0058699E"/>
    <w:rsid w:val="00596FE5"/>
    <w:rsid w:val="005B402B"/>
    <w:rsid w:val="005D6101"/>
    <w:rsid w:val="00623BC3"/>
    <w:rsid w:val="00631213"/>
    <w:rsid w:val="0064411E"/>
    <w:rsid w:val="00657BDB"/>
    <w:rsid w:val="00666F6C"/>
    <w:rsid w:val="006D4CFB"/>
    <w:rsid w:val="006F2AD3"/>
    <w:rsid w:val="007372A8"/>
    <w:rsid w:val="0074779E"/>
    <w:rsid w:val="007B6C0D"/>
    <w:rsid w:val="008079B1"/>
    <w:rsid w:val="008671C4"/>
    <w:rsid w:val="00877C5D"/>
    <w:rsid w:val="008F152A"/>
    <w:rsid w:val="009349C9"/>
    <w:rsid w:val="00942648"/>
    <w:rsid w:val="009837F6"/>
    <w:rsid w:val="009A1695"/>
    <w:rsid w:val="009A3A28"/>
    <w:rsid w:val="009C15C5"/>
    <w:rsid w:val="009F7CF9"/>
    <w:rsid w:val="00A667E0"/>
    <w:rsid w:val="00A855D2"/>
    <w:rsid w:val="00B33A2C"/>
    <w:rsid w:val="00B606E6"/>
    <w:rsid w:val="00B71DB5"/>
    <w:rsid w:val="00C16A23"/>
    <w:rsid w:val="00C5523F"/>
    <w:rsid w:val="00C57EE1"/>
    <w:rsid w:val="00D33649"/>
    <w:rsid w:val="00D563B0"/>
    <w:rsid w:val="00D5712B"/>
    <w:rsid w:val="00D80981"/>
    <w:rsid w:val="00D81842"/>
    <w:rsid w:val="00D94A05"/>
    <w:rsid w:val="00DF3ECD"/>
    <w:rsid w:val="00E147BB"/>
    <w:rsid w:val="00E269A3"/>
    <w:rsid w:val="00E542BC"/>
    <w:rsid w:val="00E82861"/>
    <w:rsid w:val="00F06404"/>
    <w:rsid w:val="00FB3C3F"/>
    <w:rsid w:val="00FC2C8C"/>
    <w:rsid w:val="00FD0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semiHidden/>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5D6101"/>
    <w:pPr>
      <w:numPr>
        <w:numId w:val="7"/>
      </w:numPr>
    </w:pPr>
  </w:style>
  <w:style w:type="paragraph" w:customStyle="1" w:styleId="AonBullet1">
    <w:name w:val="Aon Bullet 1"/>
    <w:basedOn w:val="Normal"/>
    <w:rsid w:val="005D6101"/>
    <w:pPr>
      <w:numPr>
        <w:numId w:val="8"/>
      </w:numPr>
      <w:spacing w:after="120" w:line="240" w:lineRule="auto"/>
    </w:pPr>
    <w:rPr>
      <w:rFonts w:ascii="Arial" w:eastAsia="Times New Roman" w:hAnsi="Arial" w:cs="Times New Roman"/>
      <w:szCs w:val="20"/>
    </w:rPr>
  </w:style>
  <w:style w:type="paragraph" w:customStyle="1" w:styleId="AonDocumentTitle">
    <w:name w:val="Aon Document Title"/>
    <w:basedOn w:val="Normal"/>
    <w:next w:val="Normal"/>
    <w:rsid w:val="005D6101"/>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5D6101"/>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5D6101"/>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5D6101"/>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5D6101"/>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5D6101"/>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5D6101"/>
    <w:rPr>
      <w:rFonts w:ascii="Arial" w:eastAsia="MS Mincho" w:hAnsi="Arial" w:cs="Times New Roman"/>
    </w:rPr>
  </w:style>
  <w:style w:type="paragraph" w:customStyle="1" w:styleId="FNSTableTextRow">
    <w:name w:val="FNS Table Text Row"/>
    <w:basedOn w:val="Normal"/>
    <w:link w:val="FNSTableTextRowChar"/>
    <w:rsid w:val="005D6101"/>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5D6101"/>
    <w:rPr>
      <w:rFonts w:ascii="Calibri" w:eastAsia="MS Mincho" w:hAnsi="Calibri" w:cs="Times New Roman"/>
      <w:sz w:val="18"/>
    </w:rPr>
  </w:style>
  <w:style w:type="paragraph" w:customStyle="1" w:styleId="FNSTableTitleRow1">
    <w:name w:val="FNS Table Title Row 1"/>
    <w:basedOn w:val="Normal"/>
    <w:rsid w:val="005D610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5D6101"/>
    <w:rPr>
      <w:i/>
      <w:iCs/>
    </w:rPr>
  </w:style>
  <w:style w:type="paragraph" w:customStyle="1" w:styleId="AonBodyCopy">
    <w:name w:val="Aon Body Copy"/>
    <w:basedOn w:val="Normal"/>
    <w:link w:val="AonBodyCopyChar"/>
    <w:rsid w:val="00321778"/>
    <w:pPr>
      <w:spacing w:after="240" w:line="264" w:lineRule="auto"/>
    </w:pPr>
    <w:rPr>
      <w:rFonts w:ascii="Arial" w:eastAsia="MS Mincho" w:hAnsi="Arial" w:cs="Times New Roman"/>
      <w:szCs w:val="20"/>
    </w:rPr>
  </w:style>
  <w:style w:type="character" w:customStyle="1" w:styleId="AonBodyCopyChar">
    <w:name w:val="Aon Body Copy Char"/>
    <w:basedOn w:val="DefaultParagraphFont"/>
    <w:link w:val="AonBodyCopy"/>
    <w:rsid w:val="00321778"/>
    <w:rPr>
      <w:rFonts w:ascii="Arial" w:eastAsia="MS Mincho" w:hAnsi="Arial"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semiHidden/>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5D6101"/>
    <w:pPr>
      <w:numPr>
        <w:numId w:val="7"/>
      </w:numPr>
    </w:pPr>
  </w:style>
  <w:style w:type="paragraph" w:customStyle="1" w:styleId="AonBullet1">
    <w:name w:val="Aon Bullet 1"/>
    <w:basedOn w:val="Normal"/>
    <w:rsid w:val="005D6101"/>
    <w:pPr>
      <w:numPr>
        <w:numId w:val="8"/>
      </w:numPr>
      <w:spacing w:after="120" w:line="240" w:lineRule="auto"/>
    </w:pPr>
    <w:rPr>
      <w:rFonts w:ascii="Arial" w:eastAsia="Times New Roman" w:hAnsi="Arial" w:cs="Times New Roman"/>
      <w:szCs w:val="20"/>
    </w:rPr>
  </w:style>
  <w:style w:type="paragraph" w:customStyle="1" w:styleId="AonDocumentTitle">
    <w:name w:val="Aon Document Title"/>
    <w:basedOn w:val="Normal"/>
    <w:next w:val="Normal"/>
    <w:rsid w:val="005D6101"/>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5D6101"/>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5D6101"/>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5D6101"/>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5D6101"/>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5D6101"/>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5D6101"/>
    <w:rPr>
      <w:rFonts w:ascii="Arial" w:eastAsia="MS Mincho" w:hAnsi="Arial" w:cs="Times New Roman"/>
    </w:rPr>
  </w:style>
  <w:style w:type="paragraph" w:customStyle="1" w:styleId="FNSTableTextRow">
    <w:name w:val="FNS Table Text Row"/>
    <w:basedOn w:val="Normal"/>
    <w:link w:val="FNSTableTextRowChar"/>
    <w:rsid w:val="005D6101"/>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5D6101"/>
    <w:rPr>
      <w:rFonts w:ascii="Calibri" w:eastAsia="MS Mincho" w:hAnsi="Calibri" w:cs="Times New Roman"/>
      <w:sz w:val="18"/>
    </w:rPr>
  </w:style>
  <w:style w:type="paragraph" w:customStyle="1" w:styleId="FNSTableTitleRow1">
    <w:name w:val="FNS Table Title Row 1"/>
    <w:basedOn w:val="Normal"/>
    <w:rsid w:val="005D610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5D6101"/>
    <w:rPr>
      <w:i/>
      <w:iCs/>
    </w:rPr>
  </w:style>
  <w:style w:type="paragraph" w:customStyle="1" w:styleId="AonBodyCopy">
    <w:name w:val="Aon Body Copy"/>
    <w:basedOn w:val="Normal"/>
    <w:link w:val="AonBodyCopyChar"/>
    <w:rsid w:val="00321778"/>
    <w:pPr>
      <w:spacing w:after="240" w:line="264" w:lineRule="auto"/>
    </w:pPr>
    <w:rPr>
      <w:rFonts w:ascii="Arial" w:eastAsia="MS Mincho" w:hAnsi="Arial" w:cs="Times New Roman"/>
      <w:szCs w:val="20"/>
    </w:rPr>
  </w:style>
  <w:style w:type="character" w:customStyle="1" w:styleId="AonBodyCopyChar">
    <w:name w:val="Aon Body Copy Char"/>
    <w:basedOn w:val="DefaultParagraphFont"/>
    <w:link w:val="AonBodyCopy"/>
    <w:rsid w:val="00321778"/>
    <w:rPr>
      <w:rFonts w:ascii="Arial" w:eastAsia="MS Mincho"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17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customXml" Target="../customXml/item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SRM.Mailbox@aon.com" TargetMode="External"/><Relationship Id="rId14" Type="http://schemas.openxmlformats.org/officeDocument/2006/relationships/customXml" Target="../customXml/item2.xml"/></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Alight">
  <a:themeElements>
    <a:clrScheme name="Alight">
      <a:dk1>
        <a:srgbClr val="000000"/>
      </a:dk1>
      <a:lt1>
        <a:sysClr val="window" lastClr="FFFFFF"/>
      </a:lt1>
      <a:dk2>
        <a:srgbClr val="777877"/>
      </a:dk2>
      <a:lt2>
        <a:srgbClr val="FFF200"/>
      </a:lt2>
      <a:accent1>
        <a:srgbClr val="FFF200"/>
      </a:accent1>
      <a:accent2>
        <a:srgbClr val="725091"/>
      </a:accent2>
      <a:accent3>
        <a:srgbClr val="1473A5"/>
      </a:accent3>
      <a:accent4>
        <a:srgbClr val="8BD0CD"/>
      </a:accent4>
      <a:accent5>
        <a:srgbClr val="00AF57"/>
      </a:accent5>
      <a:accent6>
        <a:srgbClr val="000000"/>
      </a:accent6>
      <a:hlink>
        <a:srgbClr val="000000"/>
      </a:hlink>
      <a:folHlink>
        <a:srgbClr val="777877"/>
      </a:folHlink>
    </a:clrScheme>
    <a:fontScheme name="FS Thrive Elliot">
      <a:majorFont>
        <a:latin typeface="FS Thrive Elliot Heavy"/>
        <a:ea typeface=""/>
        <a:cs typeface=""/>
      </a:majorFont>
      <a:minorFont>
        <a:latin typeface="FS Thrive Ellio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bodyPr lIns="0" tIns="0" rIns="0" bIns="0" anchor="t">
        <a:noAutofit/>
      </a:bodyPr>
      <a:lstStyle>
        <a:defPPr>
          <a:lnSpc>
            <a:spcPts val="2000"/>
          </a:lnSpc>
          <a:defRPr sz="1800" dirty="0">
            <a:solidFill>
              <a:srgbClr val="000000"/>
            </a:solidFill>
            <a:latin typeface="+mn-lt"/>
            <a:cs typeface="FS Thrive Elliot Regular"/>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78741735743CE4784466B0A0776B074" ma:contentTypeVersion="0" ma:contentTypeDescription="Create a new document." ma:contentTypeScope="" ma:versionID="09b12081014b2eea1ff1b820d563549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65E8C7-3BA1-4565-A3AF-A7F7E24FEF3C}">
  <ds:schemaRefs>
    <ds:schemaRef ds:uri="http://schemas.openxmlformats.org/officeDocument/2006/bibliography"/>
  </ds:schemaRefs>
</ds:datastoreItem>
</file>

<file path=customXml/itemProps2.xml><?xml version="1.0" encoding="utf-8"?>
<ds:datastoreItem xmlns:ds="http://schemas.openxmlformats.org/officeDocument/2006/customXml" ds:itemID="{46CDCABD-4B60-4368-A559-A298965D5794}"/>
</file>

<file path=customXml/itemProps3.xml><?xml version="1.0" encoding="utf-8"?>
<ds:datastoreItem xmlns:ds="http://schemas.openxmlformats.org/officeDocument/2006/customXml" ds:itemID="{C87F71C4-EA4B-4F85-B61C-5AFB21DC9865}"/>
</file>

<file path=customXml/itemProps4.xml><?xml version="1.0" encoding="utf-8"?>
<ds:datastoreItem xmlns:ds="http://schemas.openxmlformats.org/officeDocument/2006/customXml" ds:itemID="{A2696456-2798-4204-A1EB-450DB1727FC4}"/>
</file>

<file path=docProps/app.xml><?xml version="1.0" encoding="utf-8"?>
<Properties xmlns="http://schemas.openxmlformats.org/officeDocument/2006/extended-properties" xmlns:vt="http://schemas.openxmlformats.org/officeDocument/2006/docPropsVTypes">
  <Template>Normal.dotm</Template>
  <TotalTime>0</TotalTime>
  <Pages>7</Pages>
  <Words>1473</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9856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Dolezal</dc:creator>
  <cp:lastModifiedBy>Courtney Weiland</cp:lastModifiedBy>
  <cp:revision>3</cp:revision>
  <dcterms:created xsi:type="dcterms:W3CDTF">2017-07-17T19:53:00Z</dcterms:created>
  <dcterms:modified xsi:type="dcterms:W3CDTF">2017-07-21T14:22:00Z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0x010100F78741735743CE4784466B0A0776B074</vt:lpwstr>
  </property>
</Properties>
</file>