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052" w:rsidRDefault="00DF0052" w:rsidP="00DF0052">
      <w:pPr>
        <w:pStyle w:val="Heading1"/>
      </w:pPr>
      <w:bookmarkStart w:id="0" w:name="_Toc289842747"/>
      <w:bookmarkStart w:id="1" w:name="_Toc301517818"/>
      <w:bookmarkStart w:id="2" w:name="_Toc304735574"/>
      <w:bookmarkStart w:id="3" w:name="_Toc300653622"/>
      <w:r>
        <w:t>Application Security Standard</w:t>
      </w:r>
      <w:bookmarkStart w:id="4" w:name="_GoBack"/>
      <w:bookmarkEnd w:id="4"/>
    </w:p>
    <w:p w:rsidR="00DF0052" w:rsidRDefault="00DF0052" w:rsidP="00DF0052">
      <w:pPr>
        <w:pStyle w:val="Heading2"/>
      </w:pPr>
      <w:r>
        <w:t xml:space="preserve">Related </w:t>
      </w:r>
      <w:r w:rsidRPr="002311A6">
        <w:t>P</w:t>
      </w:r>
      <w:r>
        <w:t>olicy</w:t>
      </w:r>
    </w:p>
    <w:p w:rsidR="00DF0052" w:rsidRDefault="00DF0052" w:rsidP="00DF0052">
      <w:pPr>
        <w:pStyle w:val="NormalDS"/>
        <w:numPr>
          <w:ilvl w:val="0"/>
          <w:numId w:val="14"/>
        </w:numPr>
      </w:pPr>
      <w:bookmarkStart w:id="5" w:name="_Toc158805971"/>
      <w:bookmarkStart w:id="6" w:name="_Toc289842748"/>
      <w:bookmarkEnd w:id="0"/>
      <w:bookmarkEnd w:id="1"/>
      <w:bookmarkEnd w:id="2"/>
      <w:r>
        <w:t>203.00 Application Security Policy</w:t>
      </w:r>
      <w:bookmarkStart w:id="7" w:name="_Toc304735578"/>
      <w:bookmarkEnd w:id="5"/>
      <w:bookmarkEnd w:id="6"/>
    </w:p>
    <w:p w:rsidR="00DF0052" w:rsidRPr="001325AE" w:rsidRDefault="00DF0052" w:rsidP="00DF0052">
      <w:pPr>
        <w:pStyle w:val="Heading2"/>
      </w:pPr>
      <w:r w:rsidRPr="001325AE">
        <w:t>Purpose</w:t>
      </w:r>
    </w:p>
    <w:p w:rsidR="00DF0052" w:rsidRPr="004A0F67" w:rsidRDefault="00DF0052" w:rsidP="00DF0052">
      <w:pPr>
        <w:pStyle w:val="NormalDS"/>
      </w:pPr>
      <w:r w:rsidRPr="002C225B">
        <w:t xml:space="preserve">The purpose of the Standard is to provide the requirements </w:t>
      </w:r>
      <w:r>
        <w:t>for deployment of applications at Alight. The</w:t>
      </w:r>
      <w:r w:rsidRPr="00AD61C7">
        <w:t xml:space="preserve"> application security </w:t>
      </w:r>
      <w:r>
        <w:t xml:space="preserve">program </w:t>
      </w:r>
      <w:r w:rsidRPr="00AD61C7">
        <w:t xml:space="preserve">is designed to identify and resolve potential security risks before the solution is introduced into </w:t>
      </w:r>
      <w:r>
        <w:t>Alight</w:t>
      </w:r>
      <w:r w:rsidRPr="00AD61C7">
        <w:t>'s environment</w:t>
      </w:r>
      <w:r w:rsidRPr="004A0F67">
        <w:t>.</w:t>
      </w:r>
    </w:p>
    <w:p w:rsidR="00DF0052" w:rsidRPr="00110062" w:rsidRDefault="00DF0052" w:rsidP="00DF0052">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DF0052" w:rsidRDefault="00DF0052" w:rsidP="00DF0052">
      <w:pPr>
        <w:pStyle w:val="Heading3"/>
        <w:numPr>
          <w:ilvl w:val="0"/>
          <w:numId w:val="9"/>
        </w:numPr>
        <w:spacing w:after="0"/>
        <w:ind w:left="540" w:hanging="540"/>
        <w:jc w:val="both"/>
      </w:pPr>
      <w:bookmarkStart w:id="10" w:name="_Toc308426331"/>
      <w:bookmarkStart w:id="11" w:name="_Ref103999072"/>
      <w:bookmarkStart w:id="12" w:name="_Toc144115735"/>
      <w:bookmarkStart w:id="13" w:name="_Toc171751785"/>
      <w:bookmarkStart w:id="14" w:name="_Toc171752823"/>
      <w:bookmarkStart w:id="15" w:name="_Toc171752857"/>
      <w:bookmarkStart w:id="16" w:name="_Toc171753297"/>
      <w:bookmarkStart w:id="17" w:name="_Toc210180813"/>
      <w:bookmarkStart w:id="18" w:name="_Toc289842761"/>
      <w:bookmarkStart w:id="19" w:name="_Toc158805972"/>
      <w:bookmarkStart w:id="20" w:name="_Toc289842767"/>
      <w:bookmarkStart w:id="21" w:name="_Toc301517836"/>
      <w:bookmarkStart w:id="22" w:name="_Toc304735590"/>
      <w:bookmarkEnd w:id="9"/>
      <w:r>
        <w:t>Training and Awareness</w:t>
      </w:r>
      <w:bookmarkEnd w:id="10"/>
      <w:r>
        <w:t xml:space="preserve"> </w:t>
      </w:r>
    </w:p>
    <w:p w:rsidR="00DF0052" w:rsidRPr="002A2363" w:rsidRDefault="00DF0052" w:rsidP="00DF0052">
      <w:pPr>
        <w:pStyle w:val="NormalDS"/>
        <w:numPr>
          <w:ilvl w:val="1"/>
          <w:numId w:val="9"/>
        </w:numPr>
      </w:pPr>
      <w:r>
        <w:t xml:space="preserve">It is mandatory for all colleagues involved in the development of code for Alight or </w:t>
      </w:r>
      <w:proofErr w:type="gramStart"/>
      <w:r>
        <w:t>Alight</w:t>
      </w:r>
      <w:proofErr w:type="gramEnd"/>
      <w:r>
        <w:t xml:space="preserve"> clients should have completed the basic level Software Secure Code training on secure code best practices and should have taken the refresher course annually. </w:t>
      </w:r>
    </w:p>
    <w:p w:rsidR="00DF0052" w:rsidRDefault="00DF0052" w:rsidP="00DF0052">
      <w:pPr>
        <w:pStyle w:val="Heading3"/>
        <w:numPr>
          <w:ilvl w:val="0"/>
          <w:numId w:val="9"/>
        </w:numPr>
        <w:spacing w:after="0"/>
        <w:ind w:left="540" w:hanging="540"/>
        <w:jc w:val="both"/>
      </w:pPr>
      <w:bookmarkStart w:id="23" w:name="_Toc308426332"/>
      <w:r>
        <w:t>Assessment – Requirements</w:t>
      </w:r>
      <w:bookmarkEnd w:id="23"/>
    </w:p>
    <w:p w:rsidR="00DF0052" w:rsidRPr="002A2363" w:rsidRDefault="00DF0052" w:rsidP="00DF0052">
      <w:pPr>
        <w:pStyle w:val="NormalDS"/>
        <w:numPr>
          <w:ilvl w:val="1"/>
          <w:numId w:val="9"/>
        </w:numPr>
      </w:pPr>
      <w:r>
        <w:t>Alight</w:t>
      </w:r>
      <w:r w:rsidRPr="002A2363">
        <w:t xml:space="preserve"> must use a risk based framework when assessing applications.</w:t>
      </w:r>
    </w:p>
    <w:p w:rsidR="00DF0052" w:rsidRPr="002A2363" w:rsidRDefault="00DF0052" w:rsidP="00DF0052">
      <w:pPr>
        <w:pStyle w:val="NormalDS"/>
        <w:numPr>
          <w:ilvl w:val="1"/>
          <w:numId w:val="9"/>
        </w:numPr>
      </w:pPr>
      <w:r w:rsidRPr="002A2363">
        <w:t xml:space="preserve">All applications must undergo a security </w:t>
      </w:r>
      <w:r>
        <w:t>assessment</w:t>
      </w:r>
      <w:r w:rsidRPr="002A2363">
        <w:t xml:space="preserve"> by a member of the Global Application Security (SSDLC) team before being deployed to production. </w:t>
      </w:r>
      <w:r>
        <w:t>When available, a manual</w:t>
      </w:r>
      <w:r w:rsidRPr="002A2363">
        <w:t xml:space="preserve"> </w:t>
      </w:r>
      <w:r>
        <w:t>security assessment</w:t>
      </w:r>
      <w:r w:rsidRPr="002A2363">
        <w:t xml:space="preserve"> </w:t>
      </w:r>
      <w:r>
        <w:t xml:space="preserve">performed by a recognized independent third party, may be reviewed </w:t>
      </w:r>
      <w:r w:rsidRPr="002A2363">
        <w:t>.</w:t>
      </w:r>
      <w:r>
        <w:t>and utilized in lieu of an internal assessment.</w:t>
      </w:r>
    </w:p>
    <w:p w:rsidR="00DF0052" w:rsidRPr="002A2363" w:rsidRDefault="00DF0052" w:rsidP="00DF0052">
      <w:pPr>
        <w:pStyle w:val="NormalDS"/>
        <w:numPr>
          <w:ilvl w:val="1"/>
          <w:numId w:val="9"/>
        </w:numPr>
      </w:pPr>
      <w:r w:rsidRPr="002A2363">
        <w:t xml:space="preserve">Application project teams must provide </w:t>
      </w:r>
      <w:r>
        <w:t xml:space="preserve">adequate </w:t>
      </w:r>
      <w:r w:rsidRPr="002A2363">
        <w:t xml:space="preserve">time to the assessor in order to properly verify the application security. Costs for external assessment resources are the responsibility of the business unit and will not be absorbed by </w:t>
      </w:r>
      <w:r>
        <w:t>Information Risk &amp; Security Services</w:t>
      </w:r>
      <w:r w:rsidRPr="002A2363">
        <w:t xml:space="preserve"> unless pre-approved. </w:t>
      </w:r>
    </w:p>
    <w:p w:rsidR="00DF0052" w:rsidRPr="002A2363" w:rsidRDefault="00DF0052" w:rsidP="00DF0052">
      <w:pPr>
        <w:pStyle w:val="NormalDS"/>
        <w:numPr>
          <w:ilvl w:val="1"/>
          <w:numId w:val="9"/>
        </w:numPr>
      </w:pPr>
      <w:r w:rsidRPr="002A2363">
        <w:t xml:space="preserve">Application teams must provide non-production environments to the assessment team to perform their testing. The test environment must replicate as </w:t>
      </w:r>
      <w:r>
        <w:t>closely</w:t>
      </w:r>
      <w:r w:rsidRPr="002A2363">
        <w:t xml:space="preserve"> as possible the production implementation in functionality, versions of underlying software, and configuration. Code development must be complete before testing and the developers are expected to minimize changes and inform </w:t>
      </w:r>
      <w:r>
        <w:t>Information Risk &amp; Security Services</w:t>
      </w:r>
      <w:r w:rsidRPr="002A2363">
        <w:t xml:space="preserve"> of code changes after an application has passed an assessment.  When </w:t>
      </w:r>
      <w:r>
        <w:t xml:space="preserve">the </w:t>
      </w:r>
      <w:r w:rsidRPr="002A2363">
        <w:t>source code</w:t>
      </w:r>
      <w:r>
        <w:t xml:space="preserve"> is available, it </w:t>
      </w:r>
      <w:r w:rsidRPr="002A2363">
        <w:t>must be made available to the assessor.</w:t>
      </w:r>
    </w:p>
    <w:p w:rsidR="00DF0052" w:rsidRDefault="00DF0052" w:rsidP="00DF0052">
      <w:pPr>
        <w:pStyle w:val="NormalDS"/>
        <w:numPr>
          <w:ilvl w:val="1"/>
          <w:numId w:val="9"/>
        </w:numPr>
      </w:pPr>
      <w:r w:rsidRPr="002A2363">
        <w:t xml:space="preserve">Application teams must provide appropriate access to the environment to allow all necessary testing to occur. This includes the necessary IP </w:t>
      </w:r>
      <w:r>
        <w:t xml:space="preserve">addressing </w:t>
      </w:r>
      <w:r w:rsidRPr="002A2363">
        <w:t xml:space="preserve">and URL information to identify </w:t>
      </w:r>
      <w:r w:rsidRPr="002A2363">
        <w:lastRenderedPageBreak/>
        <w:t xml:space="preserve">the location of the application on the network and multiple accounts at </w:t>
      </w:r>
      <w:r>
        <w:t>each</w:t>
      </w:r>
      <w:r w:rsidRPr="002A2363">
        <w:t xml:space="preserve"> access level throughout the application and test environment. It is the responsibility of the project team to create the necessary accounts and provide the necessary access to the application to perform the assessment.</w:t>
      </w:r>
      <w:r>
        <w:t xml:space="preserve">  </w:t>
      </w:r>
      <w:r w:rsidRPr="00933600">
        <w:t>In instances where the auditors cannot access the servers (such as third parties with no LAN credentials), the application development or operations groups must provide support to the auditors to screen share or assist in person with monitoring server processes or log information to assist in proving or disproving vulnerabilities that require such access.</w:t>
      </w:r>
    </w:p>
    <w:p w:rsidR="00DF0052" w:rsidRPr="002A2363" w:rsidRDefault="00DF0052" w:rsidP="00DF0052">
      <w:pPr>
        <w:pStyle w:val="NormalDS"/>
        <w:numPr>
          <w:ilvl w:val="1"/>
          <w:numId w:val="9"/>
        </w:numPr>
      </w:pPr>
      <w:r w:rsidRPr="00933600">
        <w:t xml:space="preserve">Application project teams must provide source code for all applications either internally developed, or contracted out where we have source code.  In instances where we only have source for parts of the application, they will provide source code for the parts that are available.  The Global Application Security Team will maintain possession of the source code and ensure that it is </w:t>
      </w:r>
      <w:r>
        <w:t>properly secured at an</w:t>
      </w:r>
      <w:r w:rsidRPr="00933600">
        <w:t xml:space="preserve"> </w:t>
      </w:r>
      <w:proofErr w:type="gramStart"/>
      <w:r>
        <w:t>Alight</w:t>
      </w:r>
      <w:proofErr w:type="gramEnd"/>
      <w:r w:rsidRPr="00933600">
        <w:t xml:space="preserve"> controlled premise</w:t>
      </w:r>
      <w:r>
        <w:t>.  A</w:t>
      </w:r>
      <w:r w:rsidRPr="00933600">
        <w:t xml:space="preserve">ny source code </w:t>
      </w:r>
      <w:r>
        <w:t>assess</w:t>
      </w:r>
      <w:r w:rsidRPr="00933600">
        <w:t xml:space="preserve">ed by a third party is done so under proper supervision by a member of the </w:t>
      </w:r>
      <w:r>
        <w:t>Global Application Security T</w:t>
      </w:r>
      <w:r w:rsidRPr="00933600">
        <w:t>eam or application support group.</w:t>
      </w:r>
    </w:p>
    <w:p w:rsidR="00DF0052" w:rsidRPr="00CB6EB6" w:rsidRDefault="00DF0052" w:rsidP="00DF0052">
      <w:pPr>
        <w:pStyle w:val="Heading3"/>
        <w:numPr>
          <w:ilvl w:val="0"/>
          <w:numId w:val="9"/>
        </w:numPr>
        <w:spacing w:after="0"/>
        <w:ind w:left="540" w:hanging="540"/>
        <w:jc w:val="both"/>
      </w:pPr>
      <w:bookmarkStart w:id="24" w:name="_Toc308426333"/>
      <w:r>
        <w:t>Assessment - New Applications</w:t>
      </w:r>
      <w:bookmarkEnd w:id="24"/>
    </w:p>
    <w:p w:rsidR="00DF0052" w:rsidRPr="002A2363" w:rsidRDefault="00DF0052" w:rsidP="00DF0052">
      <w:pPr>
        <w:pStyle w:val="NormalDS"/>
        <w:numPr>
          <w:ilvl w:val="1"/>
          <w:numId w:val="9"/>
        </w:numPr>
      </w:pPr>
      <w:r w:rsidRPr="002A2363">
        <w:t xml:space="preserve">New applications require assessments before being deployed to production networks or touching production data </w:t>
      </w:r>
      <w:r>
        <w:t>when</w:t>
      </w:r>
      <w:r w:rsidRPr="002A2363">
        <w:t xml:space="preserve"> one of the following is true:</w:t>
      </w:r>
    </w:p>
    <w:p w:rsidR="00DF0052" w:rsidRPr="002A2363" w:rsidRDefault="00DF0052" w:rsidP="00DF0052">
      <w:pPr>
        <w:pStyle w:val="NormalDS"/>
        <w:numPr>
          <w:ilvl w:val="2"/>
          <w:numId w:val="9"/>
        </w:numPr>
        <w:ind w:left="1224"/>
      </w:pPr>
      <w:r w:rsidRPr="002A2363">
        <w:t xml:space="preserve">The application is accessed externally, i.e., from a location </w:t>
      </w:r>
      <w:r>
        <w:t>whose</w:t>
      </w:r>
      <w:r w:rsidRPr="002A2363">
        <w:t xml:space="preserve"> network security is not fully controlled by </w:t>
      </w:r>
      <w:r>
        <w:t>Alight</w:t>
      </w:r>
      <w:r w:rsidRPr="002A2363">
        <w:t xml:space="preserve">. </w:t>
      </w:r>
    </w:p>
    <w:p w:rsidR="00DF0052" w:rsidRPr="002A2363" w:rsidRDefault="00DF0052" w:rsidP="00DF0052">
      <w:pPr>
        <w:pStyle w:val="NormalDS"/>
        <w:numPr>
          <w:ilvl w:val="2"/>
          <w:numId w:val="9"/>
        </w:numPr>
        <w:ind w:left="1224"/>
      </w:pPr>
      <w:r w:rsidRPr="002A2363">
        <w:t xml:space="preserve">The application operates with administrative-level privileges. </w:t>
      </w:r>
    </w:p>
    <w:p w:rsidR="00DF0052" w:rsidRPr="002A2363" w:rsidRDefault="00DF0052" w:rsidP="00DF0052">
      <w:pPr>
        <w:pStyle w:val="NormalDS"/>
        <w:numPr>
          <w:ilvl w:val="2"/>
          <w:numId w:val="9"/>
        </w:numPr>
        <w:ind w:left="1224"/>
      </w:pPr>
      <w:r w:rsidRPr="002A2363">
        <w:t xml:space="preserve">The application handles </w:t>
      </w:r>
      <w:r>
        <w:t>HBI or MBI data based on definitions within the Data Security Classification Standard.</w:t>
      </w:r>
      <w:r w:rsidRPr="002A2363">
        <w:t xml:space="preserve">  </w:t>
      </w:r>
    </w:p>
    <w:p w:rsidR="00DF0052" w:rsidRPr="002A2363" w:rsidRDefault="00DF0052" w:rsidP="00DF0052">
      <w:pPr>
        <w:pStyle w:val="NormalDS"/>
        <w:numPr>
          <w:ilvl w:val="2"/>
          <w:numId w:val="9"/>
        </w:numPr>
        <w:ind w:left="1224"/>
      </w:pPr>
      <w:r w:rsidRPr="002A2363">
        <w:t>The application is hosted by a third party.</w:t>
      </w:r>
    </w:p>
    <w:p w:rsidR="00DF0052" w:rsidRPr="00AD61C7" w:rsidRDefault="00DF0052" w:rsidP="00DF0052">
      <w:pPr>
        <w:pStyle w:val="Heading3"/>
        <w:numPr>
          <w:ilvl w:val="0"/>
          <w:numId w:val="9"/>
        </w:numPr>
        <w:spacing w:after="0"/>
        <w:ind w:left="540" w:hanging="540"/>
        <w:jc w:val="both"/>
      </w:pPr>
      <w:bookmarkStart w:id="25" w:name="_Toc308426334"/>
      <w:r>
        <w:t>Assessment - Deployed Applications</w:t>
      </w:r>
      <w:bookmarkEnd w:id="25"/>
      <w:r w:rsidRPr="00AD61C7">
        <w:t xml:space="preserve"> </w:t>
      </w:r>
    </w:p>
    <w:p w:rsidR="00DF0052" w:rsidRPr="002A2363" w:rsidRDefault="00DF0052" w:rsidP="00DF0052">
      <w:pPr>
        <w:pStyle w:val="NormalDS"/>
        <w:numPr>
          <w:ilvl w:val="1"/>
          <w:numId w:val="9"/>
        </w:numPr>
      </w:pPr>
      <w:r>
        <w:t>Already deployed a</w:t>
      </w:r>
      <w:r w:rsidRPr="002A2363">
        <w:t xml:space="preserve">pplications require assessments </w:t>
      </w:r>
      <w:r>
        <w:t>when</w:t>
      </w:r>
      <w:r w:rsidRPr="002A2363">
        <w:t xml:space="preserve"> one of the following is true:</w:t>
      </w:r>
    </w:p>
    <w:p w:rsidR="00DF0052" w:rsidRPr="002A2363" w:rsidRDefault="00DF0052" w:rsidP="00DF0052">
      <w:pPr>
        <w:pStyle w:val="NormalDS"/>
        <w:numPr>
          <w:ilvl w:val="2"/>
          <w:numId w:val="9"/>
        </w:numPr>
        <w:ind w:left="1224"/>
      </w:pPr>
      <w:r w:rsidRPr="002A2363">
        <w:t xml:space="preserve">There is a significant change in the way the application functions. </w:t>
      </w:r>
    </w:p>
    <w:p w:rsidR="00DF0052" w:rsidRPr="002A2363" w:rsidRDefault="00DF0052" w:rsidP="00DF0052">
      <w:pPr>
        <w:pStyle w:val="NormalDS"/>
        <w:numPr>
          <w:ilvl w:val="2"/>
          <w:numId w:val="9"/>
        </w:numPr>
        <w:ind w:left="1224"/>
      </w:pPr>
      <w:r w:rsidRPr="002A2363">
        <w:t xml:space="preserve">The application is going to process data classified under a more restrictive protection level than previously approved. </w:t>
      </w:r>
    </w:p>
    <w:p w:rsidR="00DF0052" w:rsidRPr="002A2363" w:rsidRDefault="00DF0052" w:rsidP="00DF0052">
      <w:pPr>
        <w:pStyle w:val="NormalDS"/>
        <w:numPr>
          <w:ilvl w:val="2"/>
          <w:numId w:val="9"/>
        </w:numPr>
        <w:ind w:left="1224"/>
      </w:pPr>
      <w:r w:rsidRPr="002A2363">
        <w:t xml:space="preserve">The application is moving to or from a protected environment (security zone, DMZ). </w:t>
      </w:r>
    </w:p>
    <w:p w:rsidR="00DF0052" w:rsidRDefault="00DF0052" w:rsidP="00DF0052">
      <w:pPr>
        <w:pStyle w:val="NormalDS"/>
        <w:numPr>
          <w:ilvl w:val="2"/>
          <w:numId w:val="9"/>
        </w:numPr>
        <w:ind w:left="1224"/>
      </w:pPr>
      <w:r w:rsidRPr="002A2363">
        <w:t>The application is exposed to a different user base (i.e., application used by a single client moving to being used by multiple clients).</w:t>
      </w:r>
    </w:p>
    <w:p w:rsidR="00DF0052" w:rsidRDefault="00DF0052" w:rsidP="00DF0052">
      <w:pPr>
        <w:pStyle w:val="NormalDS"/>
        <w:numPr>
          <w:ilvl w:val="2"/>
          <w:numId w:val="9"/>
        </w:numPr>
        <w:ind w:left="1224"/>
      </w:pPr>
      <w:r>
        <w:t>Previous assessment of the application is older than 3 years or more.</w:t>
      </w:r>
      <w:r w:rsidRPr="002A2363">
        <w:t xml:space="preserve"> </w:t>
      </w:r>
    </w:p>
    <w:p w:rsidR="00DF0052" w:rsidRPr="002A2363" w:rsidRDefault="00DF0052" w:rsidP="00DF0052">
      <w:pPr>
        <w:pStyle w:val="NormalDS"/>
        <w:numPr>
          <w:ilvl w:val="1"/>
          <w:numId w:val="9"/>
        </w:numPr>
      </w:pPr>
      <w:r>
        <w:t>To facilitate client requests for application assessment reports, application teams must maintain, or have reasonably available, test environments with non-production data.</w:t>
      </w:r>
    </w:p>
    <w:p w:rsidR="00DF0052" w:rsidRDefault="00DF0052" w:rsidP="00DF0052">
      <w:pPr>
        <w:pStyle w:val="ListParagraph"/>
        <w:keepNext/>
        <w:spacing w:before="120" w:after="120"/>
        <w:ind w:left="1080"/>
        <w:contextualSpacing w:val="0"/>
        <w:jc w:val="both"/>
        <w:rPr>
          <w:rFonts w:ascii="Arial" w:hAnsi="Arial" w:cs="Arial"/>
        </w:rPr>
      </w:pPr>
    </w:p>
    <w:p w:rsidR="00DF0052" w:rsidRPr="00DC1A30" w:rsidRDefault="00DF0052" w:rsidP="00DF0052">
      <w:pPr>
        <w:pStyle w:val="Heading3"/>
        <w:numPr>
          <w:ilvl w:val="0"/>
          <w:numId w:val="9"/>
        </w:numPr>
        <w:spacing w:after="0"/>
        <w:ind w:left="540" w:hanging="540"/>
        <w:jc w:val="both"/>
      </w:pPr>
      <w:bookmarkStart w:id="26" w:name="_Toc308426336"/>
      <w:r>
        <w:t xml:space="preserve">Periodic </w:t>
      </w:r>
      <w:bookmarkEnd w:id="26"/>
      <w:r>
        <w:t>Assessments</w:t>
      </w:r>
    </w:p>
    <w:p w:rsidR="00DF0052" w:rsidRPr="002A2363" w:rsidRDefault="00DF0052" w:rsidP="00DF0052">
      <w:pPr>
        <w:pStyle w:val="NormalDS"/>
        <w:numPr>
          <w:ilvl w:val="1"/>
          <w:numId w:val="9"/>
        </w:numPr>
      </w:pPr>
      <w:r>
        <w:t>A</w:t>
      </w:r>
      <w:r w:rsidRPr="002A2363">
        <w:t xml:space="preserve">pplications handling the </w:t>
      </w:r>
      <w:r>
        <w:t>HBI</w:t>
      </w:r>
      <w:r w:rsidRPr="002A2363">
        <w:t xml:space="preserve"> </w:t>
      </w:r>
      <w:r>
        <w:t xml:space="preserve">or MBI </w:t>
      </w:r>
      <w:r w:rsidRPr="002A2363">
        <w:t>data of more than one (1) million individuals must</w:t>
      </w:r>
      <w:r>
        <w:t xml:space="preserve"> have a security assessment performed</w:t>
      </w:r>
      <w:r w:rsidRPr="002A2363">
        <w:t xml:space="preserve"> by an approved, independent third party annually. </w:t>
      </w:r>
    </w:p>
    <w:p w:rsidR="00DF0052" w:rsidRDefault="00DF0052" w:rsidP="00DF0052">
      <w:pPr>
        <w:pStyle w:val="NormalDS"/>
        <w:numPr>
          <w:ilvl w:val="1"/>
          <w:numId w:val="9"/>
        </w:numPr>
      </w:pPr>
      <w:r>
        <w:t>Applications handling HBI or MBI data should be assessed annually and must be assessed every three years regardless of change.</w:t>
      </w:r>
    </w:p>
    <w:p w:rsidR="00DF0052" w:rsidRPr="002A2363" w:rsidRDefault="00DF0052" w:rsidP="00DF0052">
      <w:pPr>
        <w:pStyle w:val="NormalDS"/>
        <w:numPr>
          <w:ilvl w:val="1"/>
          <w:numId w:val="9"/>
        </w:numPr>
      </w:pPr>
      <w:r>
        <w:t>Applications exposed to external networks should be assessed annually and must be assessed every three years regardless of change.</w:t>
      </w:r>
    </w:p>
    <w:p w:rsidR="00DF0052" w:rsidRPr="000C3BA1" w:rsidRDefault="00DF0052" w:rsidP="00DF0052">
      <w:pPr>
        <w:pStyle w:val="Heading3"/>
        <w:numPr>
          <w:ilvl w:val="0"/>
          <w:numId w:val="9"/>
        </w:numPr>
        <w:spacing w:after="0"/>
        <w:ind w:left="540" w:hanging="540"/>
        <w:jc w:val="both"/>
      </w:pPr>
      <w:bookmarkStart w:id="27" w:name="_Toc308426337"/>
      <w:r>
        <w:t>Assessment Testing Scope</w:t>
      </w:r>
      <w:bookmarkEnd w:id="27"/>
    </w:p>
    <w:p w:rsidR="00DF0052" w:rsidRPr="002A2363" w:rsidRDefault="00DF0052" w:rsidP="00DF0052">
      <w:pPr>
        <w:pStyle w:val="NormalDS"/>
        <w:numPr>
          <w:ilvl w:val="1"/>
          <w:numId w:val="9"/>
        </w:numPr>
      </w:pPr>
      <w:r w:rsidRPr="002A2363">
        <w:t xml:space="preserve">When determining the scope of the </w:t>
      </w:r>
      <w:r>
        <w:t>assessment</w:t>
      </w:r>
      <w:r w:rsidRPr="002A2363">
        <w:t xml:space="preserve">, </w:t>
      </w:r>
      <w:r>
        <w:t>Alight</w:t>
      </w:r>
      <w:r w:rsidRPr="002A2363">
        <w:t xml:space="preserve"> colleagues must, at a minimum, consider the following:</w:t>
      </w:r>
    </w:p>
    <w:p w:rsidR="00DF0052" w:rsidRPr="002A2363" w:rsidRDefault="00DF0052" w:rsidP="00DF0052">
      <w:pPr>
        <w:pStyle w:val="NormalDS"/>
        <w:numPr>
          <w:ilvl w:val="2"/>
          <w:numId w:val="9"/>
        </w:numPr>
        <w:ind w:left="1224"/>
      </w:pPr>
      <w:r w:rsidRPr="002A2363">
        <w:t>Application administration processes</w:t>
      </w:r>
      <w:r>
        <w:t>.</w:t>
      </w:r>
      <w:r w:rsidRPr="002A2363">
        <w:t xml:space="preserve"> </w:t>
      </w:r>
    </w:p>
    <w:p w:rsidR="00DF0052" w:rsidRPr="002A2363" w:rsidRDefault="00DF0052" w:rsidP="00DF0052">
      <w:pPr>
        <w:pStyle w:val="NormalDS"/>
        <w:numPr>
          <w:ilvl w:val="2"/>
          <w:numId w:val="9"/>
        </w:numPr>
        <w:ind w:left="1224"/>
      </w:pPr>
      <w:r w:rsidRPr="002A2363">
        <w:t>Application security</w:t>
      </w:r>
      <w:r>
        <w:t>.</w:t>
      </w:r>
      <w:r w:rsidRPr="002A2363">
        <w:t xml:space="preserve"> </w:t>
      </w:r>
    </w:p>
    <w:p w:rsidR="00DF0052" w:rsidRPr="002A2363" w:rsidRDefault="00DF0052" w:rsidP="00DF0052">
      <w:pPr>
        <w:pStyle w:val="NormalDS"/>
        <w:numPr>
          <w:ilvl w:val="2"/>
          <w:numId w:val="9"/>
        </w:numPr>
        <w:ind w:left="1224"/>
      </w:pPr>
      <w:r w:rsidRPr="002A2363">
        <w:t>Network and system security</w:t>
      </w:r>
      <w:r>
        <w:t xml:space="preserve">. </w:t>
      </w:r>
      <w:r w:rsidRPr="002A2363">
        <w:t xml:space="preserve"> </w:t>
      </w:r>
    </w:p>
    <w:p w:rsidR="00DF0052" w:rsidRPr="002A2363" w:rsidRDefault="00DF0052" w:rsidP="00DF0052">
      <w:pPr>
        <w:pStyle w:val="NormalDS"/>
        <w:numPr>
          <w:ilvl w:val="2"/>
          <w:numId w:val="9"/>
        </w:numPr>
        <w:ind w:left="1224"/>
      </w:pPr>
      <w:r w:rsidRPr="002A2363">
        <w:t>Physical security</w:t>
      </w:r>
      <w:r>
        <w:t xml:space="preserve">.                                                                                                         </w:t>
      </w:r>
      <w:r w:rsidRPr="002A2363">
        <w:t xml:space="preserve"> </w:t>
      </w:r>
    </w:p>
    <w:p w:rsidR="00DF0052" w:rsidRDefault="00DF0052" w:rsidP="00DF0052">
      <w:pPr>
        <w:pStyle w:val="Heading3"/>
        <w:numPr>
          <w:ilvl w:val="0"/>
          <w:numId w:val="9"/>
        </w:numPr>
        <w:spacing w:after="0"/>
        <w:ind w:left="540" w:hanging="540"/>
        <w:jc w:val="both"/>
      </w:pPr>
      <w:bookmarkStart w:id="28" w:name="_Toc308426338"/>
      <w:bookmarkStart w:id="29" w:name="_Toc286662406"/>
      <w:bookmarkEnd w:id="11"/>
      <w:bookmarkEnd w:id="12"/>
      <w:bookmarkEnd w:id="13"/>
      <w:bookmarkEnd w:id="14"/>
      <w:bookmarkEnd w:id="15"/>
      <w:bookmarkEnd w:id="16"/>
      <w:bookmarkEnd w:id="17"/>
      <w:r>
        <w:t>Client–Facing Document</w:t>
      </w:r>
      <w:bookmarkEnd w:id="28"/>
    </w:p>
    <w:p w:rsidR="00DF0052" w:rsidRDefault="00DF0052" w:rsidP="00DF0052">
      <w:pPr>
        <w:pStyle w:val="NormalDS"/>
        <w:numPr>
          <w:ilvl w:val="1"/>
          <w:numId w:val="9"/>
        </w:numPr>
      </w:pPr>
      <w:r>
        <w:t>If a client requires a summary of the assessment findings, a Client-F</w:t>
      </w:r>
      <w:r w:rsidRPr="002A2363">
        <w:t xml:space="preserve">acing </w:t>
      </w:r>
      <w:r>
        <w:t>Document</w:t>
      </w:r>
      <w:r w:rsidRPr="002A2363">
        <w:t xml:space="preserve"> </w:t>
      </w:r>
      <w:r>
        <w:t xml:space="preserve">may </w:t>
      </w:r>
      <w:r w:rsidRPr="002A2363">
        <w:t xml:space="preserve">be generated from this process. </w:t>
      </w:r>
      <w:r>
        <w:t>The CFD must include s</w:t>
      </w:r>
      <w:r w:rsidRPr="002A2363">
        <w:t>ummary report data only</w:t>
      </w:r>
      <w:r>
        <w:t xml:space="preserve"> and should </w:t>
      </w:r>
      <w:r w:rsidRPr="002A2363">
        <w:t>includ</w:t>
      </w:r>
      <w:r>
        <w:t>e</w:t>
      </w:r>
      <w:r w:rsidRPr="002A2363">
        <w:t xml:space="preserve"> executive overview, severity, synopsis, and risk statement</w:t>
      </w:r>
      <w:r>
        <w:t>s.</w:t>
      </w:r>
      <w:r w:rsidRPr="002A2363">
        <w:t xml:space="preserve"> </w:t>
      </w:r>
    </w:p>
    <w:p w:rsidR="00DF0052" w:rsidRDefault="00DF0052" w:rsidP="00DF0052">
      <w:pPr>
        <w:pStyle w:val="NormalDS"/>
        <w:numPr>
          <w:ilvl w:val="1"/>
          <w:numId w:val="9"/>
        </w:numPr>
      </w:pPr>
      <w:r>
        <w:t>Alight</w:t>
      </w:r>
      <w:r w:rsidRPr="002A2363">
        <w:t xml:space="preserve"> </w:t>
      </w:r>
      <w:r>
        <w:t>i</w:t>
      </w:r>
      <w:r w:rsidRPr="002A2363">
        <w:t xml:space="preserve">nternal </w:t>
      </w:r>
      <w:r>
        <w:t>summary reports</w:t>
      </w:r>
      <w:r w:rsidRPr="002A2363">
        <w:t xml:space="preserve"> </w:t>
      </w:r>
      <w:r>
        <w:t xml:space="preserve">may </w:t>
      </w:r>
      <w:r w:rsidRPr="002A2363">
        <w:t>be shared with clients</w:t>
      </w:r>
      <w:r>
        <w:t xml:space="preserve"> with approval from both the Global Application Security manager and the business unit CISO or their delegates.</w:t>
      </w:r>
    </w:p>
    <w:p w:rsidR="00DF0052" w:rsidRPr="00E76805" w:rsidRDefault="00DF0052" w:rsidP="00DF0052">
      <w:pPr>
        <w:pStyle w:val="NormalDS"/>
        <w:numPr>
          <w:ilvl w:val="1"/>
          <w:numId w:val="9"/>
        </w:numPr>
      </w:pPr>
      <w:r>
        <w:t>D</w:t>
      </w:r>
      <w:r w:rsidRPr="002A2363">
        <w:t xml:space="preserve">etailed vulnerability </w:t>
      </w:r>
      <w:r>
        <w:t xml:space="preserve">documentation and other </w:t>
      </w:r>
      <w:proofErr w:type="gramStart"/>
      <w:r>
        <w:t>Alight</w:t>
      </w:r>
      <w:proofErr w:type="gramEnd"/>
      <w:r>
        <w:t xml:space="preserve"> internal assessment documents</w:t>
      </w:r>
      <w:r w:rsidRPr="002A2363">
        <w:t xml:space="preserve"> </w:t>
      </w:r>
      <w:r>
        <w:t>must not</w:t>
      </w:r>
      <w:r w:rsidRPr="002A2363">
        <w:t xml:space="preserve"> be shared with clients.</w:t>
      </w:r>
    </w:p>
    <w:p w:rsidR="00DF0052" w:rsidRDefault="00DF0052" w:rsidP="00DF0052">
      <w:pPr>
        <w:pStyle w:val="Heading3"/>
        <w:numPr>
          <w:ilvl w:val="0"/>
          <w:numId w:val="9"/>
        </w:numPr>
        <w:spacing w:after="0"/>
        <w:ind w:left="540" w:hanging="540"/>
        <w:jc w:val="both"/>
      </w:pPr>
      <w:r>
        <w:t>Remediation</w:t>
      </w:r>
    </w:p>
    <w:p w:rsidR="00DF0052" w:rsidRDefault="00DF0052" w:rsidP="00DF0052">
      <w:pPr>
        <w:pStyle w:val="NormalDS"/>
        <w:numPr>
          <w:ilvl w:val="1"/>
          <w:numId w:val="9"/>
        </w:numPr>
      </w:pPr>
      <w:r w:rsidRPr="002A2363">
        <w:t>All vulnerabilities of medium and higher severity levels are to be remediated and retested/verified as closed before being allowed into production.</w:t>
      </w:r>
    </w:p>
    <w:p w:rsidR="00DF0052" w:rsidRPr="002A2363" w:rsidRDefault="00DF0052" w:rsidP="00DF0052">
      <w:pPr>
        <w:pStyle w:val="NormalDS"/>
        <w:numPr>
          <w:ilvl w:val="1"/>
          <w:numId w:val="9"/>
        </w:numPr>
      </w:pPr>
      <w:r>
        <w:t>Any discovered vulnerabilities that apply to already deployed applications must follow the remediation schedule as published in the Infrastructure Security Standard.</w:t>
      </w:r>
    </w:p>
    <w:p w:rsidR="00DF0052" w:rsidRDefault="00DF0052" w:rsidP="00DF0052">
      <w:pPr>
        <w:pStyle w:val="NormalDS"/>
        <w:numPr>
          <w:ilvl w:val="1"/>
          <w:numId w:val="9"/>
        </w:numPr>
      </w:pPr>
      <w:r w:rsidRPr="002A2363">
        <w:t>Vulnerabilities are designated into one of five classes each with its own predetermined service level expectation for remediation:</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50"/>
        <w:gridCol w:w="7455"/>
      </w:tblGrid>
      <w:tr w:rsidR="00DF0052" w:rsidRPr="00A246A0" w:rsidTr="002E2916">
        <w:trPr>
          <w:trHeight w:val="1013"/>
        </w:trPr>
        <w:tc>
          <w:tcPr>
            <w:tcW w:w="1350" w:type="dxa"/>
            <w:shd w:val="clear" w:color="auto" w:fill="E6E6E6"/>
            <w:tcMar>
              <w:top w:w="75" w:type="dxa"/>
              <w:left w:w="75" w:type="dxa"/>
              <w:bottom w:w="75" w:type="dxa"/>
              <w:right w:w="75" w:type="dxa"/>
            </w:tcMar>
          </w:tcPr>
          <w:p w:rsidR="00DF0052" w:rsidRPr="00E76805" w:rsidRDefault="00DF0052" w:rsidP="002E2916">
            <w:pPr>
              <w:pStyle w:val="NormalDS"/>
              <w:rPr>
                <w:b/>
              </w:rPr>
            </w:pPr>
            <w:r w:rsidRPr="00E76805">
              <w:rPr>
                <w:b/>
              </w:rPr>
              <w:lastRenderedPageBreak/>
              <w:t>Rating</w:t>
            </w:r>
          </w:p>
          <w:p w:rsidR="00DF0052" w:rsidRPr="00E76805" w:rsidRDefault="00DF0052" w:rsidP="002E2916">
            <w:pPr>
              <w:pStyle w:val="NormalDS"/>
              <w:rPr>
                <w:b/>
              </w:rPr>
            </w:pPr>
            <w:r w:rsidRPr="00E76805">
              <w:rPr>
                <w:b/>
              </w:rPr>
              <w:t>(Severity)</w:t>
            </w:r>
          </w:p>
        </w:tc>
        <w:tc>
          <w:tcPr>
            <w:tcW w:w="7455" w:type="dxa"/>
            <w:shd w:val="clear" w:color="auto" w:fill="E6E6E6"/>
            <w:tcMar>
              <w:top w:w="75" w:type="dxa"/>
              <w:left w:w="75" w:type="dxa"/>
              <w:bottom w:w="75" w:type="dxa"/>
              <w:right w:w="75" w:type="dxa"/>
            </w:tcMar>
            <w:vAlign w:val="center"/>
          </w:tcPr>
          <w:p w:rsidR="00DF0052" w:rsidRPr="00E76805" w:rsidRDefault="00DF0052" w:rsidP="002E2916">
            <w:pPr>
              <w:pStyle w:val="NormalDS"/>
              <w:rPr>
                <w:b/>
              </w:rPr>
            </w:pPr>
            <w:r w:rsidRPr="00E76805">
              <w:rPr>
                <w:b/>
              </w:rPr>
              <w:t xml:space="preserve">Evaluation Criteria </w:t>
            </w:r>
            <w:r w:rsidRPr="00E76805">
              <w:rPr>
                <w:b/>
              </w:rPr>
              <w:br w:type="textWrapping" w:clear="all"/>
            </w:r>
            <w:r w:rsidRPr="00E76805">
              <w:rPr>
                <w:b/>
                <w:i/>
                <w:iCs/>
              </w:rPr>
              <w:t>Exploitation of Vulnerability Leads to:</w:t>
            </w:r>
          </w:p>
        </w:tc>
      </w:tr>
      <w:tr w:rsidR="00DF0052" w:rsidRPr="00856D3B" w:rsidTr="002E2916">
        <w:trPr>
          <w:trHeight w:val="977"/>
        </w:trPr>
        <w:tc>
          <w:tcPr>
            <w:tcW w:w="1350" w:type="dxa"/>
            <w:shd w:val="clear" w:color="auto" w:fill="E6E6E6"/>
            <w:tcMar>
              <w:top w:w="75" w:type="dxa"/>
              <w:left w:w="75" w:type="dxa"/>
              <w:bottom w:w="75" w:type="dxa"/>
              <w:right w:w="75" w:type="dxa"/>
            </w:tcMar>
          </w:tcPr>
          <w:p w:rsidR="00DF0052" w:rsidRPr="00E76805" w:rsidRDefault="00DF0052" w:rsidP="002E2916">
            <w:pPr>
              <w:pStyle w:val="NormalDS"/>
              <w:rPr>
                <w:b/>
                <w:bCs/>
              </w:rPr>
            </w:pPr>
            <w:r w:rsidRPr="00E76805">
              <w:rPr>
                <w:b/>
                <w:bCs/>
              </w:rPr>
              <w:t>Critical</w:t>
            </w:r>
          </w:p>
          <w:p w:rsidR="00DF0052" w:rsidRPr="00E76805" w:rsidRDefault="00DF0052" w:rsidP="002E2916">
            <w:pPr>
              <w:pStyle w:val="NormalDS"/>
              <w:rPr>
                <w:b/>
              </w:rPr>
            </w:pPr>
            <w:r w:rsidRPr="00E76805">
              <w:rPr>
                <w:b/>
                <w:bCs/>
              </w:rPr>
              <w:t>(5)</w:t>
            </w:r>
          </w:p>
        </w:tc>
        <w:tc>
          <w:tcPr>
            <w:tcW w:w="7455" w:type="dxa"/>
            <w:tcMar>
              <w:top w:w="75" w:type="dxa"/>
              <w:left w:w="75" w:type="dxa"/>
              <w:bottom w:w="75" w:type="dxa"/>
              <w:right w:w="75" w:type="dxa"/>
            </w:tcMar>
          </w:tcPr>
          <w:p w:rsidR="00DF0052" w:rsidRPr="00294F0C" w:rsidRDefault="00DF0052" w:rsidP="002E2916">
            <w:pPr>
              <w:pStyle w:val="NormalDS"/>
            </w:pPr>
            <w:r>
              <w:t>I</w:t>
            </w:r>
            <w:r w:rsidRPr="00294F0C">
              <w:t xml:space="preserve">mmediate threat of integrity or confidentiality of customer data via the public Internet </w:t>
            </w:r>
          </w:p>
          <w:p w:rsidR="00DF0052" w:rsidRPr="00294F0C" w:rsidRDefault="00DF0052" w:rsidP="002E2916">
            <w:pPr>
              <w:pStyle w:val="NormalDS"/>
            </w:pPr>
            <w:r>
              <w:t>W</w:t>
            </w:r>
            <w:r w:rsidRPr="00294F0C">
              <w:t xml:space="preserve">idespread virus or worm propagation through the </w:t>
            </w:r>
            <w:r>
              <w:t>Alight</w:t>
            </w:r>
            <w:r w:rsidRPr="00294F0C">
              <w:t xml:space="preserve"> private network </w:t>
            </w:r>
          </w:p>
        </w:tc>
      </w:tr>
      <w:tr w:rsidR="00DF0052" w:rsidRPr="00856D3B" w:rsidTr="002E2916">
        <w:tc>
          <w:tcPr>
            <w:tcW w:w="1350" w:type="dxa"/>
            <w:shd w:val="clear" w:color="auto" w:fill="E6E6E6"/>
            <w:tcMar>
              <w:top w:w="75" w:type="dxa"/>
              <w:left w:w="75" w:type="dxa"/>
              <w:bottom w:w="75" w:type="dxa"/>
              <w:right w:w="75" w:type="dxa"/>
            </w:tcMar>
          </w:tcPr>
          <w:p w:rsidR="00DF0052" w:rsidRPr="00E76805" w:rsidRDefault="00DF0052" w:rsidP="002E2916">
            <w:pPr>
              <w:pStyle w:val="NormalDS"/>
              <w:rPr>
                <w:b/>
              </w:rPr>
            </w:pPr>
            <w:r w:rsidRPr="00E76805">
              <w:rPr>
                <w:b/>
                <w:bCs/>
              </w:rPr>
              <w:t>Urgent</w:t>
            </w:r>
          </w:p>
          <w:p w:rsidR="00DF0052" w:rsidRPr="00E76805" w:rsidRDefault="00DF0052" w:rsidP="002E2916">
            <w:pPr>
              <w:pStyle w:val="NormalDS"/>
              <w:rPr>
                <w:b/>
              </w:rPr>
            </w:pPr>
            <w:r w:rsidRPr="00E76805">
              <w:rPr>
                <w:b/>
              </w:rPr>
              <w:t>(4)</w:t>
            </w:r>
          </w:p>
        </w:tc>
        <w:tc>
          <w:tcPr>
            <w:tcW w:w="7455" w:type="dxa"/>
            <w:tcMar>
              <w:top w:w="75" w:type="dxa"/>
              <w:left w:w="75" w:type="dxa"/>
              <w:bottom w:w="75" w:type="dxa"/>
              <w:right w:w="75" w:type="dxa"/>
            </w:tcMar>
          </w:tcPr>
          <w:p w:rsidR="00DF0052" w:rsidRPr="00294F0C" w:rsidRDefault="00DF0052" w:rsidP="002E2916">
            <w:pPr>
              <w:pStyle w:val="NormalDS"/>
            </w:pPr>
            <w:r>
              <w:t>P</w:t>
            </w:r>
            <w:r w:rsidRPr="00294F0C">
              <w:t>otential threat to integrity or confidentiality of customer data via the public Internet</w:t>
            </w:r>
          </w:p>
          <w:p w:rsidR="00DF0052" w:rsidRPr="00294F0C" w:rsidRDefault="00DF0052" w:rsidP="002E2916">
            <w:pPr>
              <w:pStyle w:val="NormalDS"/>
            </w:pPr>
            <w:r>
              <w:t>P</w:t>
            </w:r>
            <w:r w:rsidRPr="00294F0C">
              <w:t>otential threat to availability of customer-facing systems</w:t>
            </w:r>
          </w:p>
          <w:p w:rsidR="00DF0052" w:rsidRPr="00294F0C" w:rsidRDefault="00DF0052" w:rsidP="002E2916">
            <w:pPr>
              <w:pStyle w:val="NormalDS"/>
            </w:pPr>
            <w:r>
              <w:t>I</w:t>
            </w:r>
            <w:r w:rsidRPr="00294F0C">
              <w:t>mmediate threat to integrity or confidentiality of internal or customer data via internal corporate network</w:t>
            </w:r>
          </w:p>
          <w:p w:rsidR="00DF0052" w:rsidRPr="00294F0C" w:rsidRDefault="00DF0052" w:rsidP="002E2916">
            <w:pPr>
              <w:pStyle w:val="NormalDS"/>
            </w:pPr>
            <w:r>
              <w:t>I</w:t>
            </w:r>
            <w:r w:rsidRPr="00294F0C">
              <w:t xml:space="preserve">mmediate threat to integrity or confidentiality of internal or customer data via private </w:t>
            </w:r>
            <w:r>
              <w:t>third</w:t>
            </w:r>
            <w:r w:rsidRPr="00294F0C">
              <w:t xml:space="preserve"> party links </w:t>
            </w:r>
          </w:p>
        </w:tc>
      </w:tr>
      <w:tr w:rsidR="00DF0052" w:rsidRPr="00856D3B" w:rsidTr="002E2916">
        <w:tc>
          <w:tcPr>
            <w:tcW w:w="1350" w:type="dxa"/>
            <w:shd w:val="clear" w:color="auto" w:fill="E6E6E6"/>
            <w:tcMar>
              <w:top w:w="75" w:type="dxa"/>
              <w:left w:w="75" w:type="dxa"/>
              <w:bottom w:w="75" w:type="dxa"/>
              <w:right w:w="75" w:type="dxa"/>
            </w:tcMar>
          </w:tcPr>
          <w:p w:rsidR="00DF0052" w:rsidRPr="00E76805" w:rsidRDefault="00DF0052" w:rsidP="002E2916">
            <w:pPr>
              <w:pStyle w:val="NormalDS"/>
              <w:rPr>
                <w:b/>
                <w:bCs/>
              </w:rPr>
            </w:pPr>
            <w:r w:rsidRPr="00E76805">
              <w:rPr>
                <w:b/>
                <w:bCs/>
              </w:rPr>
              <w:t>High</w:t>
            </w:r>
          </w:p>
          <w:p w:rsidR="00DF0052" w:rsidRPr="00E76805" w:rsidRDefault="00DF0052" w:rsidP="002E2916">
            <w:pPr>
              <w:pStyle w:val="NormalDS"/>
              <w:rPr>
                <w:b/>
              </w:rPr>
            </w:pPr>
            <w:r w:rsidRPr="00E76805">
              <w:rPr>
                <w:b/>
                <w:bCs/>
              </w:rPr>
              <w:t>(3)</w:t>
            </w:r>
          </w:p>
        </w:tc>
        <w:tc>
          <w:tcPr>
            <w:tcW w:w="7455" w:type="dxa"/>
            <w:tcMar>
              <w:top w:w="75" w:type="dxa"/>
              <w:left w:w="75" w:type="dxa"/>
              <w:bottom w:w="75" w:type="dxa"/>
              <w:right w:w="75" w:type="dxa"/>
            </w:tcMar>
          </w:tcPr>
          <w:p w:rsidR="00DF0052" w:rsidRPr="00294F0C" w:rsidRDefault="00DF0052" w:rsidP="002E2916">
            <w:pPr>
              <w:pStyle w:val="NormalDS"/>
            </w:pPr>
            <w:r>
              <w:t>P</w:t>
            </w:r>
            <w:r w:rsidRPr="00294F0C">
              <w:t>otential threat to integrity or confidentiality of sensitive internal or customer data via internal corporate network</w:t>
            </w:r>
          </w:p>
          <w:p w:rsidR="00DF0052" w:rsidRPr="00294F0C" w:rsidRDefault="00DF0052" w:rsidP="002E2916">
            <w:pPr>
              <w:pStyle w:val="NormalDS"/>
            </w:pPr>
            <w:r>
              <w:t>P</w:t>
            </w:r>
            <w:r w:rsidRPr="00294F0C">
              <w:t xml:space="preserve">otential threat to integrity or confidentiality of sensitive internal or customer data via </w:t>
            </w:r>
            <w:r>
              <w:t>third</w:t>
            </w:r>
            <w:r w:rsidRPr="00294F0C">
              <w:t xml:space="preserve"> party links </w:t>
            </w:r>
          </w:p>
          <w:p w:rsidR="00DF0052" w:rsidRPr="00294F0C" w:rsidRDefault="00DF0052" w:rsidP="002E2916">
            <w:pPr>
              <w:pStyle w:val="NormalDS"/>
            </w:pPr>
            <w:r>
              <w:t>I</w:t>
            </w:r>
            <w:r w:rsidRPr="00294F0C">
              <w:t xml:space="preserve">mmediate threat to availability of internal systems </w:t>
            </w:r>
          </w:p>
          <w:p w:rsidR="00DF0052" w:rsidRPr="00294F0C" w:rsidRDefault="00DF0052" w:rsidP="002E2916">
            <w:pPr>
              <w:pStyle w:val="NormalDS"/>
            </w:pPr>
            <w:r>
              <w:t>P</w:t>
            </w:r>
            <w:r w:rsidRPr="00294F0C">
              <w:t xml:space="preserve">otential threat to integrity or confidentiality of sensitive internal or customer data by authenticated internal user on the vulnerable device </w:t>
            </w:r>
          </w:p>
        </w:tc>
      </w:tr>
      <w:tr w:rsidR="00DF0052" w:rsidRPr="00856D3B" w:rsidTr="002E2916">
        <w:tc>
          <w:tcPr>
            <w:tcW w:w="1350" w:type="dxa"/>
            <w:shd w:val="clear" w:color="auto" w:fill="E6E6E6"/>
            <w:tcMar>
              <w:top w:w="75" w:type="dxa"/>
              <w:left w:w="75" w:type="dxa"/>
              <w:bottom w:w="75" w:type="dxa"/>
              <w:right w:w="75" w:type="dxa"/>
            </w:tcMar>
          </w:tcPr>
          <w:p w:rsidR="00DF0052" w:rsidRPr="00E76805" w:rsidRDefault="00DF0052" w:rsidP="002E2916">
            <w:pPr>
              <w:pStyle w:val="NormalDS"/>
              <w:rPr>
                <w:b/>
                <w:bCs/>
              </w:rPr>
            </w:pPr>
            <w:r w:rsidRPr="00E76805">
              <w:rPr>
                <w:b/>
                <w:bCs/>
              </w:rPr>
              <w:t>Medium</w:t>
            </w:r>
          </w:p>
          <w:p w:rsidR="00DF0052" w:rsidRPr="00E76805" w:rsidRDefault="00DF0052" w:rsidP="002E2916">
            <w:pPr>
              <w:pStyle w:val="NormalDS"/>
              <w:rPr>
                <w:b/>
              </w:rPr>
            </w:pPr>
            <w:r w:rsidRPr="00E76805">
              <w:rPr>
                <w:b/>
                <w:bCs/>
              </w:rPr>
              <w:t>(2)</w:t>
            </w:r>
          </w:p>
        </w:tc>
        <w:tc>
          <w:tcPr>
            <w:tcW w:w="7455" w:type="dxa"/>
            <w:tcMar>
              <w:top w:w="75" w:type="dxa"/>
              <w:left w:w="75" w:type="dxa"/>
              <w:bottom w:w="75" w:type="dxa"/>
              <w:right w:w="75" w:type="dxa"/>
            </w:tcMar>
          </w:tcPr>
          <w:p w:rsidR="00DF0052" w:rsidRPr="00294F0C" w:rsidRDefault="00DF0052" w:rsidP="002E2916">
            <w:pPr>
              <w:pStyle w:val="NormalDS"/>
            </w:pPr>
            <w:r>
              <w:t>P</w:t>
            </w:r>
            <w:r w:rsidRPr="00294F0C">
              <w:t>otential threat to integrity or confidentiality of non-sensitiv</w:t>
            </w:r>
            <w:r>
              <w:t>e customer or internal data</w:t>
            </w:r>
          </w:p>
          <w:p w:rsidR="00DF0052" w:rsidRPr="00294F0C" w:rsidRDefault="00DF0052" w:rsidP="002E2916">
            <w:pPr>
              <w:pStyle w:val="NormalDS"/>
            </w:pPr>
            <w:r>
              <w:t>P</w:t>
            </w:r>
            <w:r w:rsidRPr="00294F0C">
              <w:t xml:space="preserve">otential threat to integrity or confidentiality of non-sensitive customer or internal data via private </w:t>
            </w:r>
            <w:r>
              <w:t>third</w:t>
            </w:r>
            <w:r w:rsidRPr="00294F0C">
              <w:t xml:space="preserve"> </w:t>
            </w:r>
            <w:r>
              <w:t>party links</w:t>
            </w:r>
          </w:p>
          <w:p w:rsidR="00DF0052" w:rsidRPr="00294F0C" w:rsidRDefault="00DF0052" w:rsidP="002E2916">
            <w:pPr>
              <w:pStyle w:val="NormalDS"/>
            </w:pPr>
            <w:r>
              <w:t>P</w:t>
            </w:r>
            <w:r w:rsidRPr="00294F0C">
              <w:t xml:space="preserve">otential threat to availability of internal systems </w:t>
            </w:r>
          </w:p>
        </w:tc>
      </w:tr>
      <w:tr w:rsidR="00DF0052" w:rsidRPr="00856D3B" w:rsidTr="002E2916">
        <w:tc>
          <w:tcPr>
            <w:tcW w:w="1350" w:type="dxa"/>
            <w:shd w:val="clear" w:color="auto" w:fill="E6E6E6"/>
            <w:tcMar>
              <w:top w:w="75" w:type="dxa"/>
              <w:left w:w="75" w:type="dxa"/>
              <w:bottom w:w="75" w:type="dxa"/>
              <w:right w:w="75" w:type="dxa"/>
            </w:tcMar>
          </w:tcPr>
          <w:p w:rsidR="00DF0052" w:rsidRPr="00E76805" w:rsidRDefault="00DF0052" w:rsidP="002E2916">
            <w:pPr>
              <w:pStyle w:val="NormalDS"/>
              <w:rPr>
                <w:b/>
                <w:bCs/>
              </w:rPr>
            </w:pPr>
            <w:r w:rsidRPr="00E76805">
              <w:rPr>
                <w:b/>
                <w:bCs/>
              </w:rPr>
              <w:t>Low</w:t>
            </w:r>
          </w:p>
          <w:p w:rsidR="00DF0052" w:rsidRPr="00E76805" w:rsidRDefault="00DF0052" w:rsidP="002E2916">
            <w:pPr>
              <w:pStyle w:val="NormalDS"/>
              <w:rPr>
                <w:b/>
              </w:rPr>
            </w:pPr>
            <w:r w:rsidRPr="00E76805">
              <w:rPr>
                <w:b/>
                <w:bCs/>
              </w:rPr>
              <w:t>(1)</w:t>
            </w:r>
          </w:p>
        </w:tc>
        <w:tc>
          <w:tcPr>
            <w:tcW w:w="7455" w:type="dxa"/>
            <w:tcMar>
              <w:top w:w="75" w:type="dxa"/>
              <w:left w:w="75" w:type="dxa"/>
              <w:bottom w:w="75" w:type="dxa"/>
              <w:right w:w="75" w:type="dxa"/>
            </w:tcMar>
          </w:tcPr>
          <w:p w:rsidR="00DF0052" w:rsidRPr="00294F0C" w:rsidRDefault="00DF0052" w:rsidP="002E2916">
            <w:pPr>
              <w:pStyle w:val="NormalDS"/>
            </w:pPr>
            <w:r>
              <w:t>P</w:t>
            </w:r>
            <w:r w:rsidRPr="00294F0C">
              <w:t xml:space="preserve">otential threat to integrity or confidentiality of non-sensitive material on </w:t>
            </w:r>
            <w:r>
              <w:t xml:space="preserve">a </w:t>
            </w:r>
            <w:r w:rsidRPr="00294F0C">
              <w:t xml:space="preserve">small number of internal or external facing systems </w:t>
            </w:r>
          </w:p>
        </w:tc>
      </w:tr>
      <w:bookmarkEnd w:id="18"/>
      <w:bookmarkEnd w:id="29"/>
    </w:tbl>
    <w:p w:rsidR="00DF0052" w:rsidRPr="009B7E7F" w:rsidRDefault="00DF0052" w:rsidP="00DF0052">
      <w:pPr>
        <w:pStyle w:val="NormalDS"/>
        <w:rPr>
          <w:lang w:bidi="he-IL"/>
        </w:rPr>
      </w:pPr>
    </w:p>
    <w:p w:rsidR="00DF0052" w:rsidRDefault="00DF0052" w:rsidP="00DF0052">
      <w:pPr>
        <w:pStyle w:val="Heading2"/>
      </w:pPr>
      <w:r>
        <w:lastRenderedPageBreak/>
        <w:t xml:space="preserve">References and </w:t>
      </w:r>
      <w:r w:rsidRPr="003C0DCB">
        <w:t>Mandates</w:t>
      </w:r>
      <w:bookmarkStart w:id="30" w:name="_Appendix_I"/>
      <w:bookmarkStart w:id="31" w:name="_Appendix_I_"/>
      <w:bookmarkStart w:id="32" w:name="_Toc304735593"/>
      <w:bookmarkEnd w:id="19"/>
      <w:bookmarkEnd w:id="20"/>
      <w:bookmarkEnd w:id="21"/>
      <w:bookmarkEnd w:id="22"/>
      <w:bookmarkEnd w:id="30"/>
      <w:bookmarkEnd w:id="31"/>
    </w:p>
    <w:p w:rsidR="00DF0052" w:rsidRPr="000134A9" w:rsidRDefault="00DF0052" w:rsidP="00DF0052">
      <w:pPr>
        <w:pStyle w:val="NormalDS"/>
        <w:numPr>
          <w:ilvl w:val="0"/>
          <w:numId w:val="14"/>
        </w:numPr>
      </w:pPr>
      <w:bookmarkStart w:id="33" w:name="_Appendix_I_1"/>
      <w:bookmarkEnd w:id="33"/>
      <w:r>
        <w:t>INFOSEC 202.01 Infrastructure Security Standard</w:t>
      </w:r>
    </w:p>
    <w:p w:rsidR="00DF0052" w:rsidRPr="00EE255B" w:rsidRDefault="00DF0052" w:rsidP="00DF0052">
      <w:pPr>
        <w:pStyle w:val="Heading2"/>
      </w:pPr>
      <w:r w:rsidRPr="007E6914">
        <w:t>Legal Conflicts</w:t>
      </w:r>
      <w:r w:rsidRPr="00EE255B">
        <w:t xml:space="preserve"> </w:t>
      </w:r>
    </w:p>
    <w:p w:rsidR="00DF0052" w:rsidRPr="001325AE" w:rsidRDefault="00DF0052" w:rsidP="00DF0052">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DF0052" w:rsidRDefault="00DF0052" w:rsidP="00DF0052">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DF0052" w:rsidRDefault="00DF0052" w:rsidP="00DF0052">
      <w:r>
        <w:br w:type="page"/>
      </w:r>
    </w:p>
    <w:p w:rsidR="00DF0052" w:rsidRPr="002311A6" w:rsidRDefault="00DF0052" w:rsidP="00DF0052">
      <w:pPr>
        <w:pStyle w:val="Heading1"/>
      </w:pPr>
      <w:bookmarkStart w:id="34" w:name="_Toc306014656"/>
      <w:bookmarkEnd w:id="32"/>
      <w:r w:rsidRPr="002311A6">
        <w:lastRenderedPageBreak/>
        <w:t>Document Control Information</w:t>
      </w:r>
      <w:bookmarkEnd w:id="34"/>
    </w:p>
    <w:p w:rsidR="00DF0052" w:rsidRPr="00274338" w:rsidRDefault="00DF0052" w:rsidP="00DF0052">
      <w:pPr>
        <w:pStyle w:val="TableTitle"/>
      </w:pPr>
      <w:bookmarkStart w:id="35" w:name="_Toc528945611"/>
      <w:bookmarkStart w:id="36" w:name="_Toc529855774"/>
      <w:bookmarkStart w:id="37" w:name="_Toc529856551"/>
      <w:bookmarkStart w:id="38" w:name="_Toc531756491"/>
      <w:bookmarkStart w:id="39" w:name="_Toc1631615"/>
      <w:bookmarkStart w:id="40" w:name="_Toc133747320"/>
      <w:bookmarkStart w:id="41" w:name="_Toc158457851"/>
      <w:bookmarkStart w:id="42" w:name="_Toc158805969"/>
      <w:bookmarkStart w:id="43" w:name="_Toc289842769"/>
      <w:bookmarkStart w:id="44"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DF0052" w:rsidRPr="00274338" w:rsidTr="002E2916">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DF0052" w:rsidRDefault="00DF0052" w:rsidP="002E2916">
            <w:pPr>
              <w:pStyle w:val="Bullet4Table"/>
              <w:numPr>
                <w:ilvl w:val="0"/>
                <w:numId w:val="0"/>
              </w:numPr>
            </w:pPr>
            <w:r w:rsidRPr="004A0F67">
              <w:t>20</w:t>
            </w:r>
            <w:r>
              <w:t>3</w:t>
            </w:r>
            <w:r w:rsidRPr="004A0F67">
              <w:t xml:space="preserve">.01 </w:t>
            </w:r>
            <w:r>
              <w:t>Application Security</w:t>
            </w:r>
            <w:r w:rsidRPr="004A0F67">
              <w:t xml:space="preserve"> Standard</w:t>
            </w:r>
          </w:p>
        </w:tc>
      </w:tr>
      <w:tr w:rsidR="00DF0052" w:rsidRPr="00274338" w:rsidTr="002E291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Alight</w:t>
            </w:r>
            <w:r w:rsidRPr="009B6065">
              <w:t xml:space="preserve"> Global Security Services | </w:t>
            </w:r>
            <w:hyperlink r:id="rId9" w:history="1">
              <w:r w:rsidRPr="009B6065">
                <w:rPr>
                  <w:rStyle w:val="Hyperlink"/>
                  <w:color w:val="auto"/>
                  <w:u w:val="none"/>
                </w:rPr>
                <w:t>global.security.services@aon.com</w:t>
              </w:r>
            </w:hyperlink>
          </w:p>
        </w:tc>
      </w:tr>
      <w:tr w:rsidR="00DF0052" w:rsidRPr="00274338" w:rsidTr="002E291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F0052" w:rsidRPr="00274338" w:rsidRDefault="00DF0052" w:rsidP="002E2916">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F0052" w:rsidRPr="00274338" w:rsidRDefault="00DF0052" w:rsidP="002E2916">
            <w:pPr>
              <w:pStyle w:val="TableCopy"/>
            </w:pPr>
            <w:r>
              <w:t>1.6</w:t>
            </w:r>
          </w:p>
        </w:tc>
      </w:tr>
      <w:tr w:rsidR="00DF0052" w:rsidRPr="00274338" w:rsidTr="002E291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F0052" w:rsidRPr="00274338" w:rsidRDefault="00DF0052" w:rsidP="002E2916">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F0052" w:rsidRPr="00274338" w:rsidRDefault="00DF0052" w:rsidP="002E2916">
            <w:pPr>
              <w:pStyle w:val="TableCopy"/>
            </w:pPr>
            <w:r>
              <w:t>Alight</w:t>
            </w:r>
            <w:r w:rsidRPr="009B6065">
              <w:t xml:space="preserve"> Global Security Services | Information Security</w:t>
            </w:r>
          </w:p>
        </w:tc>
      </w:tr>
      <w:tr w:rsidR="00DF0052" w:rsidRPr="00274338" w:rsidTr="002E291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F0052" w:rsidRPr="00274338" w:rsidRDefault="00DF0052" w:rsidP="002E2916">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F0052" w:rsidRPr="00274338" w:rsidRDefault="00DF0052" w:rsidP="002E2916">
            <w:pPr>
              <w:pStyle w:val="TableCopy"/>
            </w:pPr>
            <w:r>
              <w:t>Alight</w:t>
            </w:r>
            <w:r w:rsidRPr="009B6065">
              <w:t xml:space="preserve"> Global Security Services | Information Security</w:t>
            </w:r>
          </w:p>
        </w:tc>
      </w:tr>
      <w:tr w:rsidR="00DF0052" w:rsidRPr="00274338" w:rsidTr="002E291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Jim Hartley</w:t>
            </w:r>
            <w:r w:rsidRPr="009B6065">
              <w:t xml:space="preserve">, Chief </w:t>
            </w:r>
            <w:r>
              <w:t xml:space="preserve">Information </w:t>
            </w:r>
            <w:r w:rsidRPr="009B6065">
              <w:t>Security Officer</w:t>
            </w:r>
          </w:p>
        </w:tc>
      </w:tr>
      <w:tr w:rsidR="00DF0052" w:rsidRPr="00274338" w:rsidTr="002E291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May 1, 2017</w:t>
            </w:r>
          </w:p>
        </w:tc>
      </w:tr>
      <w:tr w:rsidR="00DF0052" w:rsidRPr="00274338" w:rsidTr="002E291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May 1, 2017</w:t>
            </w:r>
          </w:p>
        </w:tc>
      </w:tr>
      <w:tr w:rsidR="00DF0052" w:rsidRPr="00274338" w:rsidTr="002E291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May 2, 2011</w:t>
            </w:r>
          </w:p>
        </w:tc>
      </w:tr>
      <w:tr w:rsidR="00DF0052" w:rsidRPr="00274338" w:rsidTr="002E2916">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F0052" w:rsidRDefault="00DF0052" w:rsidP="002E2916">
            <w:pPr>
              <w:pStyle w:val="TableCopy"/>
            </w:pPr>
            <w:r w:rsidRPr="009B6065">
              <w:t>General Internal – Low Business Impact (Green)</w:t>
            </w:r>
          </w:p>
        </w:tc>
      </w:tr>
    </w:tbl>
    <w:p w:rsidR="00DF0052" w:rsidRPr="002311A6" w:rsidRDefault="00DF0052" w:rsidP="00DF0052">
      <w:pPr>
        <w:pStyle w:val="Heading1"/>
      </w:pPr>
      <w:r w:rsidRPr="002311A6">
        <w:lastRenderedPageBreak/>
        <w:t>Revision</w:t>
      </w:r>
      <w:bookmarkEnd w:id="35"/>
      <w:bookmarkEnd w:id="36"/>
      <w:bookmarkEnd w:id="37"/>
      <w:bookmarkEnd w:id="38"/>
      <w:r w:rsidRPr="002311A6">
        <w:t xml:space="preserve"> History</w:t>
      </w:r>
      <w:bookmarkEnd w:id="39"/>
      <w:bookmarkEnd w:id="40"/>
      <w:bookmarkEnd w:id="41"/>
      <w:bookmarkEnd w:id="42"/>
      <w:bookmarkEnd w:id="43"/>
      <w:bookmarkEnd w:id="44"/>
    </w:p>
    <w:p w:rsidR="00DF0052" w:rsidRPr="00274338" w:rsidRDefault="00DF0052" w:rsidP="00DF0052">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DF0052" w:rsidRPr="00274338" w:rsidTr="002E2916">
        <w:trPr>
          <w:cantSplit/>
        </w:trPr>
        <w:tc>
          <w:tcPr>
            <w:tcW w:w="1646" w:type="dxa"/>
            <w:tcBorders>
              <w:top w:val="nil"/>
              <w:bottom w:val="single" w:sz="12" w:space="0" w:color="808080" w:themeColor="background1" w:themeShade="80"/>
            </w:tcBorders>
            <w:shd w:val="clear" w:color="auto" w:fill="auto"/>
            <w:vAlign w:val="bottom"/>
          </w:tcPr>
          <w:p w:rsidR="00DF0052" w:rsidRPr="00274338" w:rsidRDefault="00DF0052" w:rsidP="002E2916">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DF0052" w:rsidRPr="00274338" w:rsidRDefault="00DF0052" w:rsidP="002E2916">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DF0052" w:rsidRPr="00274338" w:rsidRDefault="00DF0052" w:rsidP="002E2916">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DF0052" w:rsidRDefault="00DF0052" w:rsidP="002E2916">
            <w:pPr>
              <w:pStyle w:val="TableColumnHead"/>
            </w:pPr>
            <w:r>
              <w:t>Change Summary</w:t>
            </w:r>
          </w:p>
        </w:tc>
      </w:tr>
      <w:tr w:rsidR="00DF0052" w:rsidRPr="00274338" w:rsidTr="002E2916">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DF0052" w:rsidRPr="005B5F4B" w:rsidRDefault="00DF0052" w:rsidP="002E2916">
            <w:pPr>
              <w:pStyle w:val="NormalDS"/>
              <w:rPr>
                <w:sz w:val="18"/>
              </w:rPr>
            </w:pPr>
            <w:r w:rsidRPr="005B5F4B">
              <w:rPr>
                <w:sz w:val="18"/>
              </w:rPr>
              <w:t>Restructured due to Aon Hewitt merger</w:t>
            </w:r>
          </w:p>
        </w:tc>
      </w:tr>
      <w:tr w:rsidR="00DF0052" w:rsidRPr="00274338" w:rsidTr="002E291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NormalDS"/>
              <w:rPr>
                <w:sz w:val="18"/>
                <w:szCs w:val="18"/>
              </w:rPr>
            </w:pPr>
            <w:r>
              <w:rPr>
                <w:sz w:val="18"/>
                <w:szCs w:val="18"/>
              </w:rPr>
              <w:t>2012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Pr>
                <w:sz w:val="18"/>
                <w:szCs w:val="18"/>
              </w:rPr>
              <w:t>Update</w:t>
            </w:r>
          </w:p>
        </w:tc>
        <w:tc>
          <w:tcPr>
            <w:tcW w:w="4499" w:type="dxa"/>
            <w:tcBorders>
              <w:top w:val="single" w:sz="4" w:space="0" w:color="808080" w:themeColor="background1" w:themeShade="80"/>
              <w:bottom w:val="single" w:sz="4" w:space="0" w:color="808080" w:themeColor="background1" w:themeShade="80"/>
            </w:tcBorders>
          </w:tcPr>
          <w:p w:rsidR="00DF0052" w:rsidRPr="005B5F4B" w:rsidRDefault="00DF0052" w:rsidP="002E2916">
            <w:pPr>
              <w:pStyle w:val="NormalDS"/>
              <w:rPr>
                <w:rFonts w:asciiTheme="minorHAnsi" w:hAnsiTheme="minorHAnsi" w:cs="Arial"/>
                <w:color w:val="000000"/>
                <w:sz w:val="18"/>
                <w:szCs w:val="18"/>
              </w:rPr>
            </w:pPr>
            <w:r>
              <w:rPr>
                <w:rFonts w:asciiTheme="minorHAnsi" w:hAnsiTheme="minorHAnsi" w:cs="Arial"/>
                <w:color w:val="000000"/>
                <w:sz w:val="18"/>
                <w:szCs w:val="18"/>
              </w:rPr>
              <w:t>Updated Section 2.5; added 2.6</w:t>
            </w:r>
          </w:p>
        </w:tc>
      </w:tr>
      <w:tr w:rsidR="00DF0052" w:rsidRPr="00274338" w:rsidTr="002E291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DF0052" w:rsidRPr="005B5F4B" w:rsidRDefault="00DF0052" w:rsidP="002E2916">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DF0052" w:rsidRPr="00274338" w:rsidTr="002E291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DF0052" w:rsidRPr="005B5F4B" w:rsidRDefault="00DF0052" w:rsidP="002E2916">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DF0052" w:rsidRPr="00274338" w:rsidTr="002E291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DF0052" w:rsidRPr="005B5F4B" w:rsidRDefault="00DF0052" w:rsidP="002E2916">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 xml:space="preserve">Reviewed and validated </w:t>
            </w:r>
            <w:r>
              <w:rPr>
                <w:rFonts w:asciiTheme="minorHAnsi" w:hAnsiTheme="minorHAnsi" w:cs="Arial"/>
                <w:color w:val="000000"/>
                <w:sz w:val="18"/>
                <w:szCs w:val="18"/>
              </w:rPr>
              <w:t>– added Legal Conflicts section</w:t>
            </w:r>
          </w:p>
        </w:tc>
      </w:tr>
      <w:tr w:rsidR="00DF0052" w:rsidRPr="00274338" w:rsidTr="002E291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NormalDS"/>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DF0052" w:rsidRPr="005B5F4B" w:rsidRDefault="00DF0052" w:rsidP="002E2916">
            <w:pPr>
              <w:pStyle w:val="NormalDS"/>
              <w:rPr>
                <w:rFonts w:asciiTheme="minorHAnsi" w:hAnsiTheme="minorHAnsi" w:cs="Arial"/>
                <w:color w:val="000000"/>
                <w:sz w:val="18"/>
                <w:szCs w:val="18"/>
              </w:rPr>
            </w:pPr>
            <w:r>
              <w:rPr>
                <w:rFonts w:asciiTheme="minorHAnsi" w:hAnsiTheme="minorHAnsi" w:cs="Arial"/>
                <w:color w:val="000000"/>
                <w:sz w:val="18"/>
                <w:szCs w:val="18"/>
              </w:rPr>
              <w:t>Reviewed and validated – modified Training &amp; Awareness section and added a condition for periodic assessment</w:t>
            </w:r>
          </w:p>
        </w:tc>
      </w:tr>
      <w:tr w:rsidR="00DF0052" w:rsidRPr="00274338" w:rsidTr="002E2916">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Pr>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F0052" w:rsidRPr="00890ABF" w:rsidRDefault="00DF0052" w:rsidP="002E2916">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DF0052" w:rsidRPr="005B5F4B" w:rsidRDefault="00DF0052" w:rsidP="002E2916">
            <w:pPr>
              <w:pStyle w:val="NormalDS"/>
              <w:rPr>
                <w:sz w:val="18"/>
              </w:rPr>
            </w:pPr>
            <w:r w:rsidRPr="005B5F4B">
              <w:rPr>
                <w:sz w:val="18"/>
              </w:rPr>
              <w:t>Rebranded policy due to Aon Hewitt divestiture</w:t>
            </w:r>
          </w:p>
        </w:tc>
      </w:tr>
      <w:tr w:rsidR="00DF0052" w:rsidRPr="00274338" w:rsidTr="002E2916">
        <w:trPr>
          <w:cantSplit/>
        </w:trPr>
        <w:tc>
          <w:tcPr>
            <w:tcW w:w="1646" w:type="dxa"/>
            <w:tcBorders>
              <w:top w:val="single" w:sz="4" w:space="0" w:color="808080" w:themeColor="background1" w:themeShade="80"/>
              <w:bottom w:val="nil"/>
            </w:tcBorders>
            <w:shd w:val="clear" w:color="auto" w:fill="auto"/>
          </w:tcPr>
          <w:p w:rsidR="00DF0052" w:rsidRDefault="00DF0052" w:rsidP="002E2916">
            <w:pPr>
              <w:pStyle w:val="TableCopy"/>
            </w:pPr>
          </w:p>
        </w:tc>
        <w:tc>
          <w:tcPr>
            <w:tcW w:w="1441" w:type="dxa"/>
            <w:tcBorders>
              <w:top w:val="single" w:sz="4" w:space="0" w:color="808080" w:themeColor="background1" w:themeShade="80"/>
              <w:bottom w:val="nil"/>
            </w:tcBorders>
            <w:shd w:val="clear" w:color="auto" w:fill="auto"/>
          </w:tcPr>
          <w:p w:rsidR="00DF0052" w:rsidRPr="009B6065" w:rsidRDefault="00DF0052" w:rsidP="002E2916">
            <w:pPr>
              <w:pStyle w:val="NormalDS"/>
            </w:pPr>
          </w:p>
        </w:tc>
        <w:tc>
          <w:tcPr>
            <w:tcW w:w="1979" w:type="dxa"/>
            <w:tcBorders>
              <w:top w:val="single" w:sz="4" w:space="0" w:color="808080" w:themeColor="background1" w:themeShade="80"/>
              <w:bottom w:val="nil"/>
            </w:tcBorders>
            <w:shd w:val="clear" w:color="auto" w:fill="auto"/>
          </w:tcPr>
          <w:p w:rsidR="00DF0052" w:rsidRPr="00274338" w:rsidRDefault="00DF0052" w:rsidP="002E2916">
            <w:pPr>
              <w:pStyle w:val="TableCopy"/>
            </w:pPr>
          </w:p>
        </w:tc>
        <w:tc>
          <w:tcPr>
            <w:tcW w:w="4499" w:type="dxa"/>
            <w:tcBorders>
              <w:top w:val="single" w:sz="4" w:space="0" w:color="808080" w:themeColor="background1" w:themeShade="80"/>
              <w:bottom w:val="nil"/>
            </w:tcBorders>
          </w:tcPr>
          <w:p w:rsidR="00DF0052" w:rsidRPr="00274338" w:rsidRDefault="00DF0052" w:rsidP="002E2916">
            <w:pPr>
              <w:pStyle w:val="TableCopy"/>
            </w:pPr>
          </w:p>
        </w:tc>
      </w:tr>
    </w:tbl>
    <w:p w:rsidR="00DF0052" w:rsidRPr="00274338" w:rsidRDefault="00DF0052" w:rsidP="00DF0052">
      <w:pPr>
        <w:pStyle w:val="Bullet3"/>
        <w:numPr>
          <w:ilvl w:val="0"/>
          <w:numId w:val="0"/>
        </w:numPr>
        <w:ind w:left="1080"/>
      </w:pPr>
    </w:p>
    <w:p w:rsidR="00321778" w:rsidRPr="00DF0052" w:rsidRDefault="00321778" w:rsidP="00DF0052"/>
    <w:sectPr w:rsidR="00321778" w:rsidRPr="00DF0052"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273" w:rsidRDefault="00CD1273" w:rsidP="005B402B">
      <w:r>
        <w:separator/>
      </w:r>
    </w:p>
  </w:endnote>
  <w:endnote w:type="continuationSeparator" w:id="0">
    <w:p w:rsidR="00CD1273" w:rsidRDefault="00CD1273"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854616">
      <w:t xml:space="preserve">203.01 </w:t>
    </w:r>
    <w:r w:rsidR="00DF0052">
      <w:t>Application Security</w:t>
    </w:r>
    <w:r w:rsidR="00623BC3">
      <w:t xml:space="preserve"> Standard</w:t>
    </w:r>
    <w:r>
      <w:tab/>
    </w:r>
    <w:r>
      <w:fldChar w:fldCharType="begin"/>
    </w:r>
    <w:r>
      <w:instrText xml:space="preserve"> PAGE   \* MERGEFORMAT </w:instrText>
    </w:r>
    <w:r>
      <w:fldChar w:fldCharType="separate"/>
    </w:r>
    <w:r w:rsidR="00854616">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273" w:rsidRDefault="00CD1273" w:rsidP="005B402B">
      <w:r>
        <w:separator/>
      </w:r>
    </w:p>
  </w:footnote>
  <w:footnote w:type="continuationSeparator" w:id="0">
    <w:p w:rsidR="00CD1273" w:rsidRDefault="00CD1273"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2"/>
  </w:num>
  <w:num w:numId="11">
    <w:abstractNumId w:val="13"/>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84C05"/>
    <w:rsid w:val="004A6699"/>
    <w:rsid w:val="004C19C5"/>
    <w:rsid w:val="004F6723"/>
    <w:rsid w:val="00572B9B"/>
    <w:rsid w:val="0058699E"/>
    <w:rsid w:val="00596FE5"/>
    <w:rsid w:val="005B402B"/>
    <w:rsid w:val="005D6101"/>
    <w:rsid w:val="00623BC3"/>
    <w:rsid w:val="00631213"/>
    <w:rsid w:val="0064411E"/>
    <w:rsid w:val="00657BDB"/>
    <w:rsid w:val="00666F6C"/>
    <w:rsid w:val="006F2AD3"/>
    <w:rsid w:val="007372A8"/>
    <w:rsid w:val="0074779E"/>
    <w:rsid w:val="007B6C0D"/>
    <w:rsid w:val="00854616"/>
    <w:rsid w:val="008671C4"/>
    <w:rsid w:val="00877C5D"/>
    <w:rsid w:val="008F152A"/>
    <w:rsid w:val="008F740A"/>
    <w:rsid w:val="009349C9"/>
    <w:rsid w:val="00942648"/>
    <w:rsid w:val="009837F6"/>
    <w:rsid w:val="009A1695"/>
    <w:rsid w:val="009A3A28"/>
    <w:rsid w:val="009C15C5"/>
    <w:rsid w:val="009F7CF9"/>
    <w:rsid w:val="00A667E0"/>
    <w:rsid w:val="00A855D2"/>
    <w:rsid w:val="00B33A2C"/>
    <w:rsid w:val="00B606E6"/>
    <w:rsid w:val="00B7028C"/>
    <w:rsid w:val="00B71DB5"/>
    <w:rsid w:val="00C16A23"/>
    <w:rsid w:val="00C57EE1"/>
    <w:rsid w:val="00CD1273"/>
    <w:rsid w:val="00D33649"/>
    <w:rsid w:val="00D563B0"/>
    <w:rsid w:val="00D5712B"/>
    <w:rsid w:val="00D80981"/>
    <w:rsid w:val="00D81842"/>
    <w:rsid w:val="00D94A05"/>
    <w:rsid w:val="00DF0052"/>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RM.Mailbox@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1CEF42-4AAE-4081-9D64-4DF00401A547}">
  <ds:schemaRefs>
    <ds:schemaRef ds:uri="http://schemas.openxmlformats.org/officeDocument/2006/bibliography"/>
  </ds:schemaRefs>
</ds:datastoreItem>
</file>

<file path=customXml/itemProps2.xml><?xml version="1.0" encoding="utf-8"?>
<ds:datastoreItem xmlns:ds="http://schemas.openxmlformats.org/officeDocument/2006/customXml" ds:itemID="{BBE51722-8E05-4883-ABF3-AA39837A746F}"/>
</file>

<file path=customXml/itemProps3.xml><?xml version="1.0" encoding="utf-8"?>
<ds:datastoreItem xmlns:ds="http://schemas.openxmlformats.org/officeDocument/2006/customXml" ds:itemID="{E86CDD36-B5C3-4BB3-A88C-912CF020905B}"/>
</file>

<file path=customXml/itemProps4.xml><?xml version="1.0" encoding="utf-8"?>
<ds:datastoreItem xmlns:ds="http://schemas.openxmlformats.org/officeDocument/2006/customXml" ds:itemID="{064D7701-EAF5-4976-9AC8-A6568515A044}"/>
</file>

<file path=docProps/app.xml><?xml version="1.0" encoding="utf-8"?>
<Properties xmlns="http://schemas.openxmlformats.org/officeDocument/2006/extended-properties" xmlns:vt="http://schemas.openxmlformats.org/officeDocument/2006/docPropsVTypes">
  <Template>Normal.dotm</Template>
  <TotalTime>2</TotalTime>
  <Pages>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2017-07-17T19:58:00Z</dcterms:created>
  <dcterms:modified xsi:type="dcterms:W3CDTF">2017-07-21T14:24:00Z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