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425" w:rsidRDefault="002F4425" w:rsidP="002F4425">
      <w:pPr>
        <w:pStyle w:val="Heading1"/>
      </w:pPr>
      <w:bookmarkStart w:id="0" w:name="_Toc289842747"/>
      <w:bookmarkStart w:id="1" w:name="_Toc301517818"/>
      <w:bookmarkStart w:id="2" w:name="_Toc304735574"/>
      <w:bookmarkStart w:id="3" w:name="_Toc300653622"/>
      <w:r>
        <w:t>Mobile Device Security Policy</w:t>
      </w:r>
      <w:bookmarkStart w:id="4" w:name="_GoBack"/>
      <w:bookmarkEnd w:id="4"/>
    </w:p>
    <w:p w:rsidR="002F4425" w:rsidRPr="001325AE" w:rsidRDefault="002F4425" w:rsidP="002F4425">
      <w:pPr>
        <w:pStyle w:val="Heading2"/>
      </w:pPr>
      <w:bookmarkStart w:id="5" w:name="_Toc304735578"/>
      <w:bookmarkEnd w:id="0"/>
      <w:bookmarkEnd w:id="1"/>
      <w:bookmarkEnd w:id="2"/>
      <w:r w:rsidRPr="001325AE">
        <w:t>Purpose</w:t>
      </w:r>
    </w:p>
    <w:p w:rsidR="002F4425" w:rsidRDefault="002F4425" w:rsidP="002F4425">
      <w:pPr>
        <w:pStyle w:val="NormalDS"/>
      </w:pPr>
      <w:bookmarkStart w:id="6" w:name="_Toc300658435"/>
      <w:bookmarkStart w:id="7" w:name="_Toc304990088"/>
      <w:r w:rsidRPr="0073173E">
        <w:t xml:space="preserve">The </w:t>
      </w:r>
      <w:r>
        <w:t xml:space="preserve">purpose of the global Mobile Device Security Policy </w:t>
      </w:r>
      <w:r w:rsidRPr="0073173E">
        <w:t xml:space="preserve">is to protect the </w:t>
      </w:r>
      <w:r>
        <w:t xml:space="preserve">integrity, </w:t>
      </w:r>
      <w:r w:rsidRPr="0073173E">
        <w:t xml:space="preserve">confidentiality, and availability of data that might reside within </w:t>
      </w:r>
      <w:r>
        <w:t>Alight</w:t>
      </w:r>
      <w:r w:rsidRPr="0073173E">
        <w:t xml:space="preserve">’s </w:t>
      </w:r>
      <w:r>
        <w:t>approved mobile computing platform</w:t>
      </w:r>
      <w:r w:rsidRPr="0073173E">
        <w:t>. This policy intends to prevent business classified data from being deliberately or inadvertently stored in an unsecured manner on a mobile c</w:t>
      </w:r>
      <w:r>
        <w:t xml:space="preserve">omputing </w:t>
      </w:r>
      <w:r w:rsidRPr="0073173E">
        <w:t xml:space="preserve">device as well as sensitive data being transmitted over an </w:t>
      </w:r>
      <w:r>
        <w:t>un</w:t>
      </w:r>
      <w:r w:rsidRPr="0073173E">
        <w:t>secure</w:t>
      </w:r>
      <w:r>
        <w:t>d</w:t>
      </w:r>
      <w:r w:rsidRPr="0073173E">
        <w:t xml:space="preserve"> network. A data breach from a mobile device of any type could result in </w:t>
      </w:r>
      <w:r>
        <w:t xml:space="preserve">the </w:t>
      </w:r>
      <w:r w:rsidRPr="0073173E">
        <w:t xml:space="preserve">loss of business information, damage or exposure to critical applications, loss of corporate revenue, and </w:t>
      </w:r>
      <w:r>
        <w:t xml:space="preserve">impact </w:t>
      </w:r>
      <w:r w:rsidRPr="0073173E">
        <w:t xml:space="preserve">to </w:t>
      </w:r>
      <w:r>
        <w:t>Alight</w:t>
      </w:r>
      <w:r w:rsidRPr="0073173E">
        <w:t xml:space="preserve">’s </w:t>
      </w:r>
      <w:r>
        <w:t xml:space="preserve">brand and </w:t>
      </w:r>
      <w:r w:rsidRPr="0073173E">
        <w:t>public image. Therefore all users utilizing mobile device</w:t>
      </w:r>
      <w:r>
        <w:t>s</w:t>
      </w:r>
      <w:r w:rsidRPr="0073173E">
        <w:t xml:space="preserve"> for business use and w</w:t>
      </w:r>
      <w:r>
        <w:t>h</w:t>
      </w:r>
      <w:r w:rsidRPr="0073173E">
        <w:t xml:space="preserve">ere the mobile device is connected to </w:t>
      </w:r>
      <w:r>
        <w:t>Alight</w:t>
      </w:r>
      <w:r w:rsidRPr="0073173E">
        <w:t xml:space="preserve">’s corporate </w:t>
      </w:r>
      <w:r>
        <w:t xml:space="preserve">or guest </w:t>
      </w:r>
      <w:r w:rsidRPr="0073173E">
        <w:t>network</w:t>
      </w:r>
      <w:r>
        <w:t>s</w:t>
      </w:r>
      <w:r w:rsidRPr="0073173E">
        <w:t xml:space="preserve"> and </w:t>
      </w:r>
      <w:r>
        <w:t xml:space="preserve">other </w:t>
      </w:r>
      <w:r w:rsidRPr="0073173E">
        <w:t xml:space="preserve">related systems must adhere to </w:t>
      </w:r>
      <w:r>
        <w:t>Alight</w:t>
      </w:r>
      <w:r w:rsidRPr="0073173E">
        <w:t>’s published policies and standards.</w:t>
      </w:r>
    </w:p>
    <w:p w:rsidR="002F4425" w:rsidRDefault="002F4425" w:rsidP="002F4425">
      <w:pPr>
        <w:pStyle w:val="NormalDS"/>
      </w:pPr>
      <w:r w:rsidRPr="000D7D3C">
        <w:t xml:space="preserve">Special care must be </w:t>
      </w:r>
      <w:r>
        <w:t>recognized</w:t>
      </w:r>
      <w:r w:rsidRPr="000D7D3C">
        <w:t xml:space="preserve"> when using mobile computing devices for business purposes to ensure that </w:t>
      </w:r>
      <w:r>
        <w:t>Alight</w:t>
      </w:r>
      <w:r w:rsidRPr="000D7D3C">
        <w:t xml:space="preserve"> </w:t>
      </w:r>
      <w:r>
        <w:t xml:space="preserve">business </w:t>
      </w:r>
      <w:r w:rsidRPr="000D7D3C">
        <w:t xml:space="preserve">and client sensitive information is not lost or misused. The global Mobile Device Security Policy </w:t>
      </w:r>
      <w:r>
        <w:t>will</w:t>
      </w:r>
      <w:r w:rsidRPr="000D7D3C">
        <w:rPr>
          <w:rFonts w:cs="Arial"/>
        </w:rPr>
        <w:t xml:space="preserve"> define the minimum Information Security requirements that must be met by all mobile devices and </w:t>
      </w:r>
      <w:r>
        <w:rPr>
          <w:rFonts w:cs="Arial"/>
        </w:rPr>
        <w:t>colleagues</w:t>
      </w:r>
      <w:r w:rsidRPr="000D7D3C">
        <w:rPr>
          <w:rFonts w:cs="Arial"/>
        </w:rPr>
        <w:t xml:space="preserve"> in </w:t>
      </w:r>
      <w:r>
        <w:rPr>
          <w:rFonts w:cs="Arial"/>
        </w:rPr>
        <w:t xml:space="preserve">direct </w:t>
      </w:r>
      <w:r w:rsidRPr="000D7D3C">
        <w:rPr>
          <w:rFonts w:cs="Arial"/>
        </w:rPr>
        <w:t xml:space="preserve">support of </w:t>
      </w:r>
      <w:r>
        <w:rPr>
          <w:rFonts w:cs="Arial"/>
        </w:rPr>
        <w:t>Alight’s</w:t>
      </w:r>
      <w:r w:rsidRPr="000D7D3C">
        <w:rPr>
          <w:rFonts w:cs="Arial"/>
        </w:rPr>
        <w:t xml:space="preserve"> approved mobile computing</w:t>
      </w:r>
      <w:r>
        <w:rPr>
          <w:rFonts w:cs="Arial"/>
        </w:rPr>
        <w:t xml:space="preserve"> platform</w:t>
      </w:r>
      <w:r w:rsidRPr="000D7D3C">
        <w:rPr>
          <w:rFonts w:cs="Arial"/>
        </w:rPr>
        <w:t xml:space="preserve">. These defined requirements must be implemented prior to </w:t>
      </w:r>
      <w:r>
        <w:rPr>
          <w:rFonts w:cs="Arial"/>
        </w:rPr>
        <w:t>a</w:t>
      </w:r>
      <w:r w:rsidRPr="000D7D3C">
        <w:rPr>
          <w:rFonts w:cs="Arial"/>
        </w:rPr>
        <w:t xml:space="preserve"> mobile device being connected to </w:t>
      </w:r>
      <w:r>
        <w:rPr>
          <w:rFonts w:cs="Arial"/>
        </w:rPr>
        <w:t>Alight</w:t>
      </w:r>
      <w:r w:rsidRPr="000D7D3C">
        <w:rPr>
          <w:rFonts w:cs="Arial"/>
        </w:rPr>
        <w:t xml:space="preserve">’s </w:t>
      </w:r>
      <w:r>
        <w:rPr>
          <w:rFonts w:cs="Arial"/>
        </w:rPr>
        <w:t xml:space="preserve">corporate or guest </w:t>
      </w:r>
      <w:r w:rsidRPr="000D7D3C">
        <w:rPr>
          <w:rFonts w:cs="Arial"/>
        </w:rPr>
        <w:t xml:space="preserve">managed networks, </w:t>
      </w:r>
      <w:r>
        <w:rPr>
          <w:rFonts w:cs="Arial"/>
        </w:rPr>
        <w:t xml:space="preserve">the use of Alight </w:t>
      </w:r>
      <w:r w:rsidRPr="000D7D3C">
        <w:rPr>
          <w:rFonts w:cs="Arial"/>
        </w:rPr>
        <w:t>resources and related systems, and in support of client systems</w:t>
      </w:r>
      <w:r>
        <w:rPr>
          <w:rFonts w:cs="Arial"/>
        </w:rPr>
        <w:t xml:space="preserve"> and stored information</w:t>
      </w:r>
      <w:r w:rsidRPr="000D7D3C">
        <w:rPr>
          <w:rFonts w:cs="Arial"/>
        </w:rPr>
        <w:t>.</w:t>
      </w:r>
    </w:p>
    <w:p w:rsidR="002F4425" w:rsidRPr="000D7D3C" w:rsidRDefault="002F4425" w:rsidP="002F4425">
      <w:pPr>
        <w:pStyle w:val="NormalDS"/>
      </w:pPr>
      <w:r w:rsidRPr="000D7D3C">
        <w:t>This policy applies to all mobile devices and accompanying media that meet or relates to the following classifications:</w:t>
      </w:r>
    </w:p>
    <w:p w:rsidR="002F4425" w:rsidRPr="000D7D3C" w:rsidRDefault="002F4425" w:rsidP="002F4425">
      <w:pPr>
        <w:pStyle w:val="NormalDS"/>
        <w:numPr>
          <w:ilvl w:val="0"/>
          <w:numId w:val="15"/>
        </w:numPr>
      </w:pPr>
      <w:r w:rsidRPr="000D7D3C">
        <w:t>Smartphones</w:t>
      </w:r>
    </w:p>
    <w:p w:rsidR="002F4425" w:rsidRPr="000D7D3C" w:rsidRDefault="002F4425" w:rsidP="002F4425">
      <w:pPr>
        <w:pStyle w:val="NormalDS"/>
        <w:numPr>
          <w:ilvl w:val="0"/>
          <w:numId w:val="15"/>
        </w:numPr>
      </w:pPr>
      <w:r w:rsidRPr="000D7D3C">
        <w:t>Other Mobile/Cellular Phones</w:t>
      </w:r>
    </w:p>
    <w:p w:rsidR="002F4425" w:rsidRPr="000D7D3C" w:rsidRDefault="002F4425" w:rsidP="002F4425">
      <w:pPr>
        <w:pStyle w:val="NormalDS"/>
        <w:numPr>
          <w:ilvl w:val="0"/>
          <w:numId w:val="15"/>
        </w:numPr>
      </w:pPr>
      <w:r w:rsidRPr="000D7D3C">
        <w:t>Tablet Computers</w:t>
      </w:r>
    </w:p>
    <w:p w:rsidR="002F4425" w:rsidRPr="000D7D3C" w:rsidRDefault="002F4425" w:rsidP="002F4425">
      <w:pPr>
        <w:pStyle w:val="NormalDS"/>
        <w:numPr>
          <w:ilvl w:val="0"/>
          <w:numId w:val="15"/>
        </w:numPr>
      </w:pPr>
      <w:r w:rsidRPr="000D7D3C">
        <w:t>E-Readers</w:t>
      </w:r>
    </w:p>
    <w:p w:rsidR="002F4425" w:rsidRPr="000D7D3C" w:rsidRDefault="002F4425" w:rsidP="002F4425">
      <w:pPr>
        <w:pStyle w:val="NormalDS"/>
        <w:numPr>
          <w:ilvl w:val="0"/>
          <w:numId w:val="15"/>
        </w:numPr>
      </w:pPr>
      <w:r>
        <w:t>Personal Digital Assistants (</w:t>
      </w:r>
      <w:r w:rsidRPr="000D7D3C">
        <w:t>PDAs</w:t>
      </w:r>
      <w:r>
        <w:t>)</w:t>
      </w:r>
    </w:p>
    <w:p w:rsidR="002F4425" w:rsidRPr="000D7D3C" w:rsidRDefault="002F4425" w:rsidP="002F4425">
      <w:pPr>
        <w:pStyle w:val="NormalDS"/>
        <w:numPr>
          <w:ilvl w:val="0"/>
          <w:numId w:val="15"/>
        </w:numPr>
      </w:pPr>
      <w:r w:rsidRPr="000D7D3C">
        <w:t>Portable Gaming Devices</w:t>
      </w:r>
    </w:p>
    <w:p w:rsidR="002F4425" w:rsidRPr="000D7D3C" w:rsidRDefault="002F4425" w:rsidP="002F4425">
      <w:pPr>
        <w:pStyle w:val="NormalDS"/>
        <w:numPr>
          <w:ilvl w:val="0"/>
          <w:numId w:val="15"/>
        </w:numPr>
      </w:pPr>
      <w:r w:rsidRPr="000D7D3C">
        <w:t>Ultra-Mobile PCs (UMPCs)</w:t>
      </w:r>
    </w:p>
    <w:p w:rsidR="002F4425" w:rsidRPr="000D7D3C" w:rsidRDefault="002F4425" w:rsidP="002F4425">
      <w:pPr>
        <w:pStyle w:val="NormalDS"/>
        <w:numPr>
          <w:ilvl w:val="0"/>
          <w:numId w:val="15"/>
        </w:numPr>
      </w:pPr>
      <w:r w:rsidRPr="000D7D3C">
        <w:t>Mobile devices capable of storing corporate data and connecting to a network</w:t>
      </w:r>
    </w:p>
    <w:p w:rsidR="002F4425" w:rsidRPr="007E6914" w:rsidRDefault="002F4425" w:rsidP="002F4425">
      <w:pPr>
        <w:pStyle w:val="Heading2"/>
      </w:pPr>
      <w:r>
        <w:lastRenderedPageBreak/>
        <w:t>Scop</w:t>
      </w:r>
      <w:r w:rsidRPr="007E6914">
        <w:t>e</w:t>
      </w:r>
      <w:bookmarkEnd w:id="6"/>
      <w:bookmarkEnd w:id="7"/>
    </w:p>
    <w:p w:rsidR="002F4425" w:rsidRDefault="002F4425" w:rsidP="002F4425">
      <w:pPr>
        <w:pStyle w:val="NormalDS"/>
      </w:pPr>
      <w:r w:rsidRPr="00EB36BD">
        <w:t xml:space="preserve">The scope of this </w:t>
      </w:r>
      <w:r>
        <w:t>Policy</w:t>
      </w:r>
      <w:r w:rsidRPr="00EB36BD">
        <w:t xml:space="preserve"> </w:t>
      </w:r>
      <w:r>
        <w:t xml:space="preserve">is global, which includes </w:t>
      </w:r>
      <w:r w:rsidRPr="00EB36BD">
        <w:t xml:space="preserve">all business </w:t>
      </w:r>
      <w:r>
        <w:t xml:space="preserve">units, all regions, and all entities of Hewitt Associates LLC (“Alight”).  Alight refers to </w:t>
      </w:r>
      <w:r w:rsidRPr="00EB36BD">
        <w:t>all wholly-owned subsidiaries</w:t>
      </w:r>
      <w:r>
        <w:t xml:space="preserve"> of Hewitt Associates LLC</w:t>
      </w:r>
      <w:r w:rsidRPr="00EB36BD">
        <w:t xml:space="preserve">, </w:t>
      </w:r>
      <w:r>
        <w:t xml:space="preserve">all </w:t>
      </w:r>
      <w:r w:rsidRPr="00EB36BD">
        <w:t xml:space="preserve">subsidiaries in which </w:t>
      </w:r>
      <w:r>
        <w:t xml:space="preserve">Hewitt Associates LLC </w:t>
      </w:r>
      <w:r w:rsidRPr="00EB36BD">
        <w:t xml:space="preserve">has a controlling interest, </w:t>
      </w:r>
      <w:r>
        <w:t xml:space="preserve">and all agents or authorized representatives </w:t>
      </w:r>
      <w:r w:rsidRPr="00EB36BD">
        <w:t xml:space="preserve">of </w:t>
      </w:r>
      <w:r>
        <w:t>Hewitt Associates LLC or its subsidiaries.</w:t>
      </w:r>
      <w:bookmarkStart w:id="8" w:name="_Toc289842749"/>
      <w:bookmarkStart w:id="9" w:name="_Toc300658436"/>
      <w:bookmarkStart w:id="10" w:name="_Toc304990089"/>
    </w:p>
    <w:p w:rsidR="002F4425" w:rsidRPr="007E6914" w:rsidRDefault="002F4425" w:rsidP="002F4425">
      <w:pPr>
        <w:pStyle w:val="Heading2"/>
      </w:pPr>
      <w:r w:rsidRPr="007E6914">
        <w:t>Applicable Audience</w:t>
      </w:r>
      <w:bookmarkEnd w:id="8"/>
      <w:bookmarkEnd w:id="9"/>
      <w:bookmarkEnd w:id="10"/>
    </w:p>
    <w:p w:rsidR="002F4425" w:rsidRDefault="002F4425" w:rsidP="002F4425">
      <w:pPr>
        <w:pStyle w:val="NormalDS"/>
      </w:pPr>
      <w:bookmarkStart w:id="11" w:name="_Toc300658437"/>
      <w:bookmarkStart w:id="12" w:name="_Toc304990090"/>
      <w:bookmarkStart w:id="13" w:name="_Toc289842663"/>
      <w:bookmarkStart w:id="14" w:name="_Toc289842750"/>
      <w:bookmarkStart w:id="15" w:name="_Toc158805973"/>
      <w:r w:rsidRPr="000D7D3C">
        <w:t xml:space="preserve">This policy applies to all </w:t>
      </w:r>
      <w:r>
        <w:t>colleagues</w:t>
      </w:r>
      <w:r w:rsidRPr="000D7D3C">
        <w:t xml:space="preserve">, </w:t>
      </w:r>
      <w:r>
        <w:t xml:space="preserve">contractors, and vendors of Alight.  The term “colleague” refers to all </w:t>
      </w:r>
      <w:r w:rsidRPr="000D7D3C">
        <w:t>full</w:t>
      </w:r>
      <w:r>
        <w:t xml:space="preserve">-time employees, </w:t>
      </w:r>
      <w:r w:rsidRPr="000D7D3C">
        <w:t xml:space="preserve">part-time </w:t>
      </w:r>
      <w:r>
        <w:t>employees</w:t>
      </w:r>
      <w:r w:rsidRPr="000D7D3C">
        <w:t xml:space="preserve">, </w:t>
      </w:r>
      <w:r>
        <w:t>temporary employees, and interns who provide services to Alight.  The term “</w:t>
      </w:r>
      <w:r w:rsidRPr="000D7D3C">
        <w:t>contractor</w:t>
      </w:r>
      <w:r>
        <w:t>” refers to any individual on another company’s payroll (contractors, outsourcers, consultants, contingent workers, temporary agency workers, etc.)</w:t>
      </w:r>
      <w:r w:rsidRPr="000D7D3C">
        <w:t xml:space="preserve"> who </w:t>
      </w:r>
      <w:r>
        <w:t xml:space="preserve">provides services to Alight.  The term “vendor” refers to all other third parties with which </w:t>
      </w:r>
      <w:proofErr w:type="gramStart"/>
      <w:r>
        <w:t>Alight</w:t>
      </w:r>
      <w:proofErr w:type="gramEnd"/>
      <w:r>
        <w:t xml:space="preserve"> does business.</w:t>
      </w:r>
    </w:p>
    <w:p w:rsidR="002F4425" w:rsidRPr="000D7D3C" w:rsidRDefault="002F4425" w:rsidP="002F4425">
      <w:pPr>
        <w:pStyle w:val="NormalDS"/>
      </w:pPr>
      <w:r w:rsidRPr="000D7D3C">
        <w:t xml:space="preserve">Employment at </w:t>
      </w:r>
      <w:r>
        <w:t>Alight</w:t>
      </w:r>
      <w:r w:rsidRPr="000D7D3C">
        <w:t xml:space="preserve"> does not automatically guarantee or provide the initial or ongoing ability to use mobile devices in order to gain access to corporate networks, resources, and related business information.</w:t>
      </w:r>
    </w:p>
    <w:p w:rsidR="002F4425" w:rsidRDefault="002F4425" w:rsidP="002F4425">
      <w:pPr>
        <w:pStyle w:val="NormalDS"/>
      </w:pPr>
      <w:r w:rsidRPr="000D7D3C">
        <w:t>This policy addresses the range of security threats related to the use of enterprise data:</w:t>
      </w:r>
    </w:p>
    <w:tbl>
      <w:tblPr>
        <w:tblW w:w="4752"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2005"/>
        <w:gridCol w:w="7109"/>
      </w:tblGrid>
      <w:tr w:rsidR="002F4425" w:rsidRPr="00274338" w:rsidTr="00F325F9">
        <w:trPr>
          <w:cantSplit/>
        </w:trPr>
        <w:tc>
          <w:tcPr>
            <w:tcW w:w="2005" w:type="dxa"/>
            <w:tcBorders>
              <w:top w:val="nil"/>
              <w:bottom w:val="single" w:sz="12" w:space="0" w:color="808080" w:themeColor="background1" w:themeShade="80"/>
            </w:tcBorders>
            <w:shd w:val="clear" w:color="auto" w:fill="auto"/>
            <w:vAlign w:val="bottom"/>
          </w:tcPr>
          <w:p w:rsidR="002F4425" w:rsidRPr="00274338" w:rsidRDefault="002F4425" w:rsidP="00F325F9">
            <w:pPr>
              <w:pStyle w:val="TableColumnHead"/>
            </w:pPr>
            <w:r>
              <w:t>Threat</w:t>
            </w:r>
          </w:p>
        </w:tc>
        <w:tc>
          <w:tcPr>
            <w:tcW w:w="7109" w:type="dxa"/>
            <w:tcBorders>
              <w:top w:val="nil"/>
              <w:bottom w:val="single" w:sz="12" w:space="0" w:color="808080" w:themeColor="background1" w:themeShade="80"/>
            </w:tcBorders>
            <w:shd w:val="clear" w:color="auto" w:fill="auto"/>
            <w:vAlign w:val="bottom"/>
          </w:tcPr>
          <w:p w:rsidR="002F4425" w:rsidRPr="00274338" w:rsidRDefault="002F4425" w:rsidP="00F325F9">
            <w:pPr>
              <w:pStyle w:val="TableColumnHead"/>
            </w:pPr>
            <w:r>
              <w:t>Description</w:t>
            </w:r>
          </w:p>
        </w:tc>
      </w:tr>
      <w:tr w:rsidR="002F4425" w:rsidRPr="00890ABF" w:rsidTr="00F325F9">
        <w:trPr>
          <w:cantSplit/>
          <w:trHeight w:val="510"/>
        </w:trPr>
        <w:tc>
          <w:tcPr>
            <w:tcW w:w="2005" w:type="dxa"/>
            <w:tcBorders>
              <w:top w:val="single" w:sz="12" w:space="0" w:color="808080" w:themeColor="background1" w:themeShade="80"/>
              <w:bottom w:val="single" w:sz="4" w:space="0" w:color="808080" w:themeColor="background1" w:themeShade="80"/>
            </w:tcBorders>
            <w:shd w:val="clear" w:color="auto" w:fill="auto"/>
          </w:tcPr>
          <w:p w:rsidR="002F4425" w:rsidRPr="00890ABF" w:rsidRDefault="002F4425" w:rsidP="00F325F9">
            <w:pPr>
              <w:pStyle w:val="TableCopy"/>
              <w:rPr>
                <w:sz w:val="18"/>
                <w:szCs w:val="18"/>
              </w:rPr>
            </w:pPr>
            <w:r>
              <w:rPr>
                <w:sz w:val="18"/>
                <w:szCs w:val="18"/>
              </w:rPr>
              <w:t>Device Loss</w:t>
            </w:r>
          </w:p>
        </w:tc>
        <w:tc>
          <w:tcPr>
            <w:tcW w:w="7109" w:type="dxa"/>
            <w:tcBorders>
              <w:top w:val="single" w:sz="12" w:space="0" w:color="808080" w:themeColor="background1" w:themeShade="80"/>
              <w:bottom w:val="single" w:sz="4" w:space="0" w:color="808080" w:themeColor="background1" w:themeShade="80"/>
            </w:tcBorders>
            <w:shd w:val="clear" w:color="auto" w:fill="auto"/>
          </w:tcPr>
          <w:p w:rsidR="002F4425" w:rsidRPr="00C725B3" w:rsidRDefault="002F4425" w:rsidP="00F325F9">
            <w:pPr>
              <w:pStyle w:val="NormalDS"/>
              <w:rPr>
                <w:sz w:val="18"/>
              </w:rPr>
            </w:pPr>
            <w:r w:rsidRPr="00C725B3">
              <w:rPr>
                <w:sz w:val="18"/>
              </w:rPr>
              <w:t>Devices used to transfer or transport work files and related data could be lost or stolen.</w:t>
            </w:r>
          </w:p>
        </w:tc>
      </w:tr>
      <w:tr w:rsidR="002F4425" w:rsidRPr="00890ABF" w:rsidTr="00F325F9">
        <w:trPr>
          <w:cantSplit/>
        </w:trPr>
        <w:tc>
          <w:tcPr>
            <w:tcW w:w="2005" w:type="dxa"/>
            <w:tcBorders>
              <w:top w:val="single" w:sz="4" w:space="0" w:color="808080" w:themeColor="background1" w:themeShade="80"/>
              <w:bottom w:val="single" w:sz="4" w:space="0" w:color="808080" w:themeColor="background1" w:themeShade="80"/>
            </w:tcBorders>
            <w:shd w:val="clear" w:color="auto" w:fill="auto"/>
          </w:tcPr>
          <w:p w:rsidR="002F4425" w:rsidRPr="00890ABF" w:rsidRDefault="002F4425" w:rsidP="00F325F9">
            <w:pPr>
              <w:pStyle w:val="TableCopy"/>
              <w:rPr>
                <w:sz w:val="18"/>
                <w:szCs w:val="18"/>
              </w:rPr>
            </w:pPr>
            <w:r>
              <w:rPr>
                <w:sz w:val="18"/>
                <w:szCs w:val="18"/>
              </w:rPr>
              <w:t>Device Theft</w:t>
            </w:r>
          </w:p>
        </w:tc>
        <w:tc>
          <w:tcPr>
            <w:tcW w:w="7109" w:type="dxa"/>
            <w:tcBorders>
              <w:top w:val="single" w:sz="4" w:space="0" w:color="808080" w:themeColor="background1" w:themeShade="80"/>
              <w:bottom w:val="single" w:sz="4" w:space="0" w:color="808080" w:themeColor="background1" w:themeShade="80"/>
            </w:tcBorders>
            <w:shd w:val="clear" w:color="auto" w:fill="auto"/>
          </w:tcPr>
          <w:p w:rsidR="002F4425" w:rsidRPr="00C725B3" w:rsidRDefault="002F4425" w:rsidP="00F325F9">
            <w:pPr>
              <w:pStyle w:val="NormalDS"/>
              <w:rPr>
                <w:sz w:val="18"/>
              </w:rPr>
            </w:pPr>
            <w:r w:rsidRPr="00C725B3">
              <w:rPr>
                <w:sz w:val="18"/>
              </w:rPr>
              <w:t>Sensitive corporate data is deliberately stolen and then sold by an employee or unsanctioned third party.</w:t>
            </w:r>
          </w:p>
        </w:tc>
      </w:tr>
      <w:tr w:rsidR="002F4425" w:rsidRPr="00890ABF" w:rsidTr="00F325F9">
        <w:trPr>
          <w:cantSplit/>
          <w:trHeight w:val="467"/>
        </w:trPr>
        <w:tc>
          <w:tcPr>
            <w:tcW w:w="2005" w:type="dxa"/>
            <w:tcBorders>
              <w:top w:val="single" w:sz="4" w:space="0" w:color="808080" w:themeColor="background1" w:themeShade="80"/>
              <w:bottom w:val="single" w:sz="4" w:space="0" w:color="808080" w:themeColor="background1" w:themeShade="80"/>
            </w:tcBorders>
            <w:shd w:val="clear" w:color="auto" w:fill="auto"/>
          </w:tcPr>
          <w:p w:rsidR="002F4425" w:rsidRPr="00890ABF" w:rsidRDefault="002F4425" w:rsidP="00F325F9">
            <w:pPr>
              <w:pStyle w:val="TableCopy"/>
              <w:rPr>
                <w:sz w:val="18"/>
                <w:szCs w:val="18"/>
              </w:rPr>
            </w:pPr>
            <w:r>
              <w:rPr>
                <w:sz w:val="18"/>
                <w:szCs w:val="18"/>
              </w:rPr>
              <w:t>Malware</w:t>
            </w:r>
          </w:p>
        </w:tc>
        <w:tc>
          <w:tcPr>
            <w:tcW w:w="7109" w:type="dxa"/>
            <w:tcBorders>
              <w:top w:val="single" w:sz="4" w:space="0" w:color="808080" w:themeColor="background1" w:themeShade="80"/>
              <w:bottom w:val="single" w:sz="4" w:space="0" w:color="808080" w:themeColor="background1" w:themeShade="80"/>
            </w:tcBorders>
            <w:shd w:val="clear" w:color="auto" w:fill="auto"/>
          </w:tcPr>
          <w:p w:rsidR="002F4425" w:rsidRPr="00C725B3" w:rsidRDefault="002F4425" w:rsidP="00F325F9">
            <w:pPr>
              <w:pStyle w:val="NormalDS"/>
              <w:rPr>
                <w:sz w:val="18"/>
              </w:rPr>
            </w:pPr>
            <w:r w:rsidRPr="00C725B3">
              <w:rPr>
                <w:sz w:val="18"/>
              </w:rPr>
              <w:t>Viruses, Trojans, Worms, Spyware and other computing threats could be introduced via a mobile device and therefore any stored or transmitted data is at risk.</w:t>
            </w:r>
          </w:p>
        </w:tc>
      </w:tr>
      <w:tr w:rsidR="002F4425" w:rsidRPr="00890ABF" w:rsidTr="00F325F9">
        <w:trPr>
          <w:cantSplit/>
          <w:trHeight w:val="467"/>
        </w:trPr>
        <w:tc>
          <w:tcPr>
            <w:tcW w:w="2005" w:type="dxa"/>
            <w:tcBorders>
              <w:top w:val="single" w:sz="4" w:space="0" w:color="808080" w:themeColor="background1" w:themeShade="80"/>
              <w:bottom w:val="single" w:sz="4" w:space="0" w:color="808080" w:themeColor="background1" w:themeShade="80"/>
            </w:tcBorders>
            <w:shd w:val="clear" w:color="auto" w:fill="auto"/>
          </w:tcPr>
          <w:p w:rsidR="002F4425" w:rsidRDefault="002F4425" w:rsidP="00F325F9">
            <w:pPr>
              <w:pStyle w:val="TableCopy"/>
              <w:rPr>
                <w:sz w:val="18"/>
                <w:szCs w:val="18"/>
              </w:rPr>
            </w:pPr>
            <w:r>
              <w:rPr>
                <w:sz w:val="18"/>
                <w:szCs w:val="18"/>
              </w:rPr>
              <w:t>Compliance</w:t>
            </w:r>
          </w:p>
        </w:tc>
        <w:tc>
          <w:tcPr>
            <w:tcW w:w="7109" w:type="dxa"/>
            <w:tcBorders>
              <w:top w:val="single" w:sz="4" w:space="0" w:color="808080" w:themeColor="background1" w:themeShade="80"/>
              <w:bottom w:val="single" w:sz="4" w:space="0" w:color="808080" w:themeColor="background1" w:themeShade="80"/>
            </w:tcBorders>
            <w:shd w:val="clear" w:color="auto" w:fill="auto"/>
          </w:tcPr>
          <w:p w:rsidR="002F4425" w:rsidRPr="00C725B3" w:rsidRDefault="002F4425" w:rsidP="00F325F9">
            <w:pPr>
              <w:pStyle w:val="NormalDS"/>
              <w:rPr>
                <w:sz w:val="18"/>
              </w:rPr>
            </w:pPr>
            <w:r w:rsidRPr="00C725B3">
              <w:rPr>
                <w:sz w:val="18"/>
              </w:rPr>
              <w:t>Loss of financial, personal, and other business confidential data could expose the corporation to the risk of non-compliance to local, regional, and global regulatory laws and documented requirements.</w:t>
            </w:r>
          </w:p>
        </w:tc>
      </w:tr>
    </w:tbl>
    <w:p w:rsidR="002F4425" w:rsidRDefault="002F4425" w:rsidP="002F4425">
      <w:pPr>
        <w:pStyle w:val="NormalDS"/>
      </w:pPr>
    </w:p>
    <w:p w:rsidR="002F4425" w:rsidRPr="000D7D3C" w:rsidRDefault="002F4425" w:rsidP="002F4425">
      <w:pPr>
        <w:pStyle w:val="NormalDS"/>
      </w:pPr>
      <w:r w:rsidRPr="000D7D3C">
        <w:t xml:space="preserve">The necessary addition of all new hardware, software, and/or related mobile computing device components that provide corporate connectivity will be managed by the </w:t>
      </w:r>
      <w:r>
        <w:t>Alight</w:t>
      </w:r>
      <w:r w:rsidRPr="000D7D3C">
        <w:t xml:space="preserve"> </w:t>
      </w:r>
      <w:r>
        <w:t xml:space="preserve">Corporate </w:t>
      </w:r>
      <w:r w:rsidRPr="000D7D3C">
        <w:t>IT department</w:t>
      </w:r>
      <w:r>
        <w:t>s</w:t>
      </w:r>
      <w:r w:rsidRPr="000D7D3C">
        <w:t xml:space="preserve"> and at their discretion.  The </w:t>
      </w:r>
      <w:r>
        <w:t>Alight</w:t>
      </w:r>
      <w:r w:rsidRPr="000D7D3C">
        <w:t xml:space="preserve"> </w:t>
      </w:r>
      <w:r>
        <w:t xml:space="preserve">Corporate </w:t>
      </w:r>
      <w:r w:rsidRPr="000D7D3C">
        <w:t>IT department</w:t>
      </w:r>
      <w:r>
        <w:t>s</w:t>
      </w:r>
      <w:r w:rsidRPr="000D7D3C">
        <w:t xml:space="preserve"> will maintain a list of approved devices with the deployment of required security measures. </w:t>
      </w:r>
    </w:p>
    <w:p w:rsidR="002F4425" w:rsidRPr="00212F95" w:rsidRDefault="002F4425" w:rsidP="002F4425">
      <w:pPr>
        <w:pStyle w:val="NormalDS"/>
      </w:pPr>
      <w:r w:rsidRPr="00212F95">
        <w:t xml:space="preserve">Non-approved corporate use of mobile devices to back up, store, transmit, or otherwise use to access business related data owned or managed by </w:t>
      </w:r>
      <w:r>
        <w:t>Alight</w:t>
      </w:r>
      <w:r w:rsidRPr="00212F95">
        <w:t xml:space="preserve"> is strictly forbidden.</w:t>
      </w:r>
    </w:p>
    <w:p w:rsidR="002F4425" w:rsidRPr="007E6914" w:rsidRDefault="002F4425" w:rsidP="002F4425">
      <w:pPr>
        <w:pStyle w:val="Heading2"/>
      </w:pPr>
      <w:r>
        <w:rPr>
          <w:color w:val="5EB6E4"/>
          <w:sz w:val="36"/>
          <w:szCs w:val="36"/>
        </w:rPr>
        <w:lastRenderedPageBreak/>
        <w:br/>
      </w:r>
      <w:r w:rsidRPr="007E6914">
        <w:t>Compliance &amp; Enforcement</w:t>
      </w:r>
      <w:bookmarkEnd w:id="11"/>
      <w:bookmarkEnd w:id="12"/>
    </w:p>
    <w:p w:rsidR="002F4425" w:rsidRPr="00C27A36" w:rsidRDefault="002F4425" w:rsidP="002F4425">
      <w:pPr>
        <w:pStyle w:val="NormalDS"/>
      </w:pPr>
      <w:r w:rsidRPr="00C27A36">
        <w:t>Compliance with this Policy is mandatory.</w:t>
      </w:r>
    </w:p>
    <w:p w:rsidR="002F4425" w:rsidRPr="00C27A36" w:rsidRDefault="002F4425" w:rsidP="002F4425">
      <w:pPr>
        <w:pStyle w:val="NormalDS"/>
      </w:pPr>
      <w:r w:rsidRPr="00C27A36">
        <w:t xml:space="preserve">Potential violations of this policy are subject to review and investigation by </w:t>
      </w:r>
      <w:r>
        <w:t>Alight</w:t>
      </w:r>
      <w:r w:rsidRPr="00C27A36">
        <w:t xml:space="preserve"> and/or its agents.  Violations of this policy may result in discipline, up to and including removal of assignment, end of contract for vendors, or termination.  This is subject to the procedural requirements of the countries in which </w:t>
      </w:r>
      <w:r>
        <w:t>Alight</w:t>
      </w:r>
      <w:r w:rsidRPr="00C27A36">
        <w:t xml:space="preserve"> operates.  </w:t>
      </w:r>
      <w:r>
        <w:t>Alight</w:t>
      </w:r>
      <w:r w:rsidRPr="00C27A36">
        <w:t xml:space="preserve"> reserves the right to refer for prosecution any violations of this policy.</w:t>
      </w:r>
    </w:p>
    <w:p w:rsidR="002F4425" w:rsidRDefault="002F4425" w:rsidP="002F4425">
      <w:pPr>
        <w:pStyle w:val="NormalDS"/>
      </w:pPr>
      <w:r w:rsidRPr="00C27A36">
        <w:t xml:space="preserve">This Policy constitutes the current Policy with respect to its subject matter, and it supersedes and replaces all previous policies relating to its subject matter. </w:t>
      </w:r>
      <w:r>
        <w:t>Alight</w:t>
      </w:r>
      <w:r w:rsidRPr="00C27A36">
        <w:t xml:space="preserve"> reserves the right to modify the Policy at its sole discretion at any time with the intent to update on an annual basis.</w:t>
      </w:r>
    </w:p>
    <w:p w:rsidR="002F4425" w:rsidRPr="00C27A36" w:rsidRDefault="002F4425" w:rsidP="002F4425">
      <w:pPr>
        <w:pStyle w:val="Heading2"/>
      </w:pPr>
      <w:r w:rsidRPr="00C27A36">
        <w:t>All Colleagues Responsibilities</w:t>
      </w:r>
    </w:p>
    <w:p w:rsidR="002F4425" w:rsidRPr="00C27A36" w:rsidRDefault="002F4425" w:rsidP="002F4425">
      <w:pPr>
        <w:pStyle w:val="NormalDS"/>
      </w:pPr>
      <w:r w:rsidRPr="00C27A36">
        <w:t xml:space="preserve">Each </w:t>
      </w:r>
      <w:r>
        <w:t>Alight</w:t>
      </w:r>
      <w:r w:rsidRPr="00C27A36">
        <w:t xml:space="preserve"> colleague is responsible for using mobile devices appropriately and is required to adherence to </w:t>
      </w:r>
      <w:r>
        <w:t>Alight</w:t>
      </w:r>
      <w:r w:rsidRPr="00C27A36">
        <w:t xml:space="preserve">’s published policies and standards.  This includes </w:t>
      </w:r>
      <w:r>
        <w:t>Alight</w:t>
      </w:r>
      <w:r w:rsidRPr="00C27A36">
        <w:t>’s Privacy Policy, Acceptable Use, and other related Global Security Services policies and standards while using mobile devices that are connected or have access to corporate resources and related systems.</w:t>
      </w:r>
    </w:p>
    <w:p w:rsidR="002F4425" w:rsidRPr="00C27A36" w:rsidRDefault="002F4425" w:rsidP="002F4425">
      <w:pPr>
        <w:pStyle w:val="NormalDS"/>
      </w:pPr>
      <w:r>
        <w:t>Alight</w:t>
      </w:r>
      <w:r w:rsidRPr="00C27A36">
        <w:t xml:space="preserve"> colleagues must comply with the laws and regulations of states and countries in which </w:t>
      </w:r>
      <w:r>
        <w:t>Alight</w:t>
      </w:r>
      <w:r w:rsidRPr="00C27A36">
        <w:t xml:space="preserve"> operates in. Colleagues are prohibited from using electronic communication devices to compose, send, or read electronic messages while driving. Electronic messages include email, text messages, instant messages, and commands or requests to access an internet site. </w:t>
      </w:r>
      <w:r>
        <w:t>Alight</w:t>
      </w:r>
      <w:r w:rsidRPr="00C27A36">
        <w:t xml:space="preserve"> reserves the right to restrict or revoke access to </w:t>
      </w:r>
      <w:r>
        <w:t>Alight</w:t>
      </w:r>
      <w:r w:rsidRPr="00C27A36">
        <w:t xml:space="preserve">-provided mobile device services issued through the “Mobility Freedom” program or </w:t>
      </w:r>
      <w:r>
        <w:t>Alight</w:t>
      </w:r>
      <w:r w:rsidRPr="00C27A36">
        <w:t xml:space="preserve">-issued mobile devices at any time. Colleagues who fail to use </w:t>
      </w:r>
      <w:proofErr w:type="gramStart"/>
      <w:r>
        <w:t>Alight</w:t>
      </w:r>
      <w:proofErr w:type="gramEnd"/>
      <w:r w:rsidRPr="00C27A36">
        <w:t xml:space="preserve"> technologies (including mobile devices) appropriately, may, subject to local laws, be subject to disciplinary action up to and including separation from employment.</w:t>
      </w:r>
    </w:p>
    <w:p w:rsidR="002F4425" w:rsidRPr="00C27A36" w:rsidRDefault="002F4425" w:rsidP="002F4425">
      <w:pPr>
        <w:pStyle w:val="Heading2"/>
      </w:pPr>
      <w:r w:rsidRPr="00C27A36">
        <w:t>Mobile Device Safety Concerns</w:t>
      </w:r>
    </w:p>
    <w:p w:rsidR="002F4425" w:rsidRPr="00C27A36" w:rsidRDefault="002F4425" w:rsidP="002F4425">
      <w:pPr>
        <w:pStyle w:val="NormalDS"/>
      </w:pPr>
      <w:r>
        <w:t>Alight</w:t>
      </w:r>
      <w:r w:rsidRPr="00C27A36">
        <w:t xml:space="preserve"> prohibits use of mobile devices while driving. Safety should come before all other concerns and colleagues should not place themselves or others at risk to meet business need. </w:t>
      </w:r>
    </w:p>
    <w:p w:rsidR="002F4425" w:rsidRPr="00C27A36" w:rsidRDefault="002F4425" w:rsidP="002F4425">
      <w:pPr>
        <w:pStyle w:val="NormalDS"/>
      </w:pPr>
      <w:r w:rsidRPr="00C27A36">
        <w:t xml:space="preserve">Colleagues are required to comply with all applicable laws regulating the use of mobile phones while driving. Some countries, states, and municipalities prohibit the use of hand-held phones while driving. Colleagues should acquaint themselves with the requirements of the areas through which they travel before using a mobile phone or other electronic mobile device while driving. </w:t>
      </w:r>
    </w:p>
    <w:p w:rsidR="002F4425" w:rsidRPr="00C27A36" w:rsidRDefault="002F4425" w:rsidP="002F4425">
      <w:pPr>
        <w:pStyle w:val="NormalDS"/>
      </w:pPr>
      <w:r w:rsidRPr="00C27A36">
        <w:t xml:space="preserve">Colleagues charged with traffic violations or other criminal offenses resulting from the use of cell phones or other mobile devices while driving will be solely responsible for all liabilities that result from such actions. </w:t>
      </w:r>
    </w:p>
    <w:p w:rsidR="002F4425" w:rsidRPr="00C27A36" w:rsidRDefault="002F4425" w:rsidP="002F4425">
      <w:pPr>
        <w:pStyle w:val="Heading2"/>
      </w:pPr>
      <w:r w:rsidRPr="00C27A36">
        <w:lastRenderedPageBreak/>
        <w:t>Safe Driving Guidelines</w:t>
      </w:r>
    </w:p>
    <w:p w:rsidR="002F4425" w:rsidRPr="00C27A36" w:rsidRDefault="002F4425" w:rsidP="002F4425">
      <w:pPr>
        <w:pStyle w:val="NormalDS"/>
      </w:pPr>
      <w:r w:rsidRPr="00C27A36">
        <w:t xml:space="preserve">Use a hands-free device, even if such use is not legally required. Purchase and cost of a hands-free device is the responsibility of the colleague. </w:t>
      </w:r>
    </w:p>
    <w:p w:rsidR="002F4425" w:rsidRPr="00C27A36" w:rsidRDefault="002F4425" w:rsidP="002F4425">
      <w:pPr>
        <w:pStyle w:val="NormalDS"/>
      </w:pPr>
      <w:r w:rsidRPr="00C27A36">
        <w:t xml:space="preserve">Refrain from placing or receiving unnecessary calls while driving. </w:t>
      </w:r>
    </w:p>
    <w:p w:rsidR="002F4425" w:rsidRPr="00C27A36" w:rsidRDefault="002F4425" w:rsidP="002F4425">
      <w:pPr>
        <w:pStyle w:val="NormalDS"/>
      </w:pPr>
      <w:r w:rsidRPr="00C27A36">
        <w:t xml:space="preserve">Dial a phone or view a mobile device only when the car is not moving, subject to local laws. </w:t>
      </w:r>
    </w:p>
    <w:p w:rsidR="002F4425" w:rsidRPr="00C27A36" w:rsidRDefault="002F4425" w:rsidP="002F4425">
      <w:pPr>
        <w:pStyle w:val="NormalDS"/>
      </w:pPr>
      <w:proofErr w:type="gramStart"/>
      <w:r w:rsidRPr="00C27A36">
        <w:t>Never have stressful/emotionally heated conversations while driving.</w:t>
      </w:r>
      <w:proofErr w:type="gramEnd"/>
      <w:r w:rsidRPr="00C27A36">
        <w:t xml:space="preserve"> </w:t>
      </w:r>
    </w:p>
    <w:p w:rsidR="002F4425" w:rsidRPr="00C27A36" w:rsidRDefault="002F4425" w:rsidP="002F4425">
      <w:pPr>
        <w:pStyle w:val="NormalDS"/>
      </w:pPr>
      <w:r w:rsidRPr="00C27A36">
        <w:t xml:space="preserve">Do not use mobile devices while driving in hazardous conditions or areas where extra driving vigilance is required, such as in bad weather, school zones, pedestrian areas, heavy congestion, etc. </w:t>
      </w:r>
    </w:p>
    <w:p w:rsidR="002F4425" w:rsidRPr="00C27A36" w:rsidRDefault="002F4425" w:rsidP="002F4425">
      <w:pPr>
        <w:pStyle w:val="NormalDS"/>
      </w:pPr>
      <w:r w:rsidRPr="00C27A36">
        <w:t xml:space="preserve">Limit conversations or pull off the road to complete conversations. </w:t>
      </w:r>
    </w:p>
    <w:p w:rsidR="002F4425" w:rsidRPr="00C27A36" w:rsidRDefault="002F4425" w:rsidP="002F4425">
      <w:pPr>
        <w:pStyle w:val="NormalDS"/>
      </w:pPr>
      <w:r w:rsidRPr="00C27A36">
        <w:t xml:space="preserve">Keep your eyes on the road at all times. </w:t>
      </w:r>
    </w:p>
    <w:p w:rsidR="002F4425" w:rsidRPr="00C27A36" w:rsidRDefault="002F4425" w:rsidP="002F4425">
      <w:pPr>
        <w:pStyle w:val="NormalDS"/>
      </w:pPr>
    </w:p>
    <w:bookmarkEnd w:id="13"/>
    <w:bookmarkEnd w:id="14"/>
    <w:bookmarkEnd w:id="15"/>
    <w:p w:rsidR="002F4425" w:rsidRPr="00110062" w:rsidRDefault="002F4425" w:rsidP="002F4425">
      <w:pPr>
        <w:pStyle w:val="Heading2"/>
        <w:rPr>
          <w:rStyle w:val="Heading1Char"/>
        </w:rPr>
      </w:pPr>
      <w:r>
        <w:rPr>
          <w:rStyle w:val="Heading1Char"/>
        </w:rPr>
        <w:t>Policy</w:t>
      </w:r>
      <w:r w:rsidRPr="00110062">
        <w:rPr>
          <w:rStyle w:val="Heading1Char"/>
        </w:rPr>
        <w:t xml:space="preserve"> Statements</w:t>
      </w:r>
      <w:bookmarkStart w:id="16" w:name="_Hlt103157950"/>
      <w:bookmarkStart w:id="17" w:name="_Toc300653623"/>
      <w:bookmarkEnd w:id="3"/>
      <w:bookmarkEnd w:id="5"/>
      <w:bookmarkEnd w:id="16"/>
    </w:p>
    <w:p w:rsidR="002F4425" w:rsidRPr="009E44AF" w:rsidRDefault="002F4425" w:rsidP="002F4425">
      <w:pPr>
        <w:pStyle w:val="Heading3"/>
        <w:numPr>
          <w:ilvl w:val="0"/>
          <w:numId w:val="16"/>
        </w:numPr>
      </w:pPr>
      <w:bookmarkStart w:id="18" w:name="_Toc158805972"/>
      <w:bookmarkStart w:id="19" w:name="_Toc289842767"/>
      <w:bookmarkStart w:id="20" w:name="_Toc301517836"/>
      <w:bookmarkStart w:id="21" w:name="_Toc304735590"/>
      <w:bookmarkEnd w:id="17"/>
      <w:r w:rsidRPr="009E44AF">
        <w:t>Mobile Device Responsibility</w:t>
      </w:r>
    </w:p>
    <w:p w:rsidR="002F4425" w:rsidRPr="00C27A36" w:rsidRDefault="002F4425" w:rsidP="002F4425">
      <w:pPr>
        <w:pStyle w:val="NormalDS"/>
      </w:pPr>
      <w:r>
        <w:t>Alight</w:t>
      </w:r>
      <w:r w:rsidRPr="00C27A36">
        <w:t xml:space="preserve"> colleagues must agree to the following mobile device rules and recognize the need to protect business confidential and personal data that is stored on and/or accessed by using a mobile device.  This basic code of conduct includes, but is not limited to:</w:t>
      </w:r>
    </w:p>
    <w:p w:rsidR="002F4425" w:rsidRPr="00C27A36" w:rsidRDefault="002F4425" w:rsidP="002F4425">
      <w:pPr>
        <w:pStyle w:val="NormalDS"/>
        <w:numPr>
          <w:ilvl w:val="1"/>
          <w:numId w:val="16"/>
        </w:numPr>
      </w:pPr>
      <w:r w:rsidRPr="00C27A36">
        <w:t>Doing what is necessary to ensure adequate physical security of the device itself.</w:t>
      </w:r>
    </w:p>
    <w:p w:rsidR="002F4425" w:rsidRPr="00C27A36" w:rsidRDefault="002F4425" w:rsidP="002F4425">
      <w:pPr>
        <w:pStyle w:val="NormalDS"/>
        <w:numPr>
          <w:ilvl w:val="1"/>
          <w:numId w:val="16"/>
        </w:numPr>
      </w:pPr>
      <w:r w:rsidRPr="00C27A36">
        <w:t>Maintaining the software configuration of the device. This includes the operating system and installed applications that are being accessed on the mobile device.</w:t>
      </w:r>
    </w:p>
    <w:p w:rsidR="002F4425" w:rsidRPr="00C27A36" w:rsidRDefault="002F4425" w:rsidP="002F4425">
      <w:pPr>
        <w:pStyle w:val="NormalDS"/>
        <w:numPr>
          <w:ilvl w:val="1"/>
          <w:numId w:val="16"/>
        </w:numPr>
      </w:pPr>
      <w:r w:rsidRPr="00C27A36">
        <w:t xml:space="preserve">Preventing the storage of sensitive business data in non-approved applications that may be installed on the mobile device unless explicitly approved by </w:t>
      </w:r>
      <w:r>
        <w:t>Alight</w:t>
      </w:r>
      <w:r w:rsidRPr="00C27A36">
        <w:t>’s IT and Global Security Services departments.</w:t>
      </w:r>
    </w:p>
    <w:p w:rsidR="002F4425" w:rsidRPr="00C27A36" w:rsidRDefault="002F4425" w:rsidP="002F4425">
      <w:pPr>
        <w:pStyle w:val="NormalDS"/>
        <w:numPr>
          <w:ilvl w:val="1"/>
          <w:numId w:val="16"/>
        </w:numPr>
      </w:pPr>
      <w:r w:rsidRPr="00C27A36">
        <w:t>Ensuring the device’s required security controls are not subverted via hacks, jailbreaks/rooting, security software changes and/or security setting changes.</w:t>
      </w:r>
    </w:p>
    <w:p w:rsidR="002F4425" w:rsidRPr="00C27A36" w:rsidRDefault="002F4425" w:rsidP="002F4425">
      <w:pPr>
        <w:pStyle w:val="NormalDS"/>
        <w:numPr>
          <w:ilvl w:val="1"/>
          <w:numId w:val="16"/>
        </w:numPr>
      </w:pPr>
      <w:r w:rsidRPr="00C27A36">
        <w:t xml:space="preserve">Reporting a lost or stolen device immediately to </w:t>
      </w:r>
      <w:proofErr w:type="gramStart"/>
      <w:r>
        <w:t>Alight</w:t>
      </w:r>
      <w:r w:rsidRPr="00C27A36">
        <w:t>’s</w:t>
      </w:r>
      <w:proofErr w:type="gramEnd"/>
      <w:r w:rsidRPr="00C27A36">
        <w:t xml:space="preserve"> Physical Security Department, Employee Management (HR), Mobility Freedom Administrators, or other personnel responsible for safe guarding mobile devices used for corporate computing. Colleagues can also place a call to </w:t>
      </w:r>
      <w:r>
        <w:t>Alight</w:t>
      </w:r>
      <w:r w:rsidRPr="00C27A36">
        <w:t xml:space="preserve">’s Global Service Desk or local Help Desk for assistance with a lost or stolen mobile device. </w:t>
      </w:r>
    </w:p>
    <w:p w:rsidR="002F4425" w:rsidRPr="00C27A36" w:rsidRDefault="002F4425" w:rsidP="002F4425">
      <w:pPr>
        <w:pStyle w:val="NormalDS"/>
        <w:numPr>
          <w:ilvl w:val="1"/>
          <w:numId w:val="16"/>
        </w:numPr>
      </w:pPr>
      <w:r>
        <w:lastRenderedPageBreak/>
        <w:t>Alight</w:t>
      </w:r>
      <w:r w:rsidRPr="00C27A36">
        <w:t xml:space="preserve"> is not obligated or responsible for the reimbursement of personal phone and data charges. This includes the loss of a personal device or related peripherals. </w:t>
      </w:r>
    </w:p>
    <w:p w:rsidR="002F4425" w:rsidRPr="00C27A36" w:rsidRDefault="002F4425" w:rsidP="002F4425">
      <w:pPr>
        <w:pStyle w:val="NormalDS"/>
        <w:numPr>
          <w:ilvl w:val="1"/>
          <w:numId w:val="16"/>
        </w:numPr>
      </w:pPr>
      <w:r>
        <w:t>Alight</w:t>
      </w:r>
      <w:r w:rsidRPr="00C27A36">
        <w:t xml:space="preserve"> is not obligated or responsible for the recovery of personal data in the event the mobile device is lost, stolen, or device failure occurs.  It is the colleague’s responsibility to backup business contact information and other data deemed of value on their </w:t>
      </w:r>
      <w:r>
        <w:t>Alight</w:t>
      </w:r>
      <w:r w:rsidRPr="00C27A36">
        <w:t xml:space="preserve"> issued or colleague owned mobile device. </w:t>
      </w:r>
    </w:p>
    <w:p w:rsidR="002F4425" w:rsidRPr="00C27A36" w:rsidRDefault="002F4425" w:rsidP="002F4425">
      <w:pPr>
        <w:pStyle w:val="NormalDS"/>
        <w:numPr>
          <w:ilvl w:val="1"/>
          <w:numId w:val="16"/>
        </w:numPr>
      </w:pPr>
      <w:r>
        <w:t>Alight</w:t>
      </w:r>
      <w:r w:rsidRPr="00C27A36">
        <w:t xml:space="preserve"> requires all colleagues with mobile devices accessing corporate applications and related systems to notify </w:t>
      </w:r>
      <w:r>
        <w:t>Alight</w:t>
      </w:r>
      <w:r w:rsidRPr="00C27A36">
        <w:t xml:space="preserve"> Management and </w:t>
      </w:r>
      <w:r>
        <w:t>Alight</w:t>
      </w:r>
      <w:r w:rsidRPr="00C27A36">
        <w:t xml:space="preserve"> Corporate IT Services upon termination or any type of employment and/or contract separation from </w:t>
      </w:r>
      <w:r>
        <w:t>Alight</w:t>
      </w:r>
      <w:r w:rsidRPr="00C27A36">
        <w:t>.</w:t>
      </w:r>
    </w:p>
    <w:p w:rsidR="002F4425" w:rsidRPr="00C27A36" w:rsidRDefault="002F4425" w:rsidP="002F4425">
      <w:pPr>
        <w:pStyle w:val="NormalDS"/>
        <w:numPr>
          <w:ilvl w:val="1"/>
          <w:numId w:val="16"/>
        </w:numPr>
      </w:pPr>
      <w:r w:rsidRPr="00C27A36">
        <w:t>Device replacement, upgrade, and/or a change in a colleague’s job responsibility</w:t>
      </w:r>
      <w:r>
        <w:t xml:space="preserve"> </w:t>
      </w:r>
      <w:proofErr w:type="gramStart"/>
      <w:r w:rsidRPr="00C27A36">
        <w:t>does</w:t>
      </w:r>
      <w:proofErr w:type="gramEnd"/>
      <w:r w:rsidRPr="00C27A36">
        <w:t xml:space="preserve"> not ensure the ability to use mobile devices to access corporate applications and related systems.</w:t>
      </w:r>
    </w:p>
    <w:p w:rsidR="002F4425" w:rsidRPr="00C27A36" w:rsidRDefault="002F4425" w:rsidP="002F4425">
      <w:pPr>
        <w:pStyle w:val="Heading3"/>
        <w:numPr>
          <w:ilvl w:val="0"/>
          <w:numId w:val="16"/>
        </w:numPr>
      </w:pPr>
      <w:r w:rsidRPr="00C27A36">
        <w:t xml:space="preserve">Mobile Device Security </w:t>
      </w:r>
    </w:p>
    <w:p w:rsidR="002F4425" w:rsidRPr="00C27A36" w:rsidRDefault="002F4425" w:rsidP="002F4425">
      <w:pPr>
        <w:pStyle w:val="NormalDS"/>
      </w:pPr>
      <w:r w:rsidRPr="00C27A36">
        <w:t xml:space="preserve">The colleague is ultimately responsible for properly securing their mobile device to prevent personal and business data from being lost or compromised.  The colleague is also responsible for the prevention of viruses and other related security exposures from being spread from one mobile or computing system to another. This might require the colleague to purchase and deploy additional software on their </w:t>
      </w:r>
      <w:r>
        <w:t>Alight</w:t>
      </w:r>
      <w:r w:rsidRPr="00C27A36">
        <w:t xml:space="preserve"> issued or colleague owned mobile device in order to comply with published </w:t>
      </w:r>
      <w:proofErr w:type="gramStart"/>
      <w:r>
        <w:t>Alight</w:t>
      </w:r>
      <w:proofErr w:type="gramEnd"/>
      <w:r w:rsidRPr="00C27A36">
        <w:t xml:space="preserve"> policies and standards.  </w:t>
      </w:r>
    </w:p>
    <w:p w:rsidR="002F4425" w:rsidRPr="00C27A36" w:rsidRDefault="002F4425" w:rsidP="002F4425">
      <w:pPr>
        <w:pStyle w:val="NormalDS"/>
      </w:pPr>
      <w:r w:rsidRPr="00C27A36">
        <w:t xml:space="preserve">Any removal of </w:t>
      </w:r>
      <w:r>
        <w:t>Alight</w:t>
      </w:r>
      <w:r w:rsidRPr="00C27A36">
        <w:t xml:space="preserve"> deployed or required security controls are strictly prohibited. Colleagues are forbidden from copying business sensitive data from corporate Email, Calendar, Contact, or related corporate managed systems to any other application on the mobile device or to an unregistered mobile device.</w:t>
      </w:r>
    </w:p>
    <w:p w:rsidR="002F4425" w:rsidRPr="00C27A36" w:rsidRDefault="002F4425" w:rsidP="002F4425">
      <w:pPr>
        <w:pStyle w:val="NormalDS"/>
      </w:pPr>
      <w:r w:rsidRPr="00C27A36">
        <w:t>Security and Configuration Requirements:</w:t>
      </w:r>
    </w:p>
    <w:p w:rsidR="002F4425" w:rsidRPr="00C27A36" w:rsidRDefault="002F4425" w:rsidP="002F4425">
      <w:pPr>
        <w:pStyle w:val="NormalDS"/>
        <w:numPr>
          <w:ilvl w:val="1"/>
          <w:numId w:val="16"/>
        </w:numPr>
      </w:pPr>
      <w:r w:rsidRPr="00C27A36">
        <w:t xml:space="preserve">Every mobile device approved for corporate use must be secured with an authentication password. That password must be of the proper strength and must meet </w:t>
      </w:r>
      <w:r>
        <w:t>Alight</w:t>
      </w:r>
      <w:r w:rsidRPr="00C27A36">
        <w:t>’s documented standards for securing mobile devices.</w:t>
      </w:r>
    </w:p>
    <w:p w:rsidR="002F4425" w:rsidRPr="00C27A36" w:rsidRDefault="002F4425" w:rsidP="002F4425">
      <w:pPr>
        <w:pStyle w:val="NormalDS"/>
        <w:numPr>
          <w:ilvl w:val="1"/>
          <w:numId w:val="16"/>
        </w:numPr>
      </w:pPr>
      <w:r w:rsidRPr="00C27A36">
        <w:t xml:space="preserve">Every mobile device approved for corporate use must be configured to time-out when the device is not in use with a maximum of 15 minutes of inactivity. This time-out will force user authentication after the time-out duration has been met. The time-out duration and additional configuration items must meet </w:t>
      </w:r>
      <w:r>
        <w:t>Alight</w:t>
      </w:r>
      <w:r w:rsidRPr="00C27A36">
        <w:t xml:space="preserve">’s documented standards for securing mobile devices.    </w:t>
      </w:r>
    </w:p>
    <w:p w:rsidR="002F4425" w:rsidRPr="00C27A36" w:rsidRDefault="002F4425" w:rsidP="002F4425">
      <w:pPr>
        <w:pStyle w:val="NormalDS"/>
        <w:numPr>
          <w:ilvl w:val="1"/>
          <w:numId w:val="16"/>
        </w:numPr>
      </w:pPr>
      <w:r w:rsidRPr="00C27A36">
        <w:t xml:space="preserve">Business or client sensitive data will not be sent from a mobile device that is not part of the Mobility Freedom Program or that has not been approved by </w:t>
      </w:r>
      <w:r>
        <w:t>Alight</w:t>
      </w:r>
      <w:r w:rsidRPr="00C27A36">
        <w:t xml:space="preserve">. </w:t>
      </w:r>
      <w:proofErr w:type="spellStart"/>
      <w:r w:rsidRPr="00C27A36">
        <w:t>SecureMail</w:t>
      </w:r>
      <w:proofErr w:type="spellEnd"/>
      <w:r w:rsidRPr="00C27A36">
        <w:t xml:space="preserve"> services will be utilized at all times and the colleague is required to use corporate email and other related systems for the proper management and security of business and client data.</w:t>
      </w:r>
    </w:p>
    <w:p w:rsidR="002F4425" w:rsidRPr="00C27A36" w:rsidRDefault="002F4425" w:rsidP="002F4425">
      <w:pPr>
        <w:pStyle w:val="NormalDS"/>
        <w:numPr>
          <w:ilvl w:val="1"/>
          <w:numId w:val="16"/>
        </w:numPr>
      </w:pPr>
      <w:r w:rsidRPr="00C27A36">
        <w:t xml:space="preserve">The device operating system software must be kept current and up-to-date.  This will ensure the latest security patches are deployed and therefore reducing known industry and </w:t>
      </w:r>
      <w:r w:rsidRPr="00C27A36">
        <w:lastRenderedPageBreak/>
        <w:t xml:space="preserve">environmental risks to </w:t>
      </w:r>
      <w:r>
        <w:t>Alight</w:t>
      </w:r>
      <w:r w:rsidRPr="00C27A36">
        <w:t xml:space="preserve">. Minimal device requirements as well as required updates will be managed by the </w:t>
      </w:r>
      <w:r>
        <w:t>Alight</w:t>
      </w:r>
      <w:r w:rsidRPr="00C27A36">
        <w:t xml:space="preserve"> Corporate IT department and in support of </w:t>
      </w:r>
      <w:r>
        <w:t>Alight</w:t>
      </w:r>
      <w:r w:rsidRPr="00C27A36">
        <w:t>’s Mobility Freedom Program.</w:t>
      </w:r>
    </w:p>
    <w:p w:rsidR="002F4425" w:rsidRPr="00C27A36" w:rsidRDefault="002F4425" w:rsidP="002F4425">
      <w:pPr>
        <w:pStyle w:val="NormalDS"/>
        <w:numPr>
          <w:ilvl w:val="1"/>
          <w:numId w:val="16"/>
        </w:numPr>
      </w:pPr>
      <w:r w:rsidRPr="00C27A36">
        <w:t xml:space="preserve">All personal and business related applications as well as related data will be removed automatically from the device after a recognized number of failed logon attempts. </w:t>
      </w:r>
    </w:p>
    <w:p w:rsidR="002F4425" w:rsidRPr="00C27A36" w:rsidRDefault="002F4425" w:rsidP="002F4425">
      <w:pPr>
        <w:pStyle w:val="NormalDS"/>
        <w:numPr>
          <w:ilvl w:val="1"/>
          <w:numId w:val="16"/>
        </w:numPr>
      </w:pPr>
      <w:r w:rsidRPr="00C27A36">
        <w:t xml:space="preserve">The device must be configured to encrypt content with an </w:t>
      </w:r>
      <w:r>
        <w:t>Alight</w:t>
      </w:r>
      <w:r w:rsidRPr="00C27A36">
        <w:t xml:space="preserve"> approved encryption method.  Where the device is not capable of meeting this requirement, additional security software may be necessary to meet the encryption requirements or the device will not be approved for corporate use.</w:t>
      </w:r>
    </w:p>
    <w:p w:rsidR="002F4425" w:rsidRPr="00C27A36" w:rsidRDefault="002F4425" w:rsidP="002F4425">
      <w:pPr>
        <w:pStyle w:val="NormalDS"/>
        <w:numPr>
          <w:ilvl w:val="1"/>
          <w:numId w:val="16"/>
        </w:numPr>
      </w:pPr>
      <w:r w:rsidRPr="00C27A36">
        <w:t xml:space="preserve">The device must be configured to segregate corporate data from personal data. Where the device is not capable of meeting this requirement, additional security software may be necessary to meet the data segmentation requirements or the device will not be approved for corporate use. </w:t>
      </w:r>
    </w:p>
    <w:p w:rsidR="002F4425" w:rsidRPr="00C27A36" w:rsidRDefault="002F4425" w:rsidP="002F4425">
      <w:pPr>
        <w:pStyle w:val="NormalDS"/>
        <w:numPr>
          <w:ilvl w:val="1"/>
          <w:numId w:val="16"/>
        </w:numPr>
      </w:pPr>
      <w:r w:rsidRPr="00C27A36">
        <w:t xml:space="preserve">Colleagues must agree to random spot checks of their </w:t>
      </w:r>
      <w:r>
        <w:t>Alight</w:t>
      </w:r>
      <w:r w:rsidRPr="00C27A36">
        <w:t xml:space="preserve"> issued or colleague owned mobile device and it’s configuration to ensure compliance with all applicable </w:t>
      </w:r>
      <w:proofErr w:type="gramStart"/>
      <w:r>
        <w:t>Alight</w:t>
      </w:r>
      <w:proofErr w:type="gramEnd"/>
      <w:r w:rsidRPr="00C27A36">
        <w:t xml:space="preserve"> policies and standards.  Non-compliance must be address immediately or the device will be removed from corporate use and will be subject to being wiped (erasing all personal and business data) remotely.</w:t>
      </w:r>
    </w:p>
    <w:p w:rsidR="002F4425" w:rsidRPr="00C27A36" w:rsidRDefault="002F4425" w:rsidP="002F4425">
      <w:pPr>
        <w:pStyle w:val="NormalDS"/>
        <w:numPr>
          <w:ilvl w:val="1"/>
          <w:numId w:val="16"/>
        </w:numPr>
      </w:pPr>
      <w:r>
        <w:t>Alight</w:t>
      </w:r>
      <w:r w:rsidRPr="00C27A36">
        <w:t xml:space="preserve"> reserves the right to deploy internet web filtering capabilities to further protect </w:t>
      </w:r>
      <w:r>
        <w:t>Alight</w:t>
      </w:r>
      <w:r w:rsidRPr="00C27A36">
        <w:t xml:space="preserve"> corporate systems and business data as well as client data loss.</w:t>
      </w:r>
    </w:p>
    <w:p w:rsidR="002F4425" w:rsidRPr="00C27A36" w:rsidRDefault="002F4425" w:rsidP="002F4425">
      <w:pPr>
        <w:pStyle w:val="NormalDS"/>
        <w:numPr>
          <w:ilvl w:val="1"/>
          <w:numId w:val="16"/>
        </w:numPr>
      </w:pPr>
      <w:r w:rsidRPr="00C27A36">
        <w:t>Colleague is responsible for identifying and managing local mobile device passwords that connect to corporate networks and systems.  Failure to change and/or update a corporate user’s password that may be stored on the mobile device could result in user lockouts and account disablement.</w:t>
      </w:r>
    </w:p>
    <w:p w:rsidR="002F4425" w:rsidRPr="00C27A36" w:rsidRDefault="002F4425" w:rsidP="002F4425">
      <w:pPr>
        <w:pStyle w:val="NormalDS"/>
        <w:numPr>
          <w:ilvl w:val="1"/>
          <w:numId w:val="16"/>
        </w:numPr>
      </w:pPr>
      <w:r w:rsidRPr="00C27A36">
        <w:t xml:space="preserve">The use of cloud computing services to store and/or transfer managed </w:t>
      </w:r>
      <w:r>
        <w:t>Alight</w:t>
      </w:r>
      <w:r w:rsidRPr="00C27A36">
        <w:t xml:space="preserve"> and </w:t>
      </w:r>
      <w:r>
        <w:t>Alight</w:t>
      </w:r>
      <w:r w:rsidRPr="00C27A36">
        <w:t xml:space="preserve"> client data is limited to solutions that have been approved by </w:t>
      </w:r>
      <w:r>
        <w:t>Alight</w:t>
      </w:r>
      <w:r w:rsidRPr="00C27A36">
        <w:t>’s Corporate IT and Global Security Services departments.</w:t>
      </w:r>
    </w:p>
    <w:p w:rsidR="002F4425" w:rsidRPr="009E44AF" w:rsidRDefault="002F4425" w:rsidP="002F4425">
      <w:pPr>
        <w:pStyle w:val="Heading3"/>
        <w:numPr>
          <w:ilvl w:val="0"/>
          <w:numId w:val="16"/>
        </w:numPr>
      </w:pPr>
      <w:r w:rsidRPr="009E44AF">
        <w:t>Corporate Owned Mobile Devices</w:t>
      </w:r>
    </w:p>
    <w:p w:rsidR="002F4425" w:rsidRPr="00212F95" w:rsidRDefault="002F4425" w:rsidP="002F4425">
      <w:pPr>
        <w:pStyle w:val="NormalDS"/>
      </w:pPr>
      <w:r>
        <w:t>Alight</w:t>
      </w:r>
      <w:r w:rsidRPr="00212F95">
        <w:t xml:space="preserve"> Corporate owned smartphone and tablet devices are centrally managed by </w:t>
      </w:r>
      <w:r>
        <w:t>Alight</w:t>
      </w:r>
      <w:r w:rsidRPr="00212F95">
        <w:t xml:space="preserve"> Corporate IT Services. </w:t>
      </w:r>
    </w:p>
    <w:p w:rsidR="002F4425" w:rsidRPr="00212F95" w:rsidRDefault="002F4425" w:rsidP="002F4425">
      <w:pPr>
        <w:pStyle w:val="NormalDS"/>
      </w:pPr>
      <w:r w:rsidRPr="00212F95">
        <w:t xml:space="preserve">Specifically, </w:t>
      </w:r>
      <w:proofErr w:type="gramStart"/>
      <w:r>
        <w:t>Alight</w:t>
      </w:r>
      <w:proofErr w:type="gramEnd"/>
      <w:r w:rsidRPr="00212F95">
        <w:t xml:space="preserve"> colleagues are responsible for:</w:t>
      </w:r>
    </w:p>
    <w:p w:rsidR="002F4425" w:rsidRPr="00212F95" w:rsidRDefault="002F4425" w:rsidP="002F4425">
      <w:pPr>
        <w:pStyle w:val="NormalDS"/>
        <w:numPr>
          <w:ilvl w:val="1"/>
          <w:numId w:val="16"/>
        </w:numPr>
      </w:pPr>
      <w:r w:rsidRPr="00212F95">
        <w:t xml:space="preserve">The use of mobile devices to connect, access, and manage corporate systems must be approved by the colleague’s management and </w:t>
      </w:r>
      <w:r>
        <w:t xml:space="preserve">Alight’s </w:t>
      </w:r>
      <w:r w:rsidRPr="00212F95">
        <w:t>Corporate IT</w:t>
      </w:r>
      <w:r>
        <w:t xml:space="preserve"> department</w:t>
      </w:r>
      <w:r w:rsidRPr="00212F95">
        <w:t xml:space="preserve">.  Approval is subject to proper justification and documented business need.  As that need changes, the colleague may be asked to provide additional justification in order to continue use of an approved mobile device to access corporate applications and related systems.    </w:t>
      </w:r>
    </w:p>
    <w:p w:rsidR="002F4425" w:rsidRPr="00212F95" w:rsidRDefault="002F4425" w:rsidP="002F4425">
      <w:pPr>
        <w:pStyle w:val="NormalDS"/>
        <w:numPr>
          <w:ilvl w:val="1"/>
          <w:numId w:val="16"/>
        </w:numPr>
      </w:pPr>
      <w:r w:rsidRPr="00212F95">
        <w:lastRenderedPageBreak/>
        <w:t>Installation of software updates and security patches.  Th</w:t>
      </w:r>
      <w:r>
        <w:t>ese</w:t>
      </w:r>
      <w:r w:rsidRPr="00212F95">
        <w:t xml:space="preserve"> updates must be </w:t>
      </w:r>
      <w:r>
        <w:t xml:space="preserve">made </w:t>
      </w:r>
      <w:r w:rsidRPr="00212F95">
        <w:t>timely to ensure the latest security measure</w:t>
      </w:r>
      <w:r>
        <w:t>s</w:t>
      </w:r>
      <w:r w:rsidRPr="00212F95">
        <w:t xml:space="preserve"> are deploy</w:t>
      </w:r>
      <w:r>
        <w:t>ed</w:t>
      </w:r>
      <w:r w:rsidRPr="00212F95">
        <w:t xml:space="preserve"> on each mobile device.</w:t>
      </w:r>
      <w:r>
        <w:t xml:space="preserve"> Minimal device requirements as well as required updates will be managed by the Alight Corporate IT department and in support of Alight’s Mobility Freedom Program.</w:t>
      </w:r>
    </w:p>
    <w:p w:rsidR="002F4425" w:rsidRDefault="002F4425" w:rsidP="002F4425">
      <w:pPr>
        <w:pStyle w:val="NormalDS"/>
        <w:numPr>
          <w:ilvl w:val="1"/>
          <w:numId w:val="16"/>
        </w:numPr>
      </w:pPr>
      <w:r w:rsidRPr="00212F95">
        <w:t xml:space="preserve">Reporting a lost or stolen device immediately to </w:t>
      </w:r>
      <w:proofErr w:type="gramStart"/>
      <w:r>
        <w:t>Alight</w:t>
      </w:r>
      <w:proofErr w:type="gramEnd"/>
      <w:r w:rsidRPr="00212F95">
        <w:t xml:space="preserve"> management or </w:t>
      </w:r>
      <w:r>
        <w:t xml:space="preserve">other </w:t>
      </w:r>
      <w:r w:rsidRPr="00212F95">
        <w:t>personnel responsible for safe guarding mobile devices used for corporate computing.</w:t>
      </w:r>
    </w:p>
    <w:p w:rsidR="002F4425" w:rsidRPr="00212F95" w:rsidRDefault="002F4425" w:rsidP="002F4425">
      <w:pPr>
        <w:pStyle w:val="NormalDS"/>
        <w:numPr>
          <w:ilvl w:val="1"/>
          <w:numId w:val="16"/>
        </w:numPr>
      </w:pPr>
      <w:r w:rsidRPr="00212F95">
        <w:t>Colleagues are responsible for reporting damage to or known issues with corporate devices as a hardware or software malfunction could result in a loss of security controls.</w:t>
      </w:r>
    </w:p>
    <w:p w:rsidR="002F4425" w:rsidRPr="00212F95" w:rsidRDefault="002F4425" w:rsidP="002F4425">
      <w:pPr>
        <w:pStyle w:val="NormalDS"/>
        <w:numPr>
          <w:ilvl w:val="1"/>
          <w:numId w:val="16"/>
        </w:numPr>
      </w:pPr>
      <w:r w:rsidRPr="00212F95">
        <w:t xml:space="preserve">Colleagues are responsible for the timely return of corporate issued devices when the mobile device is no longer required or upon separation from </w:t>
      </w:r>
      <w:r>
        <w:t>Alight</w:t>
      </w:r>
      <w:r w:rsidRPr="00212F95">
        <w:t>.</w:t>
      </w:r>
    </w:p>
    <w:p w:rsidR="002F4425" w:rsidRDefault="002F4425" w:rsidP="002F4425">
      <w:pPr>
        <w:pStyle w:val="NormalDS"/>
        <w:numPr>
          <w:ilvl w:val="1"/>
          <w:numId w:val="16"/>
        </w:numPr>
      </w:pPr>
      <w:r w:rsidRPr="00212F95">
        <w:t xml:space="preserve">Colleagues are responsible for formally reporting any and all known security concerns related to </w:t>
      </w:r>
      <w:r>
        <w:t xml:space="preserve">their Alight issued or colleague owned mobile device, </w:t>
      </w:r>
      <w:r w:rsidRPr="00212F95">
        <w:t>applications</w:t>
      </w:r>
      <w:r>
        <w:t>,</w:t>
      </w:r>
      <w:r w:rsidRPr="00212F95">
        <w:t xml:space="preserve"> and related systems</w:t>
      </w:r>
      <w:r>
        <w:t xml:space="preserve"> used to conduct </w:t>
      </w:r>
      <w:proofErr w:type="gramStart"/>
      <w:r>
        <w:t>Alight</w:t>
      </w:r>
      <w:proofErr w:type="gramEnd"/>
      <w:r>
        <w:t xml:space="preserve"> business</w:t>
      </w:r>
      <w:r w:rsidRPr="00212F95">
        <w:t>.</w:t>
      </w:r>
    </w:p>
    <w:p w:rsidR="002F4425" w:rsidRDefault="002F4425" w:rsidP="002F4425">
      <w:pPr>
        <w:pStyle w:val="NormalDS"/>
        <w:numPr>
          <w:ilvl w:val="1"/>
          <w:numId w:val="16"/>
        </w:numPr>
      </w:pPr>
      <w:r w:rsidRPr="00212F95">
        <w:t xml:space="preserve">Colleagues are responsible for formally reporting abuse by other colleagues that are using corporate mobile devices inappropriately and not for their intended business use.  This could include the storing and transmission of inappropriate material that could be found offensive </w:t>
      </w:r>
      <w:r>
        <w:t xml:space="preserve">by others </w:t>
      </w:r>
      <w:r w:rsidRPr="00212F95">
        <w:t>and serves no business purpose</w:t>
      </w:r>
      <w:r>
        <w:t>.</w:t>
      </w:r>
    </w:p>
    <w:p w:rsidR="002F4425" w:rsidRPr="00FA22B2" w:rsidRDefault="002F4425" w:rsidP="002F4425">
      <w:pPr>
        <w:pStyle w:val="Heading3"/>
        <w:numPr>
          <w:ilvl w:val="0"/>
          <w:numId w:val="16"/>
        </w:numPr>
      </w:pPr>
      <w:r w:rsidRPr="00FA22B2">
        <w:t>Colleague Owned Mobile Devices</w:t>
      </w:r>
    </w:p>
    <w:p w:rsidR="002F4425" w:rsidRPr="00FA22B2" w:rsidRDefault="002F4425" w:rsidP="002F4425">
      <w:pPr>
        <w:pStyle w:val="NormalDS"/>
      </w:pPr>
      <w:r w:rsidRPr="00FA22B2">
        <w:t xml:space="preserve">The use of personal smartphones or other mobile devices will qualify for limited support by </w:t>
      </w:r>
      <w:r>
        <w:t>Alight</w:t>
      </w:r>
      <w:r w:rsidRPr="00FA22B2">
        <w:t xml:space="preserve">’s Global Service Desk (noted in the next section).  Colleague owned mobile devices are not centrally managed by </w:t>
      </w:r>
      <w:r>
        <w:t>Alight</w:t>
      </w:r>
      <w:r w:rsidRPr="00FA22B2">
        <w:t xml:space="preserve"> and therefore technical user support for hardware/software related issues is the sole responsibility of the device owner. </w:t>
      </w:r>
    </w:p>
    <w:p w:rsidR="002F4425" w:rsidRPr="00FA22B2" w:rsidRDefault="002F4425" w:rsidP="002F4425">
      <w:pPr>
        <w:pStyle w:val="NormalDS"/>
      </w:pPr>
      <w:r w:rsidRPr="00FA22B2">
        <w:t>Specifically, the device owner and/or user are responsible for:</w:t>
      </w:r>
    </w:p>
    <w:p w:rsidR="002F4425" w:rsidRPr="00FA22B2" w:rsidRDefault="002F4425" w:rsidP="002F4425">
      <w:pPr>
        <w:pStyle w:val="NormalDS"/>
        <w:numPr>
          <w:ilvl w:val="1"/>
          <w:numId w:val="16"/>
        </w:numPr>
      </w:pPr>
      <w:r w:rsidRPr="00FA22B2">
        <w:t>The use of mobile devices to connect, access, and manage corporate systems must be approved by the colleague’s management and Corporate IT.  Approval is subject to proper justification and documented business need.  As that need changes, the colleague may be asked to provide additional justification in order to continue use of an approved mobile device to access corporate applications and related systems.</w:t>
      </w:r>
    </w:p>
    <w:p w:rsidR="002F4425" w:rsidRPr="00FA22B2" w:rsidRDefault="002F4425" w:rsidP="002F4425">
      <w:pPr>
        <w:pStyle w:val="NormalDS"/>
        <w:numPr>
          <w:ilvl w:val="1"/>
          <w:numId w:val="16"/>
        </w:numPr>
      </w:pPr>
      <w:r w:rsidRPr="00FA22B2">
        <w:t>Settling any service or billing disputes with their carrier.</w:t>
      </w:r>
    </w:p>
    <w:p w:rsidR="002F4425" w:rsidRPr="00FA22B2" w:rsidRDefault="002F4425" w:rsidP="002F4425">
      <w:pPr>
        <w:pStyle w:val="NormalDS"/>
        <w:numPr>
          <w:ilvl w:val="1"/>
          <w:numId w:val="16"/>
        </w:numPr>
      </w:pPr>
      <w:r w:rsidRPr="00FA22B2">
        <w:t>Purchasing any required software that is not provided by the manufacturer or wireless carrier.</w:t>
      </w:r>
    </w:p>
    <w:p w:rsidR="002F4425" w:rsidRPr="00FA22B2" w:rsidRDefault="002F4425" w:rsidP="002F4425">
      <w:pPr>
        <w:pStyle w:val="NormalDS"/>
        <w:numPr>
          <w:ilvl w:val="1"/>
          <w:numId w:val="16"/>
        </w:numPr>
      </w:pPr>
      <w:r w:rsidRPr="00FA22B2">
        <w:t>Device registration with the 3rd party vendor and/or service provider.</w:t>
      </w:r>
    </w:p>
    <w:p w:rsidR="002F4425" w:rsidRPr="00FA22B2" w:rsidRDefault="002F4425" w:rsidP="002F4425">
      <w:pPr>
        <w:pStyle w:val="NormalDS"/>
        <w:numPr>
          <w:ilvl w:val="1"/>
          <w:numId w:val="16"/>
        </w:numPr>
      </w:pPr>
      <w:r w:rsidRPr="00FA22B2">
        <w:t>Maintaining and managing any necessary warranty information or claims.</w:t>
      </w:r>
    </w:p>
    <w:p w:rsidR="002F4425" w:rsidRPr="00FA22B2" w:rsidRDefault="002F4425" w:rsidP="002F4425">
      <w:pPr>
        <w:pStyle w:val="NormalDS"/>
        <w:numPr>
          <w:ilvl w:val="1"/>
          <w:numId w:val="16"/>
        </w:numPr>
      </w:pPr>
      <w:r w:rsidRPr="00FA22B2">
        <w:t>Mobile device battery replacement due to failure or loss of ability to hold a charge.</w:t>
      </w:r>
    </w:p>
    <w:p w:rsidR="002F4425" w:rsidRPr="00FA22B2" w:rsidRDefault="002F4425" w:rsidP="002F4425">
      <w:pPr>
        <w:pStyle w:val="NormalDS"/>
        <w:numPr>
          <w:ilvl w:val="1"/>
          <w:numId w:val="16"/>
        </w:numPr>
      </w:pPr>
      <w:r w:rsidRPr="00FA22B2">
        <w:lastRenderedPageBreak/>
        <w:t>Backing up all data, settings, media, and required applications.</w:t>
      </w:r>
    </w:p>
    <w:p w:rsidR="002F4425" w:rsidRPr="00FA22B2" w:rsidRDefault="002F4425" w:rsidP="002F4425">
      <w:pPr>
        <w:pStyle w:val="NormalDS"/>
        <w:numPr>
          <w:ilvl w:val="1"/>
          <w:numId w:val="16"/>
        </w:numPr>
      </w:pPr>
      <w:r w:rsidRPr="00FA22B2">
        <w:t>Installation of software updates and security patches.</w:t>
      </w:r>
    </w:p>
    <w:p w:rsidR="002F4425" w:rsidRPr="00FA22B2" w:rsidRDefault="002F4425" w:rsidP="002F4425">
      <w:pPr>
        <w:pStyle w:val="NormalDS"/>
        <w:numPr>
          <w:ilvl w:val="1"/>
          <w:numId w:val="16"/>
        </w:numPr>
      </w:pPr>
      <w:r w:rsidRPr="00FA22B2">
        <w:t xml:space="preserve">Device registration with </w:t>
      </w:r>
      <w:r>
        <w:t>Alight</w:t>
      </w:r>
      <w:r w:rsidRPr="00FA22B2">
        <w:t xml:space="preserve"> Corporate IT Services.</w:t>
      </w:r>
    </w:p>
    <w:p w:rsidR="002F4425" w:rsidRPr="00FA22B2" w:rsidRDefault="002F4425" w:rsidP="002F4425">
      <w:pPr>
        <w:pStyle w:val="Heading3"/>
        <w:numPr>
          <w:ilvl w:val="0"/>
          <w:numId w:val="16"/>
        </w:numPr>
      </w:pPr>
      <w:r w:rsidRPr="00FA22B2">
        <w:t>Global Service Desk Responsibility</w:t>
      </w:r>
    </w:p>
    <w:p w:rsidR="002F4425" w:rsidRPr="00212F95" w:rsidRDefault="002F4425" w:rsidP="002F4425">
      <w:pPr>
        <w:pStyle w:val="NormalDS"/>
      </w:pPr>
      <w:r w:rsidRPr="00212F95">
        <w:t xml:space="preserve">The following </w:t>
      </w:r>
      <w:r>
        <w:t>Alight</w:t>
      </w:r>
      <w:r w:rsidRPr="00212F95">
        <w:t xml:space="preserve"> </w:t>
      </w:r>
      <w:r>
        <w:t xml:space="preserve">Corporate </w:t>
      </w:r>
      <w:r w:rsidRPr="00212F95">
        <w:t xml:space="preserve">IT services are related to the use of </w:t>
      </w:r>
      <w:r>
        <w:t xml:space="preserve">colleague owned </w:t>
      </w:r>
      <w:r w:rsidRPr="00212F95">
        <w:t xml:space="preserve">smartphones or other mobile devices for approved business use and through the </w:t>
      </w:r>
      <w:r>
        <w:t>Alight</w:t>
      </w:r>
      <w:r w:rsidRPr="00212F95">
        <w:t xml:space="preserve"> established Mobility Freedom Program:</w:t>
      </w:r>
    </w:p>
    <w:p w:rsidR="002F4425" w:rsidRPr="00212F95" w:rsidRDefault="002F4425" w:rsidP="002F4425">
      <w:pPr>
        <w:pStyle w:val="NormalDS"/>
        <w:ind w:left="720"/>
      </w:pPr>
      <w:r>
        <w:t>5.1 Enabling</w:t>
      </w:r>
      <w:r w:rsidRPr="00212F95">
        <w:t xml:space="preserve"> the </w:t>
      </w:r>
      <w:r>
        <w:t xml:space="preserve">use of colleague owned </w:t>
      </w:r>
      <w:r w:rsidRPr="00212F95">
        <w:t xml:space="preserve">mobile device to access the web-based interface of the corporate email system. </w:t>
      </w:r>
    </w:p>
    <w:p w:rsidR="002F4425" w:rsidRPr="00212F95" w:rsidRDefault="002F4425" w:rsidP="002F4425">
      <w:pPr>
        <w:pStyle w:val="NormalDS"/>
        <w:ind w:left="720"/>
      </w:pPr>
      <w:r>
        <w:t>5.2 Enabling</w:t>
      </w:r>
      <w:r w:rsidRPr="00212F95">
        <w:t xml:space="preserve"> the </w:t>
      </w:r>
      <w:r>
        <w:t xml:space="preserve">use of colleague owned </w:t>
      </w:r>
      <w:r w:rsidRPr="00212F95">
        <w:t>mobile device to access web-based corporate applications and related systems.</w:t>
      </w:r>
    </w:p>
    <w:p w:rsidR="002F4425" w:rsidRPr="00212F95" w:rsidRDefault="002F4425" w:rsidP="002F4425">
      <w:pPr>
        <w:pStyle w:val="NormalDS"/>
        <w:ind w:left="720"/>
      </w:pPr>
      <w:r>
        <w:t>5.3 The</w:t>
      </w:r>
      <w:r w:rsidRPr="00212F95">
        <w:t xml:space="preserve"> configuration of corporate systems </w:t>
      </w:r>
      <w:r>
        <w:t xml:space="preserve">such </w:t>
      </w:r>
      <w:r w:rsidRPr="00212F95">
        <w:t>as Email, Calendar, and Contact sync services.</w:t>
      </w:r>
    </w:p>
    <w:p w:rsidR="002F4425" w:rsidRPr="007A5A24" w:rsidRDefault="002F4425" w:rsidP="002F4425">
      <w:pPr>
        <w:pStyle w:val="NormalDS"/>
        <w:ind w:left="720"/>
      </w:pPr>
      <w:r>
        <w:t xml:space="preserve">5.4 </w:t>
      </w:r>
      <w:r w:rsidRPr="007A5A24">
        <w:t xml:space="preserve">Corporate </w:t>
      </w:r>
      <w:proofErr w:type="gramStart"/>
      <w:r w:rsidRPr="007A5A24">
        <w:t>Wi-</w:t>
      </w:r>
      <w:proofErr w:type="gramEnd"/>
      <w:r w:rsidRPr="007A5A24">
        <w:t xml:space="preserve">Fi network and internet access must be approved and supported by documented policy. This type of Wi-Fi access is limited to </w:t>
      </w:r>
      <w:r>
        <w:t xml:space="preserve">the </w:t>
      </w:r>
      <w:r w:rsidRPr="007A5A24">
        <w:t xml:space="preserve">physical facilities of </w:t>
      </w:r>
      <w:r>
        <w:t>Alight and Alight managed locations.</w:t>
      </w:r>
    </w:p>
    <w:p w:rsidR="002F4425" w:rsidRPr="00212F95" w:rsidRDefault="002F4425" w:rsidP="002F4425">
      <w:pPr>
        <w:pStyle w:val="NormalDS"/>
        <w:rPr>
          <w:color w:val="5EB6E4"/>
        </w:rPr>
      </w:pPr>
      <w:r w:rsidRPr="00212F95">
        <w:t xml:space="preserve">Please note that </w:t>
      </w:r>
      <w:r>
        <w:t xml:space="preserve">colleague owned </w:t>
      </w:r>
      <w:r w:rsidRPr="00212F95">
        <w:t xml:space="preserve">mobile devices that are not compliant with the required </w:t>
      </w:r>
      <w:r>
        <w:t>Alight</w:t>
      </w:r>
      <w:r w:rsidRPr="00212F95">
        <w:t xml:space="preserve"> Security and </w:t>
      </w:r>
      <w:r>
        <w:t xml:space="preserve">Corporate </w:t>
      </w:r>
      <w:r w:rsidRPr="00212F95">
        <w:t>IT standards will be restricted from the</w:t>
      </w:r>
      <w:r>
        <w:t>ir</w:t>
      </w:r>
      <w:r w:rsidRPr="00212F95">
        <w:t xml:space="preserve"> use of </w:t>
      </w:r>
      <w:r>
        <w:t xml:space="preserve">any and all </w:t>
      </w:r>
      <w:r w:rsidRPr="00212F95">
        <w:t>corporate mobile device services.  I</w:t>
      </w:r>
      <w:r>
        <w:t>n</w:t>
      </w:r>
      <w:r w:rsidRPr="00212F95">
        <w:t xml:space="preserve"> some cases, removal of a </w:t>
      </w:r>
      <w:r>
        <w:t xml:space="preserve">colleague owned </w:t>
      </w:r>
      <w:r w:rsidRPr="00212F95">
        <w:t xml:space="preserve">mobile device may be performed without notification or advanced warning due to a known security risk to </w:t>
      </w:r>
      <w:r>
        <w:t>Alight</w:t>
      </w:r>
      <w:r w:rsidRPr="00212F95">
        <w:t xml:space="preserve">.      </w:t>
      </w:r>
    </w:p>
    <w:p w:rsidR="002F4425" w:rsidRPr="00FA22B2" w:rsidRDefault="002F4425" w:rsidP="002F4425">
      <w:pPr>
        <w:pStyle w:val="Heading3"/>
        <w:numPr>
          <w:ilvl w:val="0"/>
          <w:numId w:val="17"/>
        </w:numPr>
      </w:pPr>
      <w:r w:rsidRPr="00FA22B2">
        <w:t xml:space="preserve">Colleague Owned Access Registration Requirement </w:t>
      </w:r>
    </w:p>
    <w:p w:rsidR="002F4425" w:rsidRPr="00212F95" w:rsidRDefault="002F4425" w:rsidP="002F4425">
      <w:pPr>
        <w:pStyle w:val="NormalDS"/>
      </w:pPr>
      <w:r w:rsidRPr="00212F95">
        <w:t>To comply with this specific policy, the mobile device user must agree to:</w:t>
      </w:r>
    </w:p>
    <w:p w:rsidR="002F4425" w:rsidRDefault="002F4425" w:rsidP="002F4425">
      <w:pPr>
        <w:pStyle w:val="NormalDS"/>
        <w:numPr>
          <w:ilvl w:val="1"/>
          <w:numId w:val="17"/>
        </w:numPr>
      </w:pPr>
      <w:r>
        <w:t>Device must be r</w:t>
      </w:r>
      <w:r w:rsidRPr="00212F95">
        <w:t>egister</w:t>
      </w:r>
      <w:r>
        <w:t>ed and be properly managed in the Mobility Freedom Program that is being governed by Alight’s Corporate IT department.</w:t>
      </w:r>
    </w:p>
    <w:p w:rsidR="002F4425" w:rsidRPr="00212F95" w:rsidRDefault="002F4425" w:rsidP="002F4425">
      <w:pPr>
        <w:pStyle w:val="NormalDS"/>
        <w:numPr>
          <w:ilvl w:val="1"/>
          <w:numId w:val="17"/>
        </w:numPr>
      </w:pPr>
      <w:r w:rsidRPr="00212F95">
        <w:t>Device Reset and Data Deletion rules that are documented in this policy.</w:t>
      </w:r>
    </w:p>
    <w:p w:rsidR="002F4425" w:rsidRPr="00212F95" w:rsidRDefault="002F4425" w:rsidP="002F4425">
      <w:pPr>
        <w:pStyle w:val="NormalDS"/>
        <w:numPr>
          <w:ilvl w:val="1"/>
          <w:numId w:val="17"/>
        </w:numPr>
      </w:pPr>
      <w:r w:rsidRPr="00212F95">
        <w:t xml:space="preserve">Device must support data encryption or user must purchase software to ensure data on the mobile device is </w:t>
      </w:r>
      <w:r>
        <w:t xml:space="preserve">properly </w:t>
      </w:r>
      <w:r w:rsidRPr="00212F95">
        <w:t>encrypted</w:t>
      </w:r>
      <w:r>
        <w:t xml:space="preserve"> and protected</w:t>
      </w:r>
      <w:r w:rsidRPr="00212F95">
        <w:t>.</w:t>
      </w:r>
    </w:p>
    <w:p w:rsidR="002F4425" w:rsidRPr="00212F95" w:rsidRDefault="002F4425" w:rsidP="002F4425">
      <w:pPr>
        <w:pStyle w:val="NormalDS"/>
        <w:numPr>
          <w:ilvl w:val="1"/>
          <w:numId w:val="17"/>
        </w:numPr>
      </w:pPr>
      <w:r w:rsidRPr="00212F95">
        <w:t xml:space="preserve">The installation of </w:t>
      </w:r>
      <w:r>
        <w:t>Alight</w:t>
      </w:r>
      <w:r w:rsidRPr="00212F95">
        <w:t xml:space="preserve">’s approved Mobile Device Management solution for the proper management and security of </w:t>
      </w:r>
      <w:r>
        <w:t xml:space="preserve">colleague owned </w:t>
      </w:r>
      <w:r w:rsidRPr="00212F95">
        <w:t>mobile devices.</w:t>
      </w:r>
    </w:p>
    <w:p w:rsidR="002F4425" w:rsidRDefault="002F4425" w:rsidP="002F4425">
      <w:pPr>
        <w:pStyle w:val="NormalDS"/>
        <w:numPr>
          <w:ilvl w:val="1"/>
          <w:numId w:val="17"/>
        </w:numPr>
      </w:pPr>
      <w:r w:rsidRPr="00212F95">
        <w:t xml:space="preserve">Acceptance of Corporate Mobile Device Acceptable Use and all other published </w:t>
      </w:r>
      <w:r>
        <w:t>Global Security Services</w:t>
      </w:r>
      <w:r w:rsidRPr="00212F95">
        <w:t xml:space="preserve"> policy and standards. </w:t>
      </w:r>
    </w:p>
    <w:p w:rsidR="002F4425" w:rsidRPr="00FA22B2" w:rsidRDefault="002F4425" w:rsidP="002F4425">
      <w:pPr>
        <w:pStyle w:val="Heading3"/>
        <w:numPr>
          <w:ilvl w:val="0"/>
          <w:numId w:val="17"/>
        </w:numPr>
      </w:pPr>
      <w:r w:rsidRPr="00FA22B2">
        <w:lastRenderedPageBreak/>
        <w:t>Wi-Fi Network Access</w:t>
      </w:r>
    </w:p>
    <w:p w:rsidR="002F4425" w:rsidRPr="00212F95" w:rsidRDefault="002F4425" w:rsidP="002F4425">
      <w:pPr>
        <w:pStyle w:val="NormalDS"/>
      </w:pPr>
      <w:r w:rsidRPr="00212F95">
        <w:t xml:space="preserve">All </w:t>
      </w:r>
      <w:r>
        <w:t>Wi-Fi</w:t>
      </w:r>
      <w:r w:rsidRPr="00212F95">
        <w:t xml:space="preserve"> LAN access provisioned to </w:t>
      </w:r>
      <w:r>
        <w:t>Alight’s corporate or guest networks</w:t>
      </w:r>
      <w:r w:rsidRPr="00212F95">
        <w:t xml:space="preserve"> must use approved vendor</w:t>
      </w:r>
      <w:r>
        <w:t xml:space="preserve">s, </w:t>
      </w:r>
      <w:r w:rsidRPr="00212F95">
        <w:t>products and security configurations</w:t>
      </w:r>
      <w:r>
        <w:t xml:space="preserve">, to meet </w:t>
      </w:r>
      <w:proofErr w:type="gramStart"/>
      <w:r>
        <w:t>Alight</w:t>
      </w:r>
      <w:proofErr w:type="gramEnd"/>
      <w:r>
        <w:t xml:space="preserve"> published policy and standards</w:t>
      </w:r>
      <w:r w:rsidRPr="00212F95">
        <w:t xml:space="preserve">. </w:t>
      </w:r>
      <w:r>
        <w:t>Alight</w:t>
      </w:r>
      <w:r w:rsidRPr="00212F95">
        <w:t xml:space="preserve"> owned assets and those explicitly allowed per </w:t>
      </w:r>
      <w:r>
        <w:t xml:space="preserve">this policy </w:t>
      </w:r>
      <w:r w:rsidRPr="00212F95">
        <w:t xml:space="preserve">are the only devices that can be approved and authorized for use on </w:t>
      </w:r>
      <w:r>
        <w:t>Alight’s corporate or guest networks and related infrastructure.</w:t>
      </w:r>
    </w:p>
    <w:p w:rsidR="002F4425" w:rsidRDefault="002F4425" w:rsidP="002F4425">
      <w:pPr>
        <w:pStyle w:val="NormalDS"/>
      </w:pPr>
      <w:r>
        <w:t xml:space="preserve">Colleagues </w:t>
      </w:r>
      <w:r w:rsidRPr="00212F95">
        <w:t xml:space="preserve">who are approved </w:t>
      </w:r>
      <w:r>
        <w:t>to use an Alight issued or personal device for business can</w:t>
      </w:r>
      <w:r w:rsidRPr="00212F95">
        <w:t xml:space="preserve"> connect to the </w:t>
      </w:r>
      <w:proofErr w:type="gramStart"/>
      <w:r>
        <w:t>Alight</w:t>
      </w:r>
      <w:proofErr w:type="gramEnd"/>
      <w:r w:rsidRPr="00212F95">
        <w:t xml:space="preserve"> </w:t>
      </w:r>
      <w:r>
        <w:t xml:space="preserve">guest </w:t>
      </w:r>
      <w:r w:rsidRPr="00212F95">
        <w:t xml:space="preserve">Wi-Fi network to access </w:t>
      </w:r>
      <w:r>
        <w:t>c</w:t>
      </w:r>
      <w:r w:rsidRPr="00212F95">
        <w:t xml:space="preserve">orporate systems and resources </w:t>
      </w:r>
      <w:r>
        <w:t xml:space="preserve">that are </w:t>
      </w:r>
      <w:r w:rsidRPr="00212F95">
        <w:t>available via the internet.</w:t>
      </w:r>
      <w:r>
        <w:t xml:space="preserve"> </w:t>
      </w:r>
      <w:r w:rsidRPr="00B469F9">
        <w:t>Corporate</w:t>
      </w:r>
      <w:r>
        <w:t xml:space="preserve"> (</w:t>
      </w:r>
      <w:r w:rsidRPr="00B469F9">
        <w:t>internal</w:t>
      </w:r>
      <w:r>
        <w:t>)</w:t>
      </w:r>
      <w:r w:rsidRPr="00B469F9">
        <w:t xml:space="preserve"> Wi-Fi network access is not allowed for </w:t>
      </w:r>
      <w:proofErr w:type="gramStart"/>
      <w:r>
        <w:t>Alight</w:t>
      </w:r>
      <w:proofErr w:type="gramEnd"/>
      <w:r w:rsidRPr="00B469F9">
        <w:t xml:space="preserve"> owned or personal mobile devices</w:t>
      </w:r>
      <w:r>
        <w:t>.</w:t>
      </w:r>
    </w:p>
    <w:p w:rsidR="002F4425" w:rsidRPr="009A2158" w:rsidRDefault="002F4425" w:rsidP="002F4425">
      <w:pPr>
        <w:pStyle w:val="NormalDS"/>
        <w:rPr>
          <w:b/>
          <w:color w:val="5EB6E4"/>
          <w:sz w:val="36"/>
          <w:szCs w:val="36"/>
        </w:rPr>
      </w:pPr>
      <w:r w:rsidRPr="009A2158">
        <w:t xml:space="preserve">Home-based Wi-Fi networks are not supported by </w:t>
      </w:r>
      <w:r>
        <w:t>Alight</w:t>
      </w:r>
      <w:r w:rsidRPr="009A2158">
        <w:t xml:space="preserve"> or </w:t>
      </w:r>
      <w:r>
        <w:t>by Alight</w:t>
      </w:r>
      <w:r w:rsidRPr="009A2158">
        <w:t xml:space="preserve">’s Global Service Desk. If a home-based wireless network is encrypted using WPA or </w:t>
      </w:r>
      <w:r>
        <w:t xml:space="preserve">using </w:t>
      </w:r>
      <w:r w:rsidRPr="009A2158">
        <w:t>later</w:t>
      </w:r>
      <w:r>
        <w:t xml:space="preserve"> technology</w:t>
      </w:r>
      <w:r w:rsidRPr="009A2158">
        <w:t xml:space="preserve">, </w:t>
      </w:r>
      <w:proofErr w:type="gramStart"/>
      <w:r>
        <w:t>Alight</w:t>
      </w:r>
      <w:proofErr w:type="gramEnd"/>
      <w:r w:rsidRPr="009A2158">
        <w:t xml:space="preserve"> equipment may be configured for access to the </w:t>
      </w:r>
      <w:r>
        <w:t xml:space="preserve">home-based wireless </w:t>
      </w:r>
      <w:r w:rsidRPr="009A2158">
        <w:t>network.</w:t>
      </w:r>
      <w:r>
        <w:t xml:space="preserve"> </w:t>
      </w:r>
    </w:p>
    <w:p w:rsidR="002F4425" w:rsidRPr="00FA22B2" w:rsidRDefault="002F4425" w:rsidP="002F4425">
      <w:pPr>
        <w:pStyle w:val="Heading3"/>
        <w:numPr>
          <w:ilvl w:val="0"/>
          <w:numId w:val="18"/>
        </w:numPr>
      </w:pPr>
      <w:r w:rsidRPr="00FA22B2">
        <w:t>Monitor and Protect</w:t>
      </w:r>
    </w:p>
    <w:p w:rsidR="002F4425" w:rsidRPr="00212F95" w:rsidRDefault="002F4425" w:rsidP="002F4425">
      <w:pPr>
        <w:pStyle w:val="NormalDS"/>
      </w:pPr>
      <w:r>
        <w:t>Alight</w:t>
      </w:r>
      <w:r w:rsidRPr="00212F95">
        <w:t xml:space="preserve"> has the right to</w:t>
      </w:r>
      <w:r>
        <w:t xml:space="preserve"> monitor the use of any and all mobile devices when used to access corporate applications and related systems.  This is to further protect Alight from a data loss or other known corporate security risks.</w:t>
      </w:r>
    </w:p>
    <w:p w:rsidR="002F4425" w:rsidRPr="00212F95" w:rsidRDefault="002F4425" w:rsidP="002F4425">
      <w:pPr>
        <w:pStyle w:val="NormalDS"/>
        <w:numPr>
          <w:ilvl w:val="1"/>
          <w:numId w:val="18"/>
        </w:numPr>
      </w:pPr>
      <w:r>
        <w:t>Alight will monitor c</w:t>
      </w:r>
      <w:r w:rsidRPr="00212F95">
        <w:t xml:space="preserve">orporate messaging and </w:t>
      </w:r>
      <w:r>
        <w:t xml:space="preserve">other owned systems to ensure proper use as well as identify risks associated with business or client </w:t>
      </w:r>
      <w:r w:rsidRPr="00212F95">
        <w:t xml:space="preserve">data </w:t>
      </w:r>
      <w:r>
        <w:t xml:space="preserve">that may </w:t>
      </w:r>
      <w:r w:rsidRPr="00212F95">
        <w:t>resid</w:t>
      </w:r>
      <w:r>
        <w:t>e</w:t>
      </w:r>
      <w:r w:rsidRPr="00212F95">
        <w:t xml:space="preserve"> on </w:t>
      </w:r>
      <w:r>
        <w:t>Alight issued or colleague</w:t>
      </w:r>
      <w:r w:rsidRPr="00212F95">
        <w:t xml:space="preserve"> mobile device</w:t>
      </w:r>
      <w:r>
        <w:t>s.</w:t>
      </w:r>
    </w:p>
    <w:p w:rsidR="002F4425" w:rsidRPr="00212F95" w:rsidRDefault="002F4425" w:rsidP="002F4425">
      <w:pPr>
        <w:pStyle w:val="NormalDS"/>
        <w:numPr>
          <w:ilvl w:val="1"/>
          <w:numId w:val="18"/>
        </w:numPr>
      </w:pPr>
      <w:r>
        <w:t>Alight reserves and protects the right to m</w:t>
      </w:r>
      <w:r w:rsidRPr="00212F95">
        <w:t xml:space="preserve">odify, </w:t>
      </w:r>
      <w:r>
        <w:t>delete (</w:t>
      </w:r>
      <w:r w:rsidRPr="00212F95">
        <w:t>including remote wipe</w:t>
      </w:r>
      <w:r>
        <w:t xml:space="preserve"> procedures), and/</w:t>
      </w:r>
      <w:r w:rsidRPr="00212F95">
        <w:t xml:space="preserve">or reset to </w:t>
      </w:r>
      <w:r>
        <w:t xml:space="preserve">hardware </w:t>
      </w:r>
      <w:r w:rsidRPr="00212F95">
        <w:t>factory default</w:t>
      </w:r>
      <w:r>
        <w:t xml:space="preserve">s any and all </w:t>
      </w:r>
      <w:r w:rsidRPr="00212F95">
        <w:t>mobile device</w:t>
      </w:r>
      <w:r>
        <w:t>s</w:t>
      </w:r>
      <w:r w:rsidRPr="00212F95">
        <w:t xml:space="preserve"> </w:t>
      </w:r>
      <w:r>
        <w:t>that access corporate applications and related systems.  In most cases, this level of administration can be performed remotely and with limited to no notification to the colleague.</w:t>
      </w:r>
    </w:p>
    <w:p w:rsidR="002F4425" w:rsidRPr="00FA22B2" w:rsidRDefault="002F4425" w:rsidP="002F4425">
      <w:pPr>
        <w:pStyle w:val="Heading3"/>
        <w:numPr>
          <w:ilvl w:val="0"/>
          <w:numId w:val="18"/>
        </w:numPr>
      </w:pPr>
      <w:r w:rsidRPr="00FA22B2">
        <w:t>Device Reset and Data Deletion</w:t>
      </w:r>
    </w:p>
    <w:p w:rsidR="002F4425" w:rsidRDefault="002F4425" w:rsidP="002F4425">
      <w:pPr>
        <w:pStyle w:val="NormalDS"/>
        <w:ind w:left="360"/>
      </w:pPr>
      <w:r>
        <w:t xml:space="preserve">Colleagues must </w:t>
      </w:r>
      <w:r w:rsidRPr="00212F95">
        <w:t xml:space="preserve">understand and accept </w:t>
      </w:r>
      <w:r>
        <w:t xml:space="preserve">that Alight owned applications and related data that might reside </w:t>
      </w:r>
      <w:r w:rsidRPr="00212F95">
        <w:t xml:space="preserve">on </w:t>
      </w:r>
      <w:r>
        <w:t>a</w:t>
      </w:r>
      <w:r w:rsidRPr="00212F95">
        <w:t xml:space="preserve"> </w:t>
      </w:r>
      <w:r>
        <w:t xml:space="preserve">mobile </w:t>
      </w:r>
      <w:r w:rsidRPr="00212F95">
        <w:t xml:space="preserve">device will be </w:t>
      </w:r>
      <w:r>
        <w:t xml:space="preserve">physically </w:t>
      </w:r>
      <w:r w:rsidRPr="00212F95">
        <w:t>removed</w:t>
      </w:r>
      <w:r>
        <w:t xml:space="preserve"> or deleted </w:t>
      </w:r>
      <w:r w:rsidRPr="00212F95">
        <w:t>remotely under the following circumstances:</w:t>
      </w:r>
    </w:p>
    <w:p w:rsidR="00754BB5" w:rsidRPr="00754BB5" w:rsidRDefault="00754BB5" w:rsidP="00754BB5">
      <w:pPr>
        <w:pStyle w:val="ListParagraph"/>
        <w:numPr>
          <w:ilvl w:val="0"/>
          <w:numId w:val="20"/>
        </w:numPr>
        <w:spacing w:after="240"/>
        <w:contextualSpacing w:val="0"/>
        <w:rPr>
          <w:vanish/>
        </w:rPr>
      </w:pPr>
    </w:p>
    <w:p w:rsidR="00754BB5" w:rsidRPr="00754BB5" w:rsidRDefault="00754BB5" w:rsidP="00754BB5">
      <w:pPr>
        <w:pStyle w:val="ListParagraph"/>
        <w:numPr>
          <w:ilvl w:val="0"/>
          <w:numId w:val="20"/>
        </w:numPr>
        <w:spacing w:after="240"/>
        <w:contextualSpacing w:val="0"/>
        <w:rPr>
          <w:vanish/>
        </w:rPr>
      </w:pPr>
    </w:p>
    <w:p w:rsidR="00754BB5" w:rsidRPr="00754BB5" w:rsidRDefault="00754BB5" w:rsidP="00754BB5">
      <w:pPr>
        <w:pStyle w:val="ListParagraph"/>
        <w:numPr>
          <w:ilvl w:val="0"/>
          <w:numId w:val="20"/>
        </w:numPr>
        <w:spacing w:after="240"/>
        <w:contextualSpacing w:val="0"/>
        <w:rPr>
          <w:vanish/>
        </w:rPr>
      </w:pPr>
    </w:p>
    <w:p w:rsidR="00754BB5" w:rsidRPr="00754BB5" w:rsidRDefault="00754BB5" w:rsidP="00754BB5">
      <w:pPr>
        <w:pStyle w:val="ListParagraph"/>
        <w:numPr>
          <w:ilvl w:val="0"/>
          <w:numId w:val="20"/>
        </w:numPr>
        <w:spacing w:after="240"/>
        <w:contextualSpacing w:val="0"/>
        <w:rPr>
          <w:vanish/>
        </w:rPr>
      </w:pPr>
    </w:p>
    <w:p w:rsidR="00754BB5" w:rsidRPr="00754BB5" w:rsidRDefault="00754BB5" w:rsidP="00754BB5">
      <w:pPr>
        <w:pStyle w:val="ListParagraph"/>
        <w:numPr>
          <w:ilvl w:val="0"/>
          <w:numId w:val="20"/>
        </w:numPr>
        <w:spacing w:after="240"/>
        <w:contextualSpacing w:val="0"/>
        <w:rPr>
          <w:vanish/>
        </w:rPr>
      </w:pPr>
    </w:p>
    <w:p w:rsidR="00754BB5" w:rsidRPr="00754BB5" w:rsidRDefault="00754BB5" w:rsidP="00754BB5">
      <w:pPr>
        <w:pStyle w:val="ListParagraph"/>
        <w:numPr>
          <w:ilvl w:val="0"/>
          <w:numId w:val="20"/>
        </w:numPr>
        <w:spacing w:after="240"/>
        <w:contextualSpacing w:val="0"/>
        <w:rPr>
          <w:vanish/>
        </w:rPr>
      </w:pPr>
    </w:p>
    <w:p w:rsidR="00754BB5" w:rsidRPr="00754BB5" w:rsidRDefault="00754BB5" w:rsidP="00754BB5">
      <w:pPr>
        <w:pStyle w:val="ListParagraph"/>
        <w:numPr>
          <w:ilvl w:val="0"/>
          <w:numId w:val="20"/>
        </w:numPr>
        <w:spacing w:after="240"/>
        <w:contextualSpacing w:val="0"/>
        <w:rPr>
          <w:vanish/>
        </w:rPr>
      </w:pPr>
    </w:p>
    <w:p w:rsidR="00754BB5" w:rsidRPr="00754BB5" w:rsidRDefault="00754BB5" w:rsidP="00754BB5">
      <w:pPr>
        <w:pStyle w:val="ListParagraph"/>
        <w:numPr>
          <w:ilvl w:val="0"/>
          <w:numId w:val="20"/>
        </w:numPr>
        <w:spacing w:after="240"/>
        <w:contextualSpacing w:val="0"/>
        <w:rPr>
          <w:vanish/>
        </w:rPr>
      </w:pPr>
    </w:p>
    <w:p w:rsidR="00754BB5" w:rsidRPr="00754BB5" w:rsidRDefault="00754BB5" w:rsidP="00754BB5">
      <w:pPr>
        <w:pStyle w:val="ListParagraph"/>
        <w:numPr>
          <w:ilvl w:val="0"/>
          <w:numId w:val="20"/>
        </w:numPr>
        <w:spacing w:after="240"/>
        <w:contextualSpacing w:val="0"/>
        <w:rPr>
          <w:vanish/>
        </w:rPr>
      </w:pPr>
    </w:p>
    <w:p w:rsidR="002F4425" w:rsidRPr="00FA22B2" w:rsidRDefault="002F4425" w:rsidP="00754BB5">
      <w:pPr>
        <w:pStyle w:val="NormalDS"/>
        <w:numPr>
          <w:ilvl w:val="1"/>
          <w:numId w:val="20"/>
        </w:numPr>
      </w:pPr>
      <w:r w:rsidRPr="009E44AF">
        <w:t xml:space="preserve">The </w:t>
      </w:r>
      <w:r w:rsidRPr="00FA22B2">
        <w:t>mobile device is reported lost, stolen, or believed to have been compromised.</w:t>
      </w:r>
    </w:p>
    <w:p w:rsidR="002F4425" w:rsidRPr="00FA22B2" w:rsidRDefault="002F4425" w:rsidP="00754BB5">
      <w:pPr>
        <w:pStyle w:val="NormalDS"/>
        <w:numPr>
          <w:ilvl w:val="1"/>
          <w:numId w:val="20"/>
        </w:numPr>
      </w:pPr>
      <w:r w:rsidRPr="00FA22B2">
        <w:t xml:space="preserve">The mobile device is found to be non-compliant with this policy or the business need for use of the mobile device has expired.  </w:t>
      </w:r>
    </w:p>
    <w:p w:rsidR="002F4425" w:rsidRPr="00FA22B2" w:rsidRDefault="002F4425" w:rsidP="00754BB5">
      <w:pPr>
        <w:pStyle w:val="NormalDS"/>
        <w:numPr>
          <w:ilvl w:val="1"/>
          <w:numId w:val="20"/>
        </w:numPr>
      </w:pPr>
      <w:r w:rsidRPr="00FA22B2">
        <w:t>The mobile device inspection is not granted in a timely manner or in accordance with this policy</w:t>
      </w:r>
    </w:p>
    <w:p w:rsidR="002F4425" w:rsidRPr="00FA22B2" w:rsidRDefault="002F4425" w:rsidP="00754BB5">
      <w:pPr>
        <w:pStyle w:val="NormalDS"/>
        <w:numPr>
          <w:ilvl w:val="1"/>
          <w:numId w:val="20"/>
        </w:numPr>
      </w:pPr>
      <w:r w:rsidRPr="00FA22B2">
        <w:t>The mobile device was determined to have been used inappropriately with or without the knowledge of the colleague.</w:t>
      </w:r>
    </w:p>
    <w:p w:rsidR="002F4425" w:rsidRPr="00FA22B2" w:rsidRDefault="002F4425" w:rsidP="00754BB5">
      <w:pPr>
        <w:pStyle w:val="NormalDS"/>
        <w:numPr>
          <w:ilvl w:val="1"/>
          <w:numId w:val="20"/>
        </w:numPr>
      </w:pPr>
      <w:r w:rsidRPr="00FA22B2">
        <w:lastRenderedPageBreak/>
        <w:t xml:space="preserve">The mobile device belongs to a colleague that no longer is employed or has a working relationship with </w:t>
      </w:r>
      <w:r>
        <w:t>Alight</w:t>
      </w:r>
      <w:r w:rsidRPr="00FA22B2">
        <w:t xml:space="preserve">. </w:t>
      </w:r>
    </w:p>
    <w:p w:rsidR="002F4425" w:rsidRPr="00FA22B2" w:rsidRDefault="002F4425" w:rsidP="00754BB5">
      <w:pPr>
        <w:pStyle w:val="NormalDS"/>
        <w:numPr>
          <w:ilvl w:val="1"/>
          <w:numId w:val="20"/>
        </w:numPr>
      </w:pPr>
      <w:r w:rsidRPr="00FA22B2">
        <w:t xml:space="preserve">The colleague or their management requests the removal of the mobile device from the approved Mobility Freedom Program. </w:t>
      </w:r>
    </w:p>
    <w:p w:rsidR="002F4425" w:rsidRPr="00FA22B2" w:rsidRDefault="002F4425" w:rsidP="002F4425">
      <w:pPr>
        <w:pStyle w:val="Heading3"/>
        <w:spacing w:after="0"/>
        <w:jc w:val="both"/>
      </w:pPr>
      <w:r w:rsidRPr="00FA22B2">
        <w:t>Applicable Standards</w:t>
      </w:r>
    </w:p>
    <w:p w:rsidR="002F4425" w:rsidRPr="009B7E7F" w:rsidRDefault="002F4425" w:rsidP="002F4425">
      <w:pPr>
        <w:pStyle w:val="NormalDS"/>
        <w:numPr>
          <w:ilvl w:val="0"/>
          <w:numId w:val="14"/>
        </w:numPr>
      </w:pPr>
      <w:r>
        <w:t>None</w:t>
      </w:r>
    </w:p>
    <w:p w:rsidR="002F4425" w:rsidRDefault="002F4425" w:rsidP="002F4425">
      <w:pPr>
        <w:pStyle w:val="Heading2"/>
      </w:pPr>
      <w:r>
        <w:t xml:space="preserve">References and </w:t>
      </w:r>
      <w:r w:rsidRPr="003C0DCB">
        <w:t>Mandates</w:t>
      </w:r>
      <w:bookmarkStart w:id="22" w:name="_Appendix_I"/>
      <w:bookmarkStart w:id="23" w:name="_Appendix_I_"/>
      <w:bookmarkStart w:id="24" w:name="_Toc304735593"/>
      <w:bookmarkEnd w:id="18"/>
      <w:bookmarkEnd w:id="19"/>
      <w:bookmarkEnd w:id="20"/>
      <w:bookmarkEnd w:id="21"/>
      <w:bookmarkEnd w:id="22"/>
      <w:bookmarkEnd w:id="23"/>
    </w:p>
    <w:p w:rsidR="002F4425" w:rsidRPr="007E72DB" w:rsidRDefault="002F4425" w:rsidP="002F4425">
      <w:pPr>
        <w:pStyle w:val="NormalDS"/>
        <w:numPr>
          <w:ilvl w:val="0"/>
          <w:numId w:val="14"/>
        </w:numPr>
      </w:pPr>
      <w:bookmarkStart w:id="25" w:name="_Appendix_I_1"/>
      <w:bookmarkEnd w:id="25"/>
      <w:r>
        <w:t>None</w:t>
      </w:r>
    </w:p>
    <w:p w:rsidR="002F4425" w:rsidRPr="00EE255B" w:rsidRDefault="002F4425" w:rsidP="002F4425">
      <w:pPr>
        <w:pStyle w:val="Heading2"/>
      </w:pPr>
      <w:r w:rsidRPr="007E6914">
        <w:t>Legal Conflicts</w:t>
      </w:r>
      <w:r w:rsidRPr="00EE255B">
        <w:t xml:space="preserve"> </w:t>
      </w:r>
    </w:p>
    <w:p w:rsidR="002F4425" w:rsidRPr="001325AE" w:rsidRDefault="002F4425" w:rsidP="002F4425">
      <w:pPr>
        <w:pStyle w:val="NormalDS"/>
      </w:pPr>
      <w:r>
        <w:t>Alight</w:t>
      </w:r>
      <w:r w:rsidRPr="001325AE">
        <w:t xml:space="preserve"> Security Policies and Standards were drafted to address the protections found in existing laws and regulations and may be amended as necessary due to law, regulation, or business requirements.  There is no intent to conflict with relevant laws or regulations.  In the event of any conflict with relevant laws or regulations, they will control.</w:t>
      </w:r>
    </w:p>
    <w:p w:rsidR="002F4425" w:rsidRDefault="002F4425" w:rsidP="002F4425">
      <w:pPr>
        <w:pStyle w:val="NormalDS"/>
      </w:pPr>
      <w:r>
        <w:t>Alight</w:t>
      </w:r>
      <w:r w:rsidRPr="001325AE">
        <w:t xml:space="preserve"> Security Policies and Standards may be supplemented by other policies or standards of </w:t>
      </w:r>
      <w:r>
        <w:t>Alight</w:t>
      </w:r>
      <w:r w:rsidRPr="001325AE">
        <w:t xml:space="preserve">.  In the case of a conflict or ambiguity, the more specific provisions of any such policy or standard of </w:t>
      </w:r>
      <w:r>
        <w:t>Alight</w:t>
      </w:r>
      <w:r w:rsidRPr="001325AE">
        <w:t xml:space="preserve"> shall take precedence over the more general provisions contained in </w:t>
      </w:r>
      <w:r>
        <w:t>Alight</w:t>
      </w:r>
      <w:r w:rsidRPr="001325AE">
        <w:t xml:space="preserve"> Security Policies and Standards.</w:t>
      </w:r>
    </w:p>
    <w:p w:rsidR="002F4425" w:rsidRPr="002311A6" w:rsidRDefault="002F4425" w:rsidP="002F4425">
      <w:pPr>
        <w:pStyle w:val="Heading2"/>
      </w:pPr>
      <w:r w:rsidRPr="002311A6">
        <w:t>Exceptions</w:t>
      </w:r>
      <w:r>
        <w:tab/>
      </w:r>
    </w:p>
    <w:p w:rsidR="002F4425" w:rsidRDefault="002F4425" w:rsidP="002F4425">
      <w:pPr>
        <w:pStyle w:val="NormalDS"/>
      </w:pPr>
      <w:bookmarkStart w:id="26" w:name="_Toc289842766"/>
      <w:bookmarkStart w:id="27" w:name="_Toc292146380"/>
      <w:bookmarkStart w:id="28" w:name="_Toc300672351"/>
      <w:r w:rsidRPr="00B3494F">
        <w:t xml:space="preserve">Exceptional circumstances occur from time to time. </w:t>
      </w:r>
      <w:r>
        <w:t xml:space="preserve"> </w:t>
      </w:r>
      <w:r w:rsidRPr="00B3494F">
        <w:t xml:space="preserve">In these situations, contact </w:t>
      </w:r>
      <w:r>
        <w:t xml:space="preserve">Alight </w:t>
      </w:r>
      <w:r w:rsidRPr="00A91AFC">
        <w:t xml:space="preserve">Global Security Services </w:t>
      </w:r>
      <w:r w:rsidRPr="00B3494F">
        <w:t>at</w:t>
      </w:r>
      <w:r>
        <w:t xml:space="preserve"> </w:t>
      </w:r>
      <w:r w:rsidRPr="00BE5A11">
        <w:rPr>
          <w:rStyle w:val="Hyperlink"/>
        </w:rPr>
        <w:t>global.security.services@</w:t>
      </w:r>
      <w:r>
        <w:rPr>
          <w:rStyle w:val="Hyperlink"/>
        </w:rPr>
        <w:t>aon</w:t>
      </w:r>
      <w:r w:rsidRPr="00BE5A11">
        <w:rPr>
          <w:rStyle w:val="Hyperlink"/>
        </w:rPr>
        <w:t>.com</w:t>
      </w:r>
      <w:r w:rsidRPr="00A91AFC">
        <w:t xml:space="preserve"> </w:t>
      </w:r>
      <w:r w:rsidRPr="00B3494F">
        <w:t xml:space="preserve">for </w:t>
      </w:r>
      <w:r>
        <w:t xml:space="preserve">further </w:t>
      </w:r>
      <w:r w:rsidRPr="00B3494F">
        <w:t>guidance.</w:t>
      </w:r>
      <w:r>
        <w:t xml:space="preserve"> </w:t>
      </w:r>
      <w:bookmarkStart w:id="29" w:name="_Toc304718767"/>
      <w:bookmarkStart w:id="30" w:name="_Toc304735585"/>
      <w:bookmarkEnd w:id="26"/>
      <w:bookmarkEnd w:id="27"/>
      <w:bookmarkEnd w:id="28"/>
    </w:p>
    <w:bookmarkEnd w:id="29"/>
    <w:bookmarkEnd w:id="30"/>
    <w:p w:rsidR="002F4425" w:rsidRPr="00FA22B2" w:rsidRDefault="002F4425" w:rsidP="002F4425">
      <w:pPr>
        <w:pStyle w:val="Heading2"/>
      </w:pPr>
      <w:r w:rsidRPr="00FA22B2">
        <w:t>Summary</w:t>
      </w:r>
    </w:p>
    <w:p w:rsidR="002F4425" w:rsidRPr="00FA22B2" w:rsidRDefault="002F4425" w:rsidP="002F4425">
      <w:pPr>
        <w:pStyle w:val="NormalDS"/>
      </w:pPr>
      <w:r w:rsidRPr="00FA22B2">
        <w:t xml:space="preserve">This policy is meant to further protect </w:t>
      </w:r>
      <w:proofErr w:type="gramStart"/>
      <w:r>
        <w:t>Alight</w:t>
      </w:r>
      <w:proofErr w:type="gramEnd"/>
      <w:r w:rsidRPr="00FA22B2">
        <w:t xml:space="preserve"> colleagues, corporate applications and related systems, and client data by defining the minimum level of required security controls for allowing mobile devices to gain access to corporate or guest networks and systems.  This policy covers </w:t>
      </w:r>
      <w:r>
        <w:t>Alight</w:t>
      </w:r>
      <w:r w:rsidRPr="00FA22B2">
        <w:t xml:space="preserve"> issued and colleague owned mobile devices that participate in the </w:t>
      </w:r>
      <w:r>
        <w:t>Alight</w:t>
      </w:r>
      <w:r w:rsidRPr="00FA22B2">
        <w:t xml:space="preserve">’s Mobility Freedom Program. Mobile devices considered out-of-scope or that are not specifically specified as included in </w:t>
      </w:r>
      <w:r>
        <w:t>Alight</w:t>
      </w:r>
      <w:r w:rsidRPr="00FA22B2">
        <w:t xml:space="preserve">’s Mobility Freedom Program must be deemed unauthorized and therefore prohibited from corporate use. </w:t>
      </w:r>
    </w:p>
    <w:p w:rsidR="002F4425" w:rsidRDefault="002F4425" w:rsidP="002F4425">
      <w:r>
        <w:br w:type="page"/>
      </w:r>
    </w:p>
    <w:p w:rsidR="002F4425" w:rsidRPr="002311A6" w:rsidRDefault="002F4425" w:rsidP="002F4425">
      <w:pPr>
        <w:pStyle w:val="Heading1"/>
      </w:pPr>
      <w:bookmarkStart w:id="31" w:name="_Toc306014656"/>
      <w:bookmarkEnd w:id="24"/>
      <w:r w:rsidRPr="002311A6">
        <w:lastRenderedPageBreak/>
        <w:t>Document Control Information</w:t>
      </w:r>
      <w:bookmarkEnd w:id="31"/>
    </w:p>
    <w:p w:rsidR="002F4425" w:rsidRPr="00274338" w:rsidRDefault="002F4425" w:rsidP="002F4425">
      <w:pPr>
        <w:pStyle w:val="TableTitle"/>
      </w:pPr>
      <w:bookmarkStart w:id="32" w:name="_Toc528945611"/>
      <w:bookmarkStart w:id="33" w:name="_Toc529855774"/>
      <w:bookmarkStart w:id="34" w:name="_Toc529856551"/>
      <w:bookmarkStart w:id="35" w:name="_Toc531756491"/>
      <w:bookmarkStart w:id="36" w:name="_Toc1631615"/>
      <w:bookmarkStart w:id="37" w:name="_Toc133747320"/>
      <w:bookmarkStart w:id="38" w:name="_Toc158457851"/>
      <w:bookmarkStart w:id="39" w:name="_Toc158805969"/>
      <w:bookmarkStart w:id="40" w:name="_Toc289842769"/>
      <w:bookmarkStart w:id="41" w:name="_Toc306014657"/>
      <w:r>
        <w:t xml:space="preserve">Document Control Information </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3355"/>
        <w:gridCol w:w="6210"/>
      </w:tblGrid>
      <w:tr w:rsidR="002F4425" w:rsidRPr="00274338" w:rsidTr="00F325F9">
        <w:trPr>
          <w:cantSplit/>
          <w:trHeight w:val="483"/>
        </w:trPr>
        <w:tc>
          <w:tcPr>
            <w:tcW w:w="3355" w:type="dxa"/>
            <w:tcBorders>
              <w:top w:val="single" w:sz="12" w:space="0" w:color="808080" w:themeColor="background1" w:themeShade="80"/>
              <w:bottom w:val="single" w:sz="4" w:space="0" w:color="808080" w:themeColor="background1" w:themeShade="80"/>
            </w:tcBorders>
            <w:shd w:val="clear" w:color="auto" w:fill="auto"/>
          </w:tcPr>
          <w:p w:rsidR="002F4425" w:rsidRDefault="002F4425" w:rsidP="00F325F9">
            <w:pPr>
              <w:pStyle w:val="TableCopy"/>
            </w:pPr>
            <w:r>
              <w:t>Document Name</w:t>
            </w:r>
          </w:p>
        </w:tc>
        <w:tc>
          <w:tcPr>
            <w:tcW w:w="6210" w:type="dxa"/>
            <w:tcBorders>
              <w:top w:val="single" w:sz="12" w:space="0" w:color="808080" w:themeColor="background1" w:themeShade="80"/>
              <w:bottom w:val="single" w:sz="4" w:space="0" w:color="808080" w:themeColor="background1" w:themeShade="80"/>
            </w:tcBorders>
            <w:shd w:val="clear" w:color="auto" w:fill="auto"/>
          </w:tcPr>
          <w:p w:rsidR="002F4425" w:rsidRDefault="002F4425" w:rsidP="00F325F9">
            <w:pPr>
              <w:pStyle w:val="Bullet4Table"/>
              <w:numPr>
                <w:ilvl w:val="0"/>
                <w:numId w:val="0"/>
              </w:numPr>
            </w:pPr>
            <w:r w:rsidRPr="004338A7">
              <w:t>INFOSEC_20</w:t>
            </w:r>
            <w:r>
              <w:t>4</w:t>
            </w:r>
            <w:r w:rsidRPr="004338A7">
              <w:t>.</w:t>
            </w:r>
            <w:r>
              <w:t>00</w:t>
            </w:r>
            <w:r w:rsidRPr="004338A7">
              <w:t xml:space="preserve"> </w:t>
            </w:r>
            <w:r>
              <w:t>Mobile Device Security Policy</w:t>
            </w:r>
          </w:p>
        </w:tc>
      </w:tr>
      <w:tr w:rsidR="002F4425" w:rsidRPr="00274338" w:rsidTr="00F325F9">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2F4425" w:rsidRDefault="002F4425" w:rsidP="00F325F9">
            <w:pPr>
              <w:pStyle w:val="TableCopy"/>
            </w:pPr>
            <w:r>
              <w:t>Primary Contact</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2F4425" w:rsidRDefault="002F4425" w:rsidP="002F4425">
            <w:pPr>
              <w:pStyle w:val="TableCopy"/>
            </w:pPr>
            <w:r>
              <w:t>Alight</w:t>
            </w:r>
            <w:r w:rsidRPr="009B6065">
              <w:t xml:space="preserve"> Global Security Services | </w:t>
            </w:r>
            <w:hyperlink r:id="rId9" w:history="1">
              <w:r w:rsidRPr="008E7D95">
                <w:rPr>
                  <w:rStyle w:val="Hyperlink"/>
                </w:rPr>
                <w:t>global.security.services@Aon.com</w:t>
              </w:r>
            </w:hyperlink>
          </w:p>
        </w:tc>
      </w:tr>
      <w:tr w:rsidR="002F4425" w:rsidRPr="00274338" w:rsidTr="00F325F9">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2F4425" w:rsidRPr="00274338" w:rsidRDefault="002F4425" w:rsidP="00F325F9">
            <w:pPr>
              <w:pStyle w:val="TableCopy"/>
            </w:pPr>
            <w:r>
              <w:t>Version Number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2F4425" w:rsidRPr="00274338" w:rsidRDefault="002F4425" w:rsidP="00F325F9">
            <w:pPr>
              <w:pStyle w:val="TableCopy"/>
            </w:pPr>
            <w:r>
              <w:t>1.4</w:t>
            </w:r>
          </w:p>
        </w:tc>
      </w:tr>
      <w:tr w:rsidR="002F4425" w:rsidRPr="00274338" w:rsidTr="00F325F9">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2F4425" w:rsidRPr="00274338" w:rsidRDefault="002F4425" w:rsidP="00F325F9">
            <w:pPr>
              <w:pStyle w:val="TableCopy"/>
            </w:pPr>
            <w:r>
              <w:t>Owner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2F4425" w:rsidRPr="00274338" w:rsidRDefault="002F4425" w:rsidP="00F325F9">
            <w:pPr>
              <w:pStyle w:val="TableCopy"/>
            </w:pPr>
            <w:r>
              <w:t>Alight</w:t>
            </w:r>
            <w:r w:rsidRPr="009B6065">
              <w:t xml:space="preserve"> Global Security Services | Information Security</w:t>
            </w:r>
          </w:p>
        </w:tc>
      </w:tr>
      <w:tr w:rsidR="002F4425" w:rsidRPr="00274338" w:rsidTr="00F325F9">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2F4425" w:rsidRPr="00274338" w:rsidRDefault="002F4425" w:rsidP="00F325F9">
            <w:pPr>
              <w:pStyle w:val="TableCopy"/>
            </w:pPr>
            <w:r>
              <w:t>Author(s)</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2F4425" w:rsidRPr="00274338" w:rsidRDefault="002F4425" w:rsidP="00F325F9">
            <w:pPr>
              <w:pStyle w:val="TableCopy"/>
            </w:pPr>
            <w:r>
              <w:t>Alight</w:t>
            </w:r>
            <w:r w:rsidRPr="009B6065">
              <w:t xml:space="preserve"> Global Security Services | Information Security</w:t>
            </w:r>
          </w:p>
        </w:tc>
      </w:tr>
      <w:tr w:rsidR="002F4425" w:rsidRPr="00274338" w:rsidTr="00F325F9">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2F4425" w:rsidRDefault="002F4425" w:rsidP="00F325F9">
            <w:pPr>
              <w:pStyle w:val="TableCopy"/>
            </w:pPr>
            <w:r>
              <w:t>Approved By</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2F4425" w:rsidRDefault="002F4425" w:rsidP="00F325F9">
            <w:pPr>
              <w:pStyle w:val="TableCopy"/>
            </w:pPr>
            <w:r>
              <w:t>Jim Hartley</w:t>
            </w:r>
            <w:r w:rsidRPr="009B6065">
              <w:t xml:space="preserve">, Chief </w:t>
            </w:r>
            <w:r>
              <w:t xml:space="preserve">Information </w:t>
            </w:r>
            <w:r w:rsidRPr="009B6065">
              <w:t>Security Officer</w:t>
            </w:r>
          </w:p>
        </w:tc>
      </w:tr>
      <w:tr w:rsidR="002F4425" w:rsidRPr="00274338" w:rsidTr="00F325F9">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2F4425" w:rsidRDefault="002F4425" w:rsidP="00F325F9">
            <w:pPr>
              <w:pStyle w:val="TableCopy"/>
            </w:pPr>
            <w:r>
              <w:t>Approval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2F4425" w:rsidRDefault="002F4425" w:rsidP="00F325F9">
            <w:pPr>
              <w:pStyle w:val="TableCopy"/>
            </w:pPr>
            <w:r>
              <w:t>May 1, 2017</w:t>
            </w:r>
          </w:p>
        </w:tc>
      </w:tr>
      <w:tr w:rsidR="002F4425" w:rsidRPr="00274338" w:rsidTr="00F325F9">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2F4425" w:rsidRDefault="002F4425" w:rsidP="00F325F9">
            <w:pPr>
              <w:pStyle w:val="TableCopy"/>
            </w:pPr>
            <w:r>
              <w:t>Effective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2F4425" w:rsidRDefault="002F4425" w:rsidP="00F325F9">
            <w:pPr>
              <w:pStyle w:val="TableCopy"/>
            </w:pPr>
            <w:r>
              <w:t>May 1, 2017</w:t>
            </w:r>
          </w:p>
        </w:tc>
      </w:tr>
      <w:tr w:rsidR="002F4425" w:rsidRPr="00274338" w:rsidTr="00F325F9">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2F4425" w:rsidRDefault="002F4425" w:rsidP="00F325F9">
            <w:pPr>
              <w:pStyle w:val="TableCopy"/>
            </w:pPr>
            <w:r>
              <w:t>Creation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2F4425" w:rsidRDefault="002F4425" w:rsidP="00F325F9">
            <w:pPr>
              <w:pStyle w:val="TableCopy"/>
            </w:pPr>
            <w:r>
              <w:t>June 1, 2013</w:t>
            </w:r>
          </w:p>
        </w:tc>
      </w:tr>
      <w:tr w:rsidR="002F4425" w:rsidRPr="00274338" w:rsidTr="00F325F9">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2F4425" w:rsidRDefault="002F4425" w:rsidP="00F325F9">
            <w:pPr>
              <w:pStyle w:val="TableCopy"/>
            </w:pPr>
            <w:r>
              <w:t>Information Classification</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2F4425" w:rsidRDefault="002F4425" w:rsidP="00F325F9">
            <w:pPr>
              <w:pStyle w:val="TableCopy"/>
            </w:pPr>
            <w:r w:rsidRPr="009B6065">
              <w:t>General Internal – Low Business Impact (Green)</w:t>
            </w:r>
          </w:p>
        </w:tc>
      </w:tr>
    </w:tbl>
    <w:p w:rsidR="002F4425" w:rsidRPr="002311A6" w:rsidRDefault="002F4425" w:rsidP="002F4425">
      <w:pPr>
        <w:pStyle w:val="Heading1"/>
      </w:pPr>
      <w:r w:rsidRPr="002311A6">
        <w:lastRenderedPageBreak/>
        <w:t>Revision</w:t>
      </w:r>
      <w:bookmarkEnd w:id="32"/>
      <w:bookmarkEnd w:id="33"/>
      <w:bookmarkEnd w:id="34"/>
      <w:bookmarkEnd w:id="35"/>
      <w:r w:rsidRPr="002311A6">
        <w:t xml:space="preserve"> History</w:t>
      </w:r>
      <w:bookmarkEnd w:id="36"/>
      <w:bookmarkEnd w:id="37"/>
      <w:bookmarkEnd w:id="38"/>
      <w:bookmarkEnd w:id="39"/>
      <w:bookmarkEnd w:id="40"/>
      <w:bookmarkEnd w:id="41"/>
    </w:p>
    <w:p w:rsidR="002F4425" w:rsidRPr="00274338" w:rsidRDefault="002F4425" w:rsidP="002F4425">
      <w:pPr>
        <w:pStyle w:val="TableTitle"/>
      </w:pPr>
      <w:r>
        <w:t>Revision History</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1646"/>
        <w:gridCol w:w="1441"/>
        <w:gridCol w:w="1979"/>
        <w:gridCol w:w="4499"/>
      </w:tblGrid>
      <w:tr w:rsidR="002F4425" w:rsidRPr="00274338" w:rsidTr="00F325F9">
        <w:trPr>
          <w:cantSplit/>
        </w:trPr>
        <w:tc>
          <w:tcPr>
            <w:tcW w:w="1646" w:type="dxa"/>
            <w:tcBorders>
              <w:top w:val="nil"/>
              <w:bottom w:val="single" w:sz="12" w:space="0" w:color="808080" w:themeColor="background1" w:themeShade="80"/>
            </w:tcBorders>
            <w:shd w:val="clear" w:color="auto" w:fill="auto"/>
            <w:vAlign w:val="bottom"/>
          </w:tcPr>
          <w:p w:rsidR="002F4425" w:rsidRPr="00274338" w:rsidRDefault="002F4425" w:rsidP="00F325F9">
            <w:pPr>
              <w:pStyle w:val="TableColumnHead"/>
            </w:pPr>
            <w:r>
              <w:t>Revision Level</w:t>
            </w:r>
          </w:p>
        </w:tc>
        <w:tc>
          <w:tcPr>
            <w:tcW w:w="1441" w:type="dxa"/>
            <w:tcBorders>
              <w:top w:val="nil"/>
              <w:bottom w:val="single" w:sz="12" w:space="0" w:color="808080" w:themeColor="background1" w:themeShade="80"/>
            </w:tcBorders>
            <w:shd w:val="clear" w:color="auto" w:fill="auto"/>
            <w:vAlign w:val="bottom"/>
          </w:tcPr>
          <w:p w:rsidR="002F4425" w:rsidRPr="00274338" w:rsidRDefault="002F4425" w:rsidP="00F325F9">
            <w:pPr>
              <w:pStyle w:val="TableColumnHead"/>
            </w:pPr>
            <w:r>
              <w:t>Date</w:t>
            </w:r>
          </w:p>
        </w:tc>
        <w:tc>
          <w:tcPr>
            <w:tcW w:w="1979" w:type="dxa"/>
            <w:tcBorders>
              <w:top w:val="nil"/>
              <w:bottom w:val="single" w:sz="12" w:space="0" w:color="808080" w:themeColor="background1" w:themeShade="80"/>
            </w:tcBorders>
            <w:shd w:val="clear" w:color="auto" w:fill="auto"/>
            <w:vAlign w:val="bottom"/>
          </w:tcPr>
          <w:p w:rsidR="002F4425" w:rsidRPr="00274338" w:rsidRDefault="002F4425" w:rsidP="00F325F9">
            <w:pPr>
              <w:pStyle w:val="TableColumnHead"/>
            </w:pPr>
            <w:r>
              <w:t>Description</w:t>
            </w:r>
            <w:r w:rsidRPr="00274338">
              <w:t xml:space="preserve"> </w:t>
            </w:r>
          </w:p>
        </w:tc>
        <w:tc>
          <w:tcPr>
            <w:tcW w:w="4499" w:type="dxa"/>
            <w:tcBorders>
              <w:top w:val="nil"/>
              <w:bottom w:val="single" w:sz="12" w:space="0" w:color="808080" w:themeColor="background1" w:themeShade="80"/>
            </w:tcBorders>
          </w:tcPr>
          <w:p w:rsidR="002F4425" w:rsidRDefault="002F4425" w:rsidP="00F325F9">
            <w:pPr>
              <w:pStyle w:val="TableColumnHead"/>
            </w:pPr>
            <w:r>
              <w:t>Change Summary</w:t>
            </w:r>
          </w:p>
        </w:tc>
      </w:tr>
      <w:tr w:rsidR="002F4425" w:rsidRPr="00274338" w:rsidTr="00F325F9">
        <w:trPr>
          <w:cantSplit/>
          <w:trHeight w:val="510"/>
        </w:trPr>
        <w:tc>
          <w:tcPr>
            <w:tcW w:w="1646" w:type="dxa"/>
            <w:tcBorders>
              <w:top w:val="single" w:sz="12" w:space="0" w:color="808080" w:themeColor="background1" w:themeShade="80"/>
              <w:bottom w:val="single" w:sz="4" w:space="0" w:color="808080" w:themeColor="background1" w:themeShade="80"/>
            </w:tcBorders>
            <w:shd w:val="clear" w:color="auto" w:fill="auto"/>
          </w:tcPr>
          <w:p w:rsidR="002F4425" w:rsidRPr="00890ABF" w:rsidRDefault="002F4425" w:rsidP="00F325F9">
            <w:pPr>
              <w:pStyle w:val="TableCopy"/>
              <w:rPr>
                <w:sz w:val="18"/>
                <w:szCs w:val="18"/>
              </w:rPr>
            </w:pPr>
            <w:r w:rsidRPr="00890ABF">
              <w:rPr>
                <w:sz w:val="18"/>
                <w:szCs w:val="18"/>
              </w:rPr>
              <w:t>1.0</w:t>
            </w:r>
          </w:p>
        </w:tc>
        <w:tc>
          <w:tcPr>
            <w:tcW w:w="1441" w:type="dxa"/>
            <w:tcBorders>
              <w:top w:val="single" w:sz="12" w:space="0" w:color="808080" w:themeColor="background1" w:themeShade="80"/>
              <w:bottom w:val="single" w:sz="4" w:space="0" w:color="808080" w:themeColor="background1" w:themeShade="80"/>
            </w:tcBorders>
            <w:shd w:val="clear" w:color="auto" w:fill="auto"/>
          </w:tcPr>
          <w:p w:rsidR="002F4425" w:rsidRPr="00890ABF" w:rsidRDefault="002F4425" w:rsidP="00F325F9">
            <w:pPr>
              <w:pStyle w:val="NormalDS"/>
              <w:rPr>
                <w:sz w:val="18"/>
                <w:szCs w:val="18"/>
              </w:rPr>
            </w:pPr>
            <w:r>
              <w:rPr>
                <w:sz w:val="18"/>
                <w:szCs w:val="18"/>
              </w:rPr>
              <w:t>2013 September</w:t>
            </w:r>
          </w:p>
        </w:tc>
        <w:tc>
          <w:tcPr>
            <w:tcW w:w="1979" w:type="dxa"/>
            <w:tcBorders>
              <w:top w:val="single" w:sz="12" w:space="0" w:color="808080" w:themeColor="background1" w:themeShade="80"/>
              <w:bottom w:val="single" w:sz="4" w:space="0" w:color="808080" w:themeColor="background1" w:themeShade="80"/>
            </w:tcBorders>
            <w:shd w:val="clear" w:color="auto" w:fill="auto"/>
          </w:tcPr>
          <w:p w:rsidR="002F4425" w:rsidRPr="00890ABF" w:rsidRDefault="002F4425" w:rsidP="00F325F9">
            <w:pPr>
              <w:pStyle w:val="TableCopy"/>
              <w:rPr>
                <w:sz w:val="18"/>
                <w:szCs w:val="18"/>
              </w:rPr>
            </w:pPr>
            <w:r w:rsidRPr="00890ABF">
              <w:rPr>
                <w:sz w:val="18"/>
                <w:szCs w:val="18"/>
              </w:rPr>
              <w:t>Original</w:t>
            </w:r>
          </w:p>
        </w:tc>
        <w:tc>
          <w:tcPr>
            <w:tcW w:w="4499" w:type="dxa"/>
            <w:tcBorders>
              <w:top w:val="single" w:sz="12" w:space="0" w:color="808080" w:themeColor="background1" w:themeShade="80"/>
              <w:bottom w:val="single" w:sz="4" w:space="0" w:color="808080" w:themeColor="background1" w:themeShade="80"/>
            </w:tcBorders>
          </w:tcPr>
          <w:p w:rsidR="002F4425" w:rsidRPr="00C725B3" w:rsidRDefault="002F4425" w:rsidP="00F325F9">
            <w:pPr>
              <w:pStyle w:val="NormalDS"/>
              <w:rPr>
                <w:sz w:val="18"/>
              </w:rPr>
            </w:pPr>
            <w:r w:rsidRPr="00C725B3">
              <w:rPr>
                <w:sz w:val="18"/>
              </w:rPr>
              <w:t>Document published</w:t>
            </w:r>
          </w:p>
        </w:tc>
      </w:tr>
      <w:tr w:rsidR="002F4425" w:rsidRPr="00274338" w:rsidTr="00F325F9">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2F4425" w:rsidRPr="00890ABF" w:rsidRDefault="002F4425" w:rsidP="00F325F9">
            <w:pPr>
              <w:pStyle w:val="TableCopy"/>
              <w:rPr>
                <w:sz w:val="18"/>
                <w:szCs w:val="18"/>
              </w:rPr>
            </w:pPr>
            <w:r w:rsidRPr="00890ABF">
              <w:rPr>
                <w:sz w:val="18"/>
                <w:szCs w:val="18"/>
              </w:rPr>
              <w:t>1.1</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2F4425" w:rsidRPr="00890ABF" w:rsidRDefault="002F4425" w:rsidP="00F325F9">
            <w:pPr>
              <w:pStyle w:val="NormalDS"/>
              <w:rPr>
                <w:sz w:val="18"/>
                <w:szCs w:val="18"/>
              </w:rPr>
            </w:pPr>
            <w:r w:rsidRPr="00890ABF">
              <w:rPr>
                <w:sz w:val="18"/>
                <w:szCs w:val="18"/>
              </w:rPr>
              <w:t>2014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2F4425" w:rsidRPr="00890ABF" w:rsidRDefault="002F4425" w:rsidP="00F325F9">
            <w:pPr>
              <w:pStyle w:val="TableCopy"/>
              <w:rPr>
                <w:sz w:val="18"/>
                <w:szCs w:val="18"/>
              </w:rPr>
            </w:pPr>
            <w:r w:rsidRPr="00890ABF">
              <w:rPr>
                <w:sz w:val="18"/>
                <w:szCs w:val="18"/>
              </w:rPr>
              <w:t>2014 Annual Review</w:t>
            </w:r>
          </w:p>
        </w:tc>
        <w:tc>
          <w:tcPr>
            <w:tcW w:w="4499" w:type="dxa"/>
            <w:tcBorders>
              <w:top w:val="single" w:sz="4" w:space="0" w:color="808080" w:themeColor="background1" w:themeShade="80"/>
              <w:bottom w:val="single" w:sz="4" w:space="0" w:color="808080" w:themeColor="background1" w:themeShade="80"/>
            </w:tcBorders>
          </w:tcPr>
          <w:p w:rsidR="002F4425" w:rsidRPr="00C725B3" w:rsidRDefault="002F4425" w:rsidP="00F325F9">
            <w:pPr>
              <w:pStyle w:val="NormalDS"/>
              <w:rPr>
                <w:rFonts w:asciiTheme="minorHAnsi" w:hAnsiTheme="minorHAnsi" w:cs="Arial"/>
                <w:color w:val="000000"/>
                <w:sz w:val="18"/>
                <w:szCs w:val="18"/>
              </w:rPr>
            </w:pPr>
            <w:r w:rsidRPr="00C725B3">
              <w:rPr>
                <w:rFonts w:asciiTheme="minorHAnsi" w:hAnsiTheme="minorHAnsi" w:cs="Arial"/>
                <w:color w:val="000000"/>
                <w:sz w:val="18"/>
                <w:szCs w:val="18"/>
              </w:rPr>
              <w:t>Reviewed and validated</w:t>
            </w:r>
          </w:p>
        </w:tc>
      </w:tr>
      <w:tr w:rsidR="002F4425" w:rsidRPr="00274338" w:rsidTr="00F325F9">
        <w:trPr>
          <w:cantSplit/>
          <w:trHeight w:val="467"/>
        </w:trPr>
        <w:tc>
          <w:tcPr>
            <w:tcW w:w="1646" w:type="dxa"/>
            <w:tcBorders>
              <w:top w:val="single" w:sz="4" w:space="0" w:color="808080" w:themeColor="background1" w:themeShade="80"/>
              <w:bottom w:val="single" w:sz="4" w:space="0" w:color="808080" w:themeColor="background1" w:themeShade="80"/>
            </w:tcBorders>
            <w:shd w:val="clear" w:color="auto" w:fill="auto"/>
          </w:tcPr>
          <w:p w:rsidR="002F4425" w:rsidRPr="00890ABF" w:rsidRDefault="002F4425" w:rsidP="00F325F9">
            <w:pPr>
              <w:pStyle w:val="TableCopy"/>
              <w:rPr>
                <w:sz w:val="18"/>
                <w:szCs w:val="18"/>
              </w:rPr>
            </w:pPr>
            <w:r w:rsidRPr="00890ABF">
              <w:rPr>
                <w:sz w:val="18"/>
                <w:szCs w:val="18"/>
              </w:rPr>
              <w:t>1.2</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2F4425" w:rsidRPr="00890ABF" w:rsidRDefault="002F4425" w:rsidP="00F325F9">
            <w:pPr>
              <w:pStyle w:val="NormalDS"/>
              <w:rPr>
                <w:sz w:val="18"/>
                <w:szCs w:val="18"/>
              </w:rPr>
            </w:pPr>
            <w:r w:rsidRPr="00890ABF">
              <w:rPr>
                <w:sz w:val="18"/>
                <w:szCs w:val="18"/>
              </w:rPr>
              <w:t>2015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2F4425" w:rsidRPr="00890ABF" w:rsidRDefault="002F4425" w:rsidP="00F325F9">
            <w:pPr>
              <w:pStyle w:val="TableCopy"/>
              <w:rPr>
                <w:sz w:val="18"/>
                <w:szCs w:val="18"/>
              </w:rPr>
            </w:pPr>
            <w:r w:rsidRPr="00890ABF">
              <w:rPr>
                <w:sz w:val="18"/>
                <w:szCs w:val="18"/>
              </w:rPr>
              <w:t>2015 Annual Review</w:t>
            </w:r>
          </w:p>
        </w:tc>
        <w:tc>
          <w:tcPr>
            <w:tcW w:w="4499" w:type="dxa"/>
            <w:tcBorders>
              <w:top w:val="single" w:sz="4" w:space="0" w:color="808080" w:themeColor="background1" w:themeShade="80"/>
              <w:bottom w:val="single" w:sz="4" w:space="0" w:color="808080" w:themeColor="background1" w:themeShade="80"/>
            </w:tcBorders>
          </w:tcPr>
          <w:p w:rsidR="002F4425" w:rsidRPr="00C725B3" w:rsidRDefault="002F4425" w:rsidP="00F325F9">
            <w:pPr>
              <w:pStyle w:val="NormalDS"/>
              <w:rPr>
                <w:rFonts w:cs="Arial"/>
                <w:color w:val="000000"/>
                <w:sz w:val="18"/>
                <w:szCs w:val="18"/>
              </w:rPr>
            </w:pPr>
            <w:r w:rsidRPr="00C725B3">
              <w:rPr>
                <w:rFonts w:cs="Arial"/>
                <w:color w:val="000000"/>
                <w:sz w:val="18"/>
                <w:szCs w:val="18"/>
              </w:rPr>
              <w:t>Reviewed and validated– updated SRM to Global Security Services in the following sections: All Colleagues Responsibilities, 1.3, 2.11 and 6.5.</w:t>
            </w:r>
          </w:p>
        </w:tc>
      </w:tr>
      <w:tr w:rsidR="002F4425" w:rsidRPr="00274338" w:rsidTr="00F325F9">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2F4425" w:rsidRPr="00890ABF" w:rsidRDefault="002F4425" w:rsidP="00F325F9">
            <w:pPr>
              <w:pStyle w:val="TableCopy"/>
              <w:rPr>
                <w:sz w:val="18"/>
                <w:szCs w:val="18"/>
              </w:rPr>
            </w:pPr>
            <w:r w:rsidRPr="00890ABF">
              <w:rPr>
                <w:sz w:val="18"/>
                <w:szCs w:val="18"/>
              </w:rPr>
              <w:t>1.3</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2F4425" w:rsidRPr="00890ABF" w:rsidRDefault="002F4425" w:rsidP="00F325F9">
            <w:pPr>
              <w:pStyle w:val="NormalDS"/>
              <w:rPr>
                <w:sz w:val="18"/>
                <w:szCs w:val="18"/>
              </w:rPr>
            </w:pPr>
            <w:r>
              <w:rPr>
                <w:sz w:val="18"/>
                <w:szCs w:val="18"/>
              </w:rPr>
              <w:t>2016 July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2F4425" w:rsidRPr="00890ABF" w:rsidRDefault="002F4425" w:rsidP="00F325F9">
            <w:pPr>
              <w:pStyle w:val="TableCopy"/>
              <w:rPr>
                <w:sz w:val="18"/>
                <w:szCs w:val="18"/>
              </w:rPr>
            </w:pPr>
            <w:r w:rsidRPr="00890ABF">
              <w:rPr>
                <w:sz w:val="18"/>
                <w:szCs w:val="18"/>
              </w:rPr>
              <w:t>2016 Annual Review</w:t>
            </w:r>
          </w:p>
        </w:tc>
        <w:tc>
          <w:tcPr>
            <w:tcW w:w="4499" w:type="dxa"/>
            <w:tcBorders>
              <w:top w:val="single" w:sz="4" w:space="0" w:color="808080" w:themeColor="background1" w:themeShade="80"/>
              <w:bottom w:val="single" w:sz="4" w:space="0" w:color="808080" w:themeColor="background1" w:themeShade="80"/>
            </w:tcBorders>
          </w:tcPr>
          <w:p w:rsidR="002F4425" w:rsidRPr="00C725B3" w:rsidRDefault="002F4425" w:rsidP="00F325F9">
            <w:pPr>
              <w:pStyle w:val="NormalDS"/>
              <w:rPr>
                <w:rFonts w:cs="Arial"/>
                <w:color w:val="000000"/>
                <w:sz w:val="18"/>
                <w:szCs w:val="18"/>
              </w:rPr>
            </w:pPr>
            <w:r w:rsidRPr="00C725B3">
              <w:rPr>
                <w:rFonts w:cs="Arial"/>
                <w:color w:val="000000"/>
                <w:sz w:val="18"/>
                <w:szCs w:val="18"/>
              </w:rPr>
              <w:t>Information Risk and Security Services changed to Global Security Services</w:t>
            </w:r>
          </w:p>
        </w:tc>
      </w:tr>
      <w:tr w:rsidR="002F4425" w:rsidRPr="00274338" w:rsidTr="00F325F9">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2F4425" w:rsidRPr="00890ABF" w:rsidRDefault="002F4425" w:rsidP="00F325F9">
            <w:pPr>
              <w:pStyle w:val="TableCopy"/>
              <w:rPr>
                <w:sz w:val="18"/>
                <w:szCs w:val="18"/>
              </w:rPr>
            </w:pPr>
            <w:r w:rsidRPr="00890ABF">
              <w:rPr>
                <w:sz w:val="18"/>
                <w:szCs w:val="18"/>
              </w:rPr>
              <w:t>1.4</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2F4425" w:rsidRPr="00890ABF" w:rsidRDefault="002F4425" w:rsidP="00F325F9">
            <w:pPr>
              <w:pStyle w:val="NormalDS"/>
              <w:rPr>
                <w:sz w:val="18"/>
                <w:szCs w:val="18"/>
              </w:rPr>
            </w:pPr>
            <w:r>
              <w:rPr>
                <w:sz w:val="18"/>
                <w:szCs w:val="18"/>
              </w:rPr>
              <w:t>2017 July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2F4425" w:rsidRPr="00890ABF" w:rsidRDefault="002F4425" w:rsidP="00F325F9">
            <w:pPr>
              <w:pStyle w:val="TableCopy"/>
              <w:rPr>
                <w:sz w:val="18"/>
                <w:szCs w:val="18"/>
              </w:rPr>
            </w:pPr>
            <w:r w:rsidRPr="00890ABF">
              <w:rPr>
                <w:sz w:val="18"/>
                <w:szCs w:val="18"/>
              </w:rPr>
              <w:t>2017 Rebranding</w:t>
            </w:r>
          </w:p>
        </w:tc>
        <w:tc>
          <w:tcPr>
            <w:tcW w:w="4499" w:type="dxa"/>
            <w:tcBorders>
              <w:top w:val="single" w:sz="4" w:space="0" w:color="808080" w:themeColor="background1" w:themeShade="80"/>
              <w:bottom w:val="single" w:sz="4" w:space="0" w:color="808080" w:themeColor="background1" w:themeShade="80"/>
            </w:tcBorders>
          </w:tcPr>
          <w:p w:rsidR="002F4425" w:rsidRPr="00C725B3" w:rsidRDefault="002F4425" w:rsidP="002F4425">
            <w:pPr>
              <w:pStyle w:val="NormalDS"/>
              <w:rPr>
                <w:sz w:val="18"/>
              </w:rPr>
            </w:pPr>
            <w:r w:rsidRPr="00C725B3">
              <w:rPr>
                <w:sz w:val="18"/>
              </w:rPr>
              <w:t xml:space="preserve">Rebranded policy due to </w:t>
            </w:r>
            <w:r>
              <w:rPr>
                <w:sz w:val="18"/>
              </w:rPr>
              <w:t>Aon</w:t>
            </w:r>
            <w:r w:rsidRPr="00C725B3">
              <w:rPr>
                <w:sz w:val="18"/>
              </w:rPr>
              <w:t xml:space="preserve"> Hewitt divestiture</w:t>
            </w:r>
          </w:p>
        </w:tc>
      </w:tr>
      <w:tr w:rsidR="002F4425" w:rsidRPr="00274338" w:rsidTr="00F325F9">
        <w:trPr>
          <w:cantSplit/>
        </w:trPr>
        <w:tc>
          <w:tcPr>
            <w:tcW w:w="1646" w:type="dxa"/>
            <w:tcBorders>
              <w:top w:val="single" w:sz="4" w:space="0" w:color="808080" w:themeColor="background1" w:themeShade="80"/>
              <w:bottom w:val="nil"/>
            </w:tcBorders>
            <w:shd w:val="clear" w:color="auto" w:fill="auto"/>
          </w:tcPr>
          <w:p w:rsidR="002F4425" w:rsidRDefault="002F4425" w:rsidP="00F325F9">
            <w:pPr>
              <w:pStyle w:val="TableCopy"/>
            </w:pPr>
          </w:p>
        </w:tc>
        <w:tc>
          <w:tcPr>
            <w:tcW w:w="1441" w:type="dxa"/>
            <w:tcBorders>
              <w:top w:val="single" w:sz="4" w:space="0" w:color="808080" w:themeColor="background1" w:themeShade="80"/>
              <w:bottom w:val="nil"/>
            </w:tcBorders>
            <w:shd w:val="clear" w:color="auto" w:fill="auto"/>
          </w:tcPr>
          <w:p w:rsidR="002F4425" w:rsidRPr="009B6065" w:rsidRDefault="002F4425" w:rsidP="00F325F9">
            <w:pPr>
              <w:pStyle w:val="NormalDS"/>
            </w:pPr>
          </w:p>
        </w:tc>
        <w:tc>
          <w:tcPr>
            <w:tcW w:w="1979" w:type="dxa"/>
            <w:tcBorders>
              <w:top w:val="single" w:sz="4" w:space="0" w:color="808080" w:themeColor="background1" w:themeShade="80"/>
              <w:bottom w:val="nil"/>
            </w:tcBorders>
            <w:shd w:val="clear" w:color="auto" w:fill="auto"/>
          </w:tcPr>
          <w:p w:rsidR="002F4425" w:rsidRPr="00274338" w:rsidRDefault="002F4425" w:rsidP="00F325F9">
            <w:pPr>
              <w:pStyle w:val="TableCopy"/>
            </w:pPr>
          </w:p>
        </w:tc>
        <w:tc>
          <w:tcPr>
            <w:tcW w:w="4499" w:type="dxa"/>
            <w:tcBorders>
              <w:top w:val="single" w:sz="4" w:space="0" w:color="808080" w:themeColor="background1" w:themeShade="80"/>
              <w:bottom w:val="nil"/>
            </w:tcBorders>
          </w:tcPr>
          <w:p w:rsidR="002F4425" w:rsidRPr="00274338" w:rsidRDefault="002F4425" w:rsidP="00F325F9">
            <w:pPr>
              <w:pStyle w:val="TableCopy"/>
            </w:pPr>
          </w:p>
        </w:tc>
      </w:tr>
    </w:tbl>
    <w:p w:rsidR="002F4425" w:rsidRPr="00274338" w:rsidRDefault="002F4425" w:rsidP="002F4425">
      <w:pPr>
        <w:pStyle w:val="Bullet3"/>
        <w:numPr>
          <w:ilvl w:val="0"/>
          <w:numId w:val="0"/>
        </w:numPr>
        <w:ind w:left="1080"/>
      </w:pPr>
    </w:p>
    <w:p w:rsidR="00321778" w:rsidRPr="002F4425" w:rsidRDefault="00321778" w:rsidP="002F4425"/>
    <w:sectPr w:rsidR="00321778" w:rsidRPr="002F4425" w:rsidSect="00075357">
      <w:footerReference w:type="default" r:id="rId10"/>
      <w:footerReference w:type="first" r:id="rId11"/>
      <w:pgSz w:w="12240" w:h="15840" w:code="1"/>
      <w:pgMar w:top="1260" w:right="1440" w:bottom="1440" w:left="1440" w:header="720" w:footer="84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6737" w:rsidRDefault="00946737" w:rsidP="005B402B">
      <w:r>
        <w:separator/>
      </w:r>
    </w:p>
  </w:endnote>
  <w:endnote w:type="continuationSeparator" w:id="0">
    <w:p w:rsidR="00946737" w:rsidRDefault="00946737" w:rsidP="005B4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FS Thrive Elliot">
    <w:panose1 w:val="02060403030202020204"/>
    <w:charset w:val="00"/>
    <w:family w:val="roman"/>
    <w:notTrueType/>
    <w:pitch w:val="variable"/>
    <w:sig w:usb0="A000006F" w:usb1="4000207A" w:usb2="00000000" w:usb3="00000000" w:csb0="00000093" w:csb1="00000000"/>
  </w:font>
  <w:font w:name="FS Thrive Elliot Heavy">
    <w:panose1 w:val="02060403030202020204"/>
    <w:charset w:val="00"/>
    <w:family w:val="roman"/>
    <w:notTrueType/>
    <w:pitch w:val="variable"/>
    <w:sig w:usb0="A000006F" w:usb1="4000207A" w:usb2="00000000" w:usb3="00000000" w:csb0="00000093" w:csb1="00000000"/>
  </w:font>
  <w:font w:name="FS Elliot Pro Thin">
    <w:altName w:val="Arial"/>
    <w:panose1 w:val="00000000000000000000"/>
    <w:charset w:val="00"/>
    <w:family w:val="modern"/>
    <w:notTrueType/>
    <w:pitch w:val="variable"/>
    <w:sig w:usb0="00000001" w:usb1="5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S Elliot Pro Heavy">
    <w:altName w:val="Arial"/>
    <w:panose1 w:val="00000000000000000000"/>
    <w:charset w:val="00"/>
    <w:family w:val="modern"/>
    <w:notTrueType/>
    <w:pitch w:val="variable"/>
    <w:sig w:usb0="00000001" w:usb1="5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FS Elliot Pro">
    <w:altName w:val="Arial"/>
    <w:panose1 w:val="00000000000000000000"/>
    <w:charset w:val="00"/>
    <w:family w:val="modern"/>
    <w:notTrueType/>
    <w:pitch w:val="variable"/>
    <w:sig w:usb0="00000001" w:usb1="5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445" w:rsidRDefault="003B4445" w:rsidP="003B4445">
    <w:pPr>
      <w:pStyle w:val="Footer"/>
      <w:tabs>
        <w:tab w:val="clear" w:pos="4680"/>
      </w:tabs>
    </w:pPr>
    <w:r>
      <w:br/>
    </w:r>
    <w:r w:rsidR="00F46275">
      <w:t xml:space="preserve">204.00 </w:t>
    </w:r>
    <w:r w:rsidR="002F4425">
      <w:t>Mobile Device Security Policy</w:t>
    </w:r>
    <w:r>
      <w:tab/>
    </w:r>
    <w:r>
      <w:fldChar w:fldCharType="begin"/>
    </w:r>
    <w:r>
      <w:instrText xml:space="preserve"> PAGE   \* MERGEFORMAT </w:instrText>
    </w:r>
    <w:r>
      <w:fldChar w:fldCharType="separate"/>
    </w:r>
    <w:r w:rsidR="00754BB5">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357" w:rsidRDefault="00075357">
    <w:pPr>
      <w:pStyle w:val="Footer"/>
    </w:pPr>
    <w:r>
      <w:rPr>
        <w:noProof/>
      </w:rPr>
      <w:drawing>
        <wp:anchor distT="0" distB="0" distL="114300" distR="114300" simplePos="0" relativeHeight="251659264" behindDoc="1" locked="0" layoutInCell="1" allowOverlap="1" wp14:anchorId="670FCB4F" wp14:editId="63F78F28">
          <wp:simplePos x="0" y="0"/>
          <wp:positionH relativeFrom="column">
            <wp:posOffset>4792980</wp:posOffset>
          </wp:positionH>
          <wp:positionV relativeFrom="paragraph">
            <wp:posOffset>-135890</wp:posOffset>
          </wp:positionV>
          <wp:extent cx="1380490" cy="642620"/>
          <wp:effectExtent l="0" t="0" r="0" b="0"/>
          <wp:wrapTight wrapText="bothSides">
            <wp:wrapPolygon edited="0">
              <wp:start x="7750" y="640"/>
              <wp:lineTo x="3875" y="2561"/>
              <wp:lineTo x="298" y="7043"/>
              <wp:lineTo x="596" y="13447"/>
              <wp:lineTo x="10134" y="19850"/>
              <wp:lineTo x="12817" y="19850"/>
              <wp:lineTo x="20567" y="13447"/>
              <wp:lineTo x="21163" y="4482"/>
              <wp:lineTo x="18778" y="2561"/>
              <wp:lineTo x="8942" y="640"/>
              <wp:lineTo x="7750" y="64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ht_Logo_NEW.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0490" cy="642620"/>
                  </a:xfrm>
                  <a:prstGeom prst="rect">
                    <a:avLst/>
                  </a:prstGeom>
                </pic:spPr>
              </pic:pic>
            </a:graphicData>
          </a:graphic>
          <wp14:sizeRelH relativeFrom="page">
            <wp14:pctWidth>0</wp14:pctWidth>
          </wp14:sizeRelH>
          <wp14:sizeRelV relativeFrom="page">
            <wp14:pctHeight>0</wp14:pctHeight>
          </wp14:sizeRelV>
        </wp:anchor>
      </w:drawing>
    </w:r>
    <w:r w:rsidR="007372A8" w:rsidRPr="007372A8">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6737" w:rsidRDefault="00946737" w:rsidP="005B402B">
      <w:r>
        <w:separator/>
      </w:r>
    </w:p>
  </w:footnote>
  <w:footnote w:type="continuationSeparator" w:id="0">
    <w:p w:rsidR="00946737" w:rsidRDefault="00946737" w:rsidP="005B40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81F1A"/>
    <w:multiLevelType w:val="multilevel"/>
    <w:tmpl w:val="B3C4D8B2"/>
    <w:styleLink w:val="AonList"/>
    <w:lvl w:ilvl="0">
      <w:start w:val="1"/>
      <w:numFmt w:val="bullet"/>
      <w:pStyle w:val="AonBullet1"/>
      <w:lvlText w:val=""/>
      <w:lvlJc w:val="left"/>
      <w:pPr>
        <w:tabs>
          <w:tab w:val="num" w:pos="360"/>
        </w:tabs>
        <w:ind w:left="360" w:hanging="360"/>
      </w:pPr>
      <w:rPr>
        <w:rFonts w:ascii="Wingdings" w:hAnsi="Wingdings" w:cs="Times New Roman" w:hint="default"/>
        <w:color w:val="auto"/>
        <w:sz w:val="20"/>
        <w:szCs w:val="20"/>
      </w:rPr>
    </w:lvl>
    <w:lvl w:ilvl="1">
      <w:start w:val="1"/>
      <w:numFmt w:val="bullet"/>
      <w:pStyle w:val="AonBullet2"/>
      <w:lvlText w:val="–"/>
      <w:lvlJc w:val="left"/>
      <w:pPr>
        <w:tabs>
          <w:tab w:val="num" w:pos="720"/>
        </w:tabs>
        <w:ind w:left="720" w:hanging="360"/>
      </w:pPr>
      <w:rPr>
        <w:rFonts w:ascii="Arial" w:hAnsi="Arial" w:cs="Times New Roman" w:hint="default"/>
        <w:b/>
        <w:i w:val="0"/>
        <w:color w:val="auto"/>
      </w:rPr>
    </w:lvl>
    <w:lvl w:ilvl="2">
      <w:start w:val="1"/>
      <w:numFmt w:val="bullet"/>
      <w:pStyle w:val="AonBullet3"/>
      <w:lvlText w:val="•"/>
      <w:lvlJc w:val="left"/>
      <w:pPr>
        <w:tabs>
          <w:tab w:val="num" w:pos="1080"/>
        </w:tabs>
        <w:ind w:left="1080" w:hanging="360"/>
      </w:pPr>
      <w:rPr>
        <w:rFonts w:ascii="Arial" w:hAnsi="Arial" w:cs="Times New Roman" w:hint="default"/>
        <w:szCs w:val="20"/>
      </w:rPr>
    </w:lvl>
    <w:lvl w:ilvl="3">
      <w:start w:val="1"/>
      <w:numFmt w:val="bullet"/>
      <w:pStyle w:val="AonBullet4"/>
      <w:lvlText w:val=""/>
      <w:lvlJc w:val="left"/>
      <w:pPr>
        <w:tabs>
          <w:tab w:val="num" w:pos="1440"/>
        </w:tabs>
        <w:ind w:left="1440" w:hanging="360"/>
      </w:pPr>
      <w:rPr>
        <w:rFonts w:ascii="Symbol" w:hAnsi="Symbol" w:cs="Times New Roman" w:hint="default"/>
        <w:sz w:val="20"/>
        <w:szCs w:val="20"/>
      </w:rPr>
    </w:lvl>
    <w:lvl w:ilvl="4">
      <w:start w:val="1"/>
      <w:numFmt w:val="bullet"/>
      <w:pStyle w:val="AonBullet5"/>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
    <w:nsid w:val="0BCC3BFB"/>
    <w:multiLevelType w:val="multilevel"/>
    <w:tmpl w:val="9140EC12"/>
    <w:lvl w:ilvl="0">
      <w:start w:val="6"/>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9B90EE0"/>
    <w:multiLevelType w:val="hybridMultilevel"/>
    <w:tmpl w:val="E1ECB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FC7CCC"/>
    <w:multiLevelType w:val="multilevel"/>
    <w:tmpl w:val="EE1C6446"/>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4">
    <w:nsid w:val="2B8965B7"/>
    <w:multiLevelType w:val="hybridMultilevel"/>
    <w:tmpl w:val="00DEA1FA"/>
    <w:lvl w:ilvl="0" w:tplc="99EA2884">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596C87"/>
    <w:multiLevelType w:val="hybridMultilevel"/>
    <w:tmpl w:val="774C0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DE6897"/>
    <w:multiLevelType w:val="hybridMultilevel"/>
    <w:tmpl w:val="417A55A0"/>
    <w:lvl w:ilvl="0" w:tplc="3BCE9656">
      <w:start w:val="1"/>
      <w:numFmt w:val="bullet"/>
      <w:pStyle w:val="Bullet5"/>
      <w:lvlText w:val=""/>
      <w:lvlJc w:val="left"/>
      <w:pPr>
        <w:ind w:left="2160" w:hanging="360"/>
      </w:pPr>
      <w:rPr>
        <w:rFonts w:ascii="Webdings" w:hAnsi="Web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9663067"/>
    <w:multiLevelType w:val="hybridMultilevel"/>
    <w:tmpl w:val="2F7CF7C6"/>
    <w:lvl w:ilvl="0" w:tplc="0292D60C">
      <w:start w:val="1"/>
      <w:numFmt w:val="bullet"/>
      <w:pStyle w:val="Bullet3"/>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9F64E1C"/>
    <w:multiLevelType w:val="multilevel"/>
    <w:tmpl w:val="0409001F"/>
    <w:lvl w:ilvl="0">
      <w:start w:val="1"/>
      <w:numFmt w:val="decimal"/>
      <w:lvlText w:val="%1."/>
      <w:lvlJc w:val="left"/>
      <w:pPr>
        <w:ind w:left="72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21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9">
    <w:nsid w:val="453A102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nsid w:val="4AC81173"/>
    <w:multiLevelType w:val="multilevel"/>
    <w:tmpl w:val="B3C4D8B2"/>
    <w:numStyleLink w:val="AonList"/>
  </w:abstractNum>
  <w:abstractNum w:abstractNumId="11">
    <w:nsid w:val="55F97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B3F43BF"/>
    <w:multiLevelType w:val="hybridMultilevel"/>
    <w:tmpl w:val="EB5A6786"/>
    <w:lvl w:ilvl="0" w:tplc="20687E7E">
      <w:start w:val="1"/>
      <w:numFmt w:val="bullet"/>
      <w:pStyle w:val="Bullet2"/>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CA902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CA9143F"/>
    <w:multiLevelType w:val="multilevel"/>
    <w:tmpl w:val="F3548542"/>
    <w:lvl w:ilvl="0">
      <w:start w:val="1"/>
      <w:numFmt w:val="bullet"/>
      <w:pStyle w:val="Bullet1Table"/>
      <w:lvlText w:val=""/>
      <w:lvlJc w:val="left"/>
      <w:pPr>
        <w:ind w:left="360" w:hanging="360"/>
      </w:pPr>
      <w:rPr>
        <w:rFonts w:ascii="Symbol" w:hAnsi="Symbol" w:hint="default"/>
        <w:color w:val="auto"/>
        <w:sz w:val="22"/>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5">
    <w:nsid w:val="5CD1110D"/>
    <w:multiLevelType w:val="hybridMultilevel"/>
    <w:tmpl w:val="1E3093D6"/>
    <w:lvl w:ilvl="0" w:tplc="13F600C8">
      <w:start w:val="1"/>
      <w:numFmt w:val="bullet"/>
      <w:pStyle w:val="Bullet4"/>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6803106E"/>
    <w:multiLevelType w:val="hybridMultilevel"/>
    <w:tmpl w:val="F294C4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9715396"/>
    <w:multiLevelType w:val="multilevel"/>
    <w:tmpl w:val="328C778E"/>
    <w:lvl w:ilvl="0">
      <w:start w:val="8"/>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0E42893"/>
    <w:multiLevelType w:val="multilevel"/>
    <w:tmpl w:val="3704F208"/>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7F11A83"/>
    <w:multiLevelType w:val="hybridMultilevel"/>
    <w:tmpl w:val="59E87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7"/>
  </w:num>
  <w:num w:numId="4">
    <w:abstractNumId w:val="14"/>
  </w:num>
  <w:num w:numId="5">
    <w:abstractNumId w:val="15"/>
  </w:num>
  <w:num w:numId="6">
    <w:abstractNumId w:val="6"/>
  </w:num>
  <w:num w:numId="7">
    <w:abstractNumId w:val="0"/>
  </w:num>
  <w:num w:numId="8">
    <w:abstractNumId w:val="10"/>
  </w:num>
  <w:num w:numId="9">
    <w:abstractNumId w:val="8"/>
  </w:num>
  <w:num w:numId="10">
    <w:abstractNumId w:val="3"/>
  </w:num>
  <w:num w:numId="11">
    <w:abstractNumId w:val="19"/>
  </w:num>
  <w:num w:numId="12">
    <w:abstractNumId w:val="11"/>
  </w:num>
  <w:num w:numId="13">
    <w:abstractNumId w:val="18"/>
  </w:num>
  <w:num w:numId="14">
    <w:abstractNumId w:val="2"/>
  </w:num>
  <w:num w:numId="15">
    <w:abstractNumId w:val="5"/>
  </w:num>
  <w:num w:numId="16">
    <w:abstractNumId w:val="13"/>
  </w:num>
  <w:num w:numId="17">
    <w:abstractNumId w:val="1"/>
  </w:num>
  <w:num w:numId="18">
    <w:abstractNumId w:val="17"/>
  </w:num>
  <w:num w:numId="19">
    <w:abstractNumId w:val="16"/>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101"/>
    <w:rsid w:val="00004CB7"/>
    <w:rsid w:val="00012EB6"/>
    <w:rsid w:val="00016ED0"/>
    <w:rsid w:val="00026D6E"/>
    <w:rsid w:val="00046D27"/>
    <w:rsid w:val="00075357"/>
    <w:rsid w:val="00087709"/>
    <w:rsid w:val="000B2B20"/>
    <w:rsid w:val="000C237C"/>
    <w:rsid w:val="001052D9"/>
    <w:rsid w:val="00130EFA"/>
    <w:rsid w:val="00132EAB"/>
    <w:rsid w:val="00133EB8"/>
    <w:rsid w:val="001519A0"/>
    <w:rsid w:val="00161C38"/>
    <w:rsid w:val="00193FB9"/>
    <w:rsid w:val="001D01D4"/>
    <w:rsid w:val="00207AC9"/>
    <w:rsid w:val="00230498"/>
    <w:rsid w:val="00234A8F"/>
    <w:rsid w:val="00243115"/>
    <w:rsid w:val="00243AAD"/>
    <w:rsid w:val="0026509A"/>
    <w:rsid w:val="00274338"/>
    <w:rsid w:val="002757BF"/>
    <w:rsid w:val="002C43A9"/>
    <w:rsid w:val="002D378B"/>
    <w:rsid w:val="002F4425"/>
    <w:rsid w:val="00321778"/>
    <w:rsid w:val="003641B4"/>
    <w:rsid w:val="003B4445"/>
    <w:rsid w:val="003D11EF"/>
    <w:rsid w:val="00484C05"/>
    <w:rsid w:val="004A6699"/>
    <w:rsid w:val="004C19C5"/>
    <w:rsid w:val="004F6723"/>
    <w:rsid w:val="00572B9B"/>
    <w:rsid w:val="0058699E"/>
    <w:rsid w:val="00596FE5"/>
    <w:rsid w:val="005B402B"/>
    <w:rsid w:val="005D6101"/>
    <w:rsid w:val="00623BC3"/>
    <w:rsid w:val="00631213"/>
    <w:rsid w:val="0064411E"/>
    <w:rsid w:val="00657BDB"/>
    <w:rsid w:val="00666F6C"/>
    <w:rsid w:val="006F2AD3"/>
    <w:rsid w:val="007372A8"/>
    <w:rsid w:val="0074779E"/>
    <w:rsid w:val="00754BB5"/>
    <w:rsid w:val="007B6C0D"/>
    <w:rsid w:val="008671C4"/>
    <w:rsid w:val="00877C5D"/>
    <w:rsid w:val="008F152A"/>
    <w:rsid w:val="008F740A"/>
    <w:rsid w:val="009349C9"/>
    <w:rsid w:val="00942648"/>
    <w:rsid w:val="00946737"/>
    <w:rsid w:val="009837F6"/>
    <w:rsid w:val="009A1695"/>
    <w:rsid w:val="009A3A28"/>
    <w:rsid w:val="009C15C5"/>
    <w:rsid w:val="009F7CF9"/>
    <w:rsid w:val="00A667E0"/>
    <w:rsid w:val="00A855D2"/>
    <w:rsid w:val="00B33A2C"/>
    <w:rsid w:val="00B606E6"/>
    <w:rsid w:val="00B71DB5"/>
    <w:rsid w:val="00C16A23"/>
    <w:rsid w:val="00C57EE1"/>
    <w:rsid w:val="00D33649"/>
    <w:rsid w:val="00D563B0"/>
    <w:rsid w:val="00D5712B"/>
    <w:rsid w:val="00D80981"/>
    <w:rsid w:val="00D81842"/>
    <w:rsid w:val="00D94A05"/>
    <w:rsid w:val="00DF3ECD"/>
    <w:rsid w:val="00E147BB"/>
    <w:rsid w:val="00E269A3"/>
    <w:rsid w:val="00E542BC"/>
    <w:rsid w:val="00E82861"/>
    <w:rsid w:val="00F06404"/>
    <w:rsid w:val="00F46275"/>
    <w:rsid w:val="00FB3C3F"/>
    <w:rsid w:val="00FC2C8C"/>
    <w:rsid w:val="00FD0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 w:type="character" w:styleId="CommentReference">
    <w:name w:val="annotation reference"/>
    <w:basedOn w:val="DefaultParagraphFont"/>
    <w:uiPriority w:val="99"/>
    <w:semiHidden/>
    <w:unhideWhenUsed/>
    <w:rsid w:val="002F4425"/>
    <w:rPr>
      <w:sz w:val="16"/>
      <w:szCs w:val="16"/>
    </w:rPr>
  </w:style>
  <w:style w:type="paragraph" w:styleId="CommentText">
    <w:name w:val="annotation text"/>
    <w:basedOn w:val="Normal"/>
    <w:link w:val="CommentTextChar"/>
    <w:uiPriority w:val="99"/>
    <w:semiHidden/>
    <w:unhideWhenUsed/>
    <w:rsid w:val="002F4425"/>
    <w:pPr>
      <w:spacing w:line="240" w:lineRule="auto"/>
    </w:pPr>
    <w:rPr>
      <w:szCs w:val="20"/>
    </w:rPr>
  </w:style>
  <w:style w:type="character" w:customStyle="1" w:styleId="CommentTextChar">
    <w:name w:val="Comment Text Char"/>
    <w:basedOn w:val="DefaultParagraphFont"/>
    <w:link w:val="CommentText"/>
    <w:uiPriority w:val="99"/>
    <w:semiHidden/>
    <w:rsid w:val="002F4425"/>
    <w:rPr>
      <w:rFonts w:ascii="FS Thrive Elliot" w:hAnsi="FS Thrive Elliot"/>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 w:type="character" w:styleId="CommentReference">
    <w:name w:val="annotation reference"/>
    <w:basedOn w:val="DefaultParagraphFont"/>
    <w:uiPriority w:val="99"/>
    <w:semiHidden/>
    <w:unhideWhenUsed/>
    <w:rsid w:val="002F4425"/>
    <w:rPr>
      <w:sz w:val="16"/>
      <w:szCs w:val="16"/>
    </w:rPr>
  </w:style>
  <w:style w:type="paragraph" w:styleId="CommentText">
    <w:name w:val="annotation text"/>
    <w:basedOn w:val="Normal"/>
    <w:link w:val="CommentTextChar"/>
    <w:uiPriority w:val="99"/>
    <w:semiHidden/>
    <w:unhideWhenUsed/>
    <w:rsid w:val="002F4425"/>
    <w:pPr>
      <w:spacing w:line="240" w:lineRule="auto"/>
    </w:pPr>
    <w:rPr>
      <w:szCs w:val="20"/>
    </w:rPr>
  </w:style>
  <w:style w:type="character" w:customStyle="1" w:styleId="CommentTextChar">
    <w:name w:val="Comment Text Char"/>
    <w:basedOn w:val="DefaultParagraphFont"/>
    <w:link w:val="CommentText"/>
    <w:uiPriority w:val="99"/>
    <w:semiHidden/>
    <w:rsid w:val="002F4425"/>
    <w:rPr>
      <w:rFonts w:ascii="FS Thrive Elliot" w:hAnsi="FS Thrive Ellio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17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global.security.services@Aon.com" TargetMode="External"/><Relationship Id="rId14" Type="http://schemas.openxmlformats.org/officeDocument/2006/relationships/customXml" Target="../customXml/item2.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Alight">
  <a:themeElements>
    <a:clrScheme name="Alight">
      <a:dk1>
        <a:srgbClr val="000000"/>
      </a:dk1>
      <a:lt1>
        <a:sysClr val="window" lastClr="FFFFFF"/>
      </a:lt1>
      <a:dk2>
        <a:srgbClr val="777877"/>
      </a:dk2>
      <a:lt2>
        <a:srgbClr val="FFF200"/>
      </a:lt2>
      <a:accent1>
        <a:srgbClr val="FFF200"/>
      </a:accent1>
      <a:accent2>
        <a:srgbClr val="725091"/>
      </a:accent2>
      <a:accent3>
        <a:srgbClr val="1473A5"/>
      </a:accent3>
      <a:accent4>
        <a:srgbClr val="8BD0CD"/>
      </a:accent4>
      <a:accent5>
        <a:srgbClr val="00AF57"/>
      </a:accent5>
      <a:accent6>
        <a:srgbClr val="000000"/>
      </a:accent6>
      <a:hlink>
        <a:srgbClr val="000000"/>
      </a:hlink>
      <a:folHlink>
        <a:srgbClr val="777877"/>
      </a:folHlink>
    </a:clrScheme>
    <a:fontScheme name="FS Thrive Elliot">
      <a:majorFont>
        <a:latin typeface="FS Thrive Elliot Heavy"/>
        <a:ea typeface=""/>
        <a:cs typeface=""/>
      </a:majorFont>
      <a:minorFont>
        <a:latin typeface="FS Thrive Ellio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bodyPr lIns="0" tIns="0" rIns="0" bIns="0" anchor="t">
        <a:noAutofit/>
      </a:bodyPr>
      <a:lstStyle>
        <a:defPPr>
          <a:lnSpc>
            <a:spcPts val="2000"/>
          </a:lnSpc>
          <a:defRPr sz="1800" dirty="0">
            <a:solidFill>
              <a:srgbClr val="000000"/>
            </a:solidFill>
            <a:latin typeface="+mn-lt"/>
            <a:cs typeface="FS Thrive Elliot Regular"/>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78741735743CE4784466B0A0776B074" ma:contentTypeVersion="0" ma:contentTypeDescription="Create a new document." ma:contentTypeScope="" ma:versionID="09b12081014b2eea1ff1b820d56354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EB73F9-D562-4B2B-B079-3D21ABFCAC55}">
  <ds:schemaRefs>
    <ds:schemaRef ds:uri="http://schemas.openxmlformats.org/officeDocument/2006/bibliography"/>
  </ds:schemaRefs>
</ds:datastoreItem>
</file>

<file path=customXml/itemProps2.xml><?xml version="1.0" encoding="utf-8"?>
<ds:datastoreItem xmlns:ds="http://schemas.openxmlformats.org/officeDocument/2006/customXml" ds:itemID="{99CAFE37-0DE5-49D6-814C-C899DB1EC124}"/>
</file>

<file path=customXml/itemProps3.xml><?xml version="1.0" encoding="utf-8"?>
<ds:datastoreItem xmlns:ds="http://schemas.openxmlformats.org/officeDocument/2006/customXml" ds:itemID="{9F31CD83-F03F-4F82-BBBC-5F1C1BE7B4AF}"/>
</file>

<file path=customXml/itemProps4.xml><?xml version="1.0" encoding="utf-8"?>
<ds:datastoreItem xmlns:ds="http://schemas.openxmlformats.org/officeDocument/2006/customXml" ds:itemID="{8D1EBFF2-09CA-4671-943B-CE4639513D7E}"/>
</file>

<file path=docProps/app.xml><?xml version="1.0" encoding="utf-8"?>
<Properties xmlns="http://schemas.openxmlformats.org/officeDocument/2006/extended-properties" xmlns:vt="http://schemas.openxmlformats.org/officeDocument/2006/docPropsVTypes">
  <Template>Normal.dotm</Template>
  <TotalTime>4</TotalTime>
  <Pages>12</Pages>
  <Words>3672</Words>
  <Characters>20935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24558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Dolezal</dc:creator>
  <cp:lastModifiedBy>Courtney Weiland</cp:lastModifiedBy>
  <cp:revision>3</cp:revision>
  <cp:lastPrinted>2017-07-21T14:27:00Z</cp:lastPrinted>
  <dcterms:created xsi:type="dcterms:W3CDTF">2017-07-21T14:27:00Z</dcterms:created>
  <dcterms:modified xsi:type="dcterms:W3CDTF">2017-07-21T14:52:00Z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0x010100F78741735743CE4784466B0A0776B074</vt:lpwstr>
  </property>
</Properties>
</file>