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6E8" w:rsidRDefault="00F226E8" w:rsidP="00F226E8">
      <w:pPr>
        <w:pStyle w:val="Heading1"/>
      </w:pPr>
      <w:bookmarkStart w:id="0" w:name="_Toc289842747"/>
      <w:bookmarkStart w:id="1" w:name="_Toc301517818"/>
      <w:bookmarkStart w:id="2" w:name="_Toc304735574"/>
      <w:bookmarkStart w:id="3" w:name="_Toc300653622"/>
      <w:r>
        <w:t>Information Security Incident Response Policy</w:t>
      </w:r>
    </w:p>
    <w:p w:rsidR="00F226E8" w:rsidRPr="001325AE" w:rsidRDefault="00F226E8" w:rsidP="00F226E8">
      <w:pPr>
        <w:pStyle w:val="Heading2"/>
      </w:pPr>
      <w:bookmarkStart w:id="4" w:name="_Toc304735578"/>
      <w:bookmarkEnd w:id="0"/>
      <w:bookmarkEnd w:id="1"/>
      <w:bookmarkEnd w:id="2"/>
      <w:r w:rsidRPr="001325AE">
        <w:t>Purpose</w:t>
      </w:r>
    </w:p>
    <w:p w:rsidR="00F226E8" w:rsidRDefault="00F226E8" w:rsidP="00F226E8">
      <w:pPr>
        <w:pStyle w:val="NormalDS"/>
      </w:pPr>
      <w:bookmarkStart w:id="5" w:name="_Toc158805971"/>
      <w:bookmarkStart w:id="6" w:name="_Toc289842748"/>
      <w:bookmarkStart w:id="7" w:name="_Toc300658435"/>
      <w:bookmarkStart w:id="8" w:name="_Toc304990088"/>
      <w:r w:rsidRPr="00F14B98">
        <w:t>This policy covers incidents that may affect the</w:t>
      </w:r>
      <w:r>
        <w:t xml:space="preserve"> confidentiality,</w:t>
      </w:r>
      <w:r w:rsidRPr="00F14B98">
        <w:t xml:space="preserve"> integrity</w:t>
      </w:r>
      <w:r>
        <w:t>,</w:t>
      </w:r>
      <w:r w:rsidRPr="00F14B98">
        <w:t xml:space="preserve"> </w:t>
      </w:r>
      <w:r>
        <w:t xml:space="preserve">and availability </w:t>
      </w:r>
      <w:r w:rsidRPr="00F14B98">
        <w:t xml:space="preserve">of </w:t>
      </w:r>
      <w:r>
        <w:t>Alight's information assets</w:t>
      </w:r>
      <w:r w:rsidRPr="00F14B98">
        <w:t xml:space="preserve"> and </w:t>
      </w:r>
      <w:r>
        <w:t>documents the key requirements for effectively addressing the information security incident.</w:t>
      </w:r>
    </w:p>
    <w:p w:rsidR="00F226E8" w:rsidRPr="00F14B98" w:rsidRDefault="00F226E8" w:rsidP="00F226E8">
      <w:pPr>
        <w:pStyle w:val="NormalDS"/>
      </w:pPr>
      <w:r>
        <w:t>T</w:t>
      </w:r>
      <w:r w:rsidRPr="00F14B98">
        <w:t>his policy is not intended to provid</w:t>
      </w:r>
      <w:r>
        <w:t>e a substitute for legal advice</w:t>
      </w:r>
      <w:r w:rsidRPr="00F14B98">
        <w:t xml:space="preserve"> </w:t>
      </w:r>
      <w:r>
        <w:t>but</w:t>
      </w:r>
      <w:r w:rsidRPr="00F14B98">
        <w:t xml:space="preserve"> approaches the topic from a</w:t>
      </w:r>
      <w:r>
        <w:t>n information</w:t>
      </w:r>
      <w:r w:rsidRPr="00F14B98">
        <w:t xml:space="preserve"> security perspective.</w:t>
      </w:r>
    </w:p>
    <w:bookmarkEnd w:id="5"/>
    <w:bookmarkEnd w:id="6"/>
    <w:p w:rsidR="00F226E8" w:rsidRPr="007E6914" w:rsidRDefault="00F226E8" w:rsidP="00F226E8">
      <w:pPr>
        <w:pStyle w:val="Heading2"/>
      </w:pPr>
      <w:r>
        <w:t>Scop</w:t>
      </w:r>
      <w:r w:rsidRPr="007E6914">
        <w:t>e</w:t>
      </w:r>
      <w:bookmarkEnd w:id="7"/>
      <w:bookmarkEnd w:id="8"/>
    </w:p>
    <w:p w:rsidR="00F226E8" w:rsidRDefault="00F226E8" w:rsidP="00F226E8">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bookmarkStart w:id="9" w:name="_Toc289842663"/>
      <w:bookmarkStart w:id="10" w:name="_Toc289842750"/>
      <w:bookmarkStart w:id="11" w:name="_Toc158805973"/>
    </w:p>
    <w:p w:rsidR="00F226E8" w:rsidRPr="007E6914" w:rsidRDefault="00F226E8" w:rsidP="00F226E8">
      <w:pPr>
        <w:pStyle w:val="Heading2"/>
      </w:pPr>
      <w:r w:rsidRPr="007E6914">
        <w:t>Applicable Audience</w:t>
      </w:r>
    </w:p>
    <w:p w:rsidR="00F226E8" w:rsidRDefault="00F226E8" w:rsidP="00F226E8">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vendors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provides services to Alight</w:t>
      </w:r>
      <w:r w:rsidRPr="00EB36BD">
        <w:t>.</w:t>
      </w:r>
      <w:r>
        <w:t xml:space="preserve">  The term “vendor” refers to all other third parties with which </w:t>
      </w:r>
      <w:proofErr w:type="gramStart"/>
      <w:r>
        <w:t>Alight</w:t>
      </w:r>
      <w:proofErr w:type="gramEnd"/>
      <w:r>
        <w:t xml:space="preserve"> does business. </w:t>
      </w:r>
      <w:bookmarkStart w:id="12" w:name="_Toc300658437"/>
      <w:bookmarkStart w:id="13" w:name="_Toc304990090"/>
    </w:p>
    <w:p w:rsidR="00F226E8" w:rsidRPr="007E6914" w:rsidRDefault="00F226E8" w:rsidP="00F226E8">
      <w:pPr>
        <w:pStyle w:val="Heading2"/>
      </w:pPr>
      <w:r w:rsidRPr="007E6914">
        <w:t>Compliance &amp; Enforcement</w:t>
      </w:r>
      <w:bookmarkEnd w:id="12"/>
      <w:bookmarkEnd w:id="13"/>
    </w:p>
    <w:p w:rsidR="00F226E8" w:rsidRPr="001834FB" w:rsidRDefault="00F226E8" w:rsidP="00F226E8">
      <w:pPr>
        <w:pStyle w:val="NormalDS"/>
      </w:pPr>
      <w:r w:rsidRPr="001834FB">
        <w:t>Compliance with this Policy is mandatory.</w:t>
      </w:r>
    </w:p>
    <w:p w:rsidR="00F226E8" w:rsidRPr="001834FB" w:rsidRDefault="00F226E8" w:rsidP="00F226E8">
      <w:pPr>
        <w:pStyle w:val="NormalDS"/>
      </w:pPr>
      <w:r w:rsidRPr="001834FB">
        <w:t xml:space="preserve">Potential violations of this policy are subject to review and investigation by </w:t>
      </w:r>
      <w:r>
        <w:t>Alight</w:t>
      </w:r>
      <w:r w:rsidRPr="001834FB">
        <w:t xml:space="preserve"> and/or its agents.  Violations of this policy may result in discipline, up to and including removal of assignment, end of contract for vendors, or termination.  This is subject to the procedural requirements of the countries in which </w:t>
      </w:r>
      <w:r>
        <w:t>Alight</w:t>
      </w:r>
      <w:r w:rsidRPr="001834FB">
        <w:t xml:space="preserve"> operates.  </w:t>
      </w:r>
      <w:r>
        <w:t>Alight</w:t>
      </w:r>
      <w:r w:rsidRPr="001834FB">
        <w:t xml:space="preserve"> reserves the right to refer for prosecution any violations of this policy.</w:t>
      </w:r>
    </w:p>
    <w:p w:rsidR="00F226E8" w:rsidRPr="001834FB" w:rsidRDefault="00F226E8" w:rsidP="00F226E8">
      <w:pPr>
        <w:pStyle w:val="NormalDS"/>
      </w:pPr>
      <w:r w:rsidRPr="001834FB">
        <w:t xml:space="preserve">This Policy constitutes the current Policy with respect to its subject matter, and it supersedes and replaces all previous policies relating to its subject matter. </w:t>
      </w:r>
      <w:r>
        <w:t>Alight</w:t>
      </w:r>
      <w:r w:rsidRPr="001834FB">
        <w:t xml:space="preserve"> reserves the right to modify the Policy at its sole discretion at any time with the intent to update on an annual basis.</w:t>
      </w:r>
    </w:p>
    <w:p w:rsidR="00F226E8" w:rsidRPr="00C27A36" w:rsidRDefault="00F226E8" w:rsidP="00F226E8">
      <w:pPr>
        <w:pStyle w:val="NormalDS"/>
      </w:pPr>
    </w:p>
    <w:bookmarkEnd w:id="9"/>
    <w:bookmarkEnd w:id="10"/>
    <w:bookmarkEnd w:id="11"/>
    <w:p w:rsidR="00F226E8" w:rsidRPr="00110062" w:rsidRDefault="00F226E8" w:rsidP="00F226E8">
      <w:pPr>
        <w:pStyle w:val="Heading2"/>
        <w:rPr>
          <w:rStyle w:val="Heading1Char"/>
        </w:rPr>
      </w:pPr>
      <w:r>
        <w:rPr>
          <w:rStyle w:val="Heading1Char"/>
        </w:rPr>
        <w:lastRenderedPageBreak/>
        <w:t>Policy</w:t>
      </w:r>
      <w:r w:rsidRPr="00110062">
        <w:rPr>
          <w:rStyle w:val="Heading1Char"/>
        </w:rPr>
        <w:t xml:space="preserve"> Statements</w:t>
      </w:r>
      <w:bookmarkStart w:id="14" w:name="_Hlt103157950"/>
      <w:bookmarkStart w:id="15" w:name="_Toc300653623"/>
      <w:bookmarkEnd w:id="3"/>
      <w:bookmarkEnd w:id="4"/>
      <w:bookmarkEnd w:id="14"/>
    </w:p>
    <w:p w:rsidR="00F226E8" w:rsidRPr="00F14B98" w:rsidRDefault="00F226E8" w:rsidP="00F226E8">
      <w:pPr>
        <w:pStyle w:val="Heading3"/>
        <w:numPr>
          <w:ilvl w:val="0"/>
          <w:numId w:val="9"/>
        </w:numPr>
        <w:suppressAutoHyphens/>
        <w:autoSpaceDE w:val="0"/>
        <w:autoSpaceDN w:val="0"/>
        <w:adjustRightInd w:val="0"/>
        <w:spacing w:before="0" w:line="264" w:lineRule="auto"/>
        <w:ind w:left="540" w:hanging="540"/>
        <w:textAlignment w:val="center"/>
      </w:pPr>
      <w:bookmarkStart w:id="16" w:name="_Toc301269066"/>
      <w:bookmarkStart w:id="17" w:name="_Toc304736550"/>
      <w:bookmarkStart w:id="18" w:name="_Ref103999072"/>
      <w:bookmarkStart w:id="19" w:name="_Toc144115735"/>
      <w:bookmarkStart w:id="20" w:name="_Toc171751785"/>
      <w:bookmarkStart w:id="21" w:name="_Toc171752823"/>
      <w:bookmarkStart w:id="22" w:name="_Toc171752857"/>
      <w:bookmarkStart w:id="23" w:name="_Toc171753297"/>
      <w:bookmarkStart w:id="24" w:name="_Toc210180813"/>
      <w:bookmarkStart w:id="25" w:name="_Toc289842761"/>
      <w:bookmarkStart w:id="26" w:name="_Toc158805972"/>
      <w:bookmarkStart w:id="27" w:name="_Toc289842767"/>
      <w:bookmarkStart w:id="28" w:name="_Toc301517836"/>
      <w:bookmarkStart w:id="29" w:name="_Toc304735590"/>
      <w:bookmarkEnd w:id="15"/>
      <w:r w:rsidRPr="00F14B98">
        <w:t>Managing Information Security Incidents</w:t>
      </w:r>
      <w:bookmarkEnd w:id="16"/>
      <w:bookmarkEnd w:id="17"/>
      <w:r w:rsidRPr="00F14B98">
        <w:t xml:space="preserve"> </w:t>
      </w:r>
    </w:p>
    <w:p w:rsidR="00F226E8" w:rsidRPr="001834FB" w:rsidRDefault="00F226E8" w:rsidP="00F226E8">
      <w:pPr>
        <w:pStyle w:val="NormalDS"/>
        <w:numPr>
          <w:ilvl w:val="1"/>
          <w:numId w:val="9"/>
        </w:numPr>
      </w:pPr>
      <w:r>
        <w:t>Alight</w:t>
      </w:r>
      <w:r w:rsidRPr="001834FB">
        <w:t xml:space="preserve"> will comprehensively address information security incidents in a timely manner to ensure the restoration of the confidentiality, integrity, and availability of </w:t>
      </w:r>
      <w:r>
        <w:t>Alight</w:t>
      </w:r>
      <w:r w:rsidRPr="001834FB">
        <w:t>'s information assets.</w:t>
      </w:r>
    </w:p>
    <w:p w:rsidR="00F226E8" w:rsidRPr="001834FB" w:rsidRDefault="00F226E8" w:rsidP="00F226E8">
      <w:pPr>
        <w:pStyle w:val="NormalDS"/>
        <w:numPr>
          <w:ilvl w:val="1"/>
          <w:numId w:val="9"/>
        </w:numPr>
      </w:pPr>
      <w:r>
        <w:t>Alight</w:t>
      </w:r>
      <w:r w:rsidRPr="001834FB">
        <w:t xml:space="preserve"> will assemble a computer security incident response team to analyze and effectively address the incident.</w:t>
      </w:r>
    </w:p>
    <w:p w:rsidR="00F226E8" w:rsidRPr="001834FB" w:rsidRDefault="00F226E8" w:rsidP="00F226E8">
      <w:pPr>
        <w:pStyle w:val="NormalDS"/>
        <w:numPr>
          <w:ilvl w:val="1"/>
          <w:numId w:val="9"/>
        </w:numPr>
      </w:pPr>
      <w:r>
        <w:t>Alight</w:t>
      </w:r>
      <w:r w:rsidRPr="001834FB">
        <w:t xml:space="preserve"> will maintain documentation of incident response roles, responsibilities, and incident response timeline. </w:t>
      </w:r>
    </w:p>
    <w:p w:rsidR="00F226E8" w:rsidRPr="001834FB" w:rsidRDefault="00F226E8" w:rsidP="00F226E8">
      <w:pPr>
        <w:pStyle w:val="NormalDS"/>
        <w:numPr>
          <w:ilvl w:val="1"/>
          <w:numId w:val="9"/>
        </w:numPr>
      </w:pPr>
      <w:r>
        <w:t>Alight</w:t>
      </w:r>
      <w:r w:rsidRPr="001834FB">
        <w:t xml:space="preserve"> must document an incident response standard that addresses the following, at a minimum: </w:t>
      </w:r>
    </w:p>
    <w:p w:rsidR="00F226E8" w:rsidRPr="001834FB" w:rsidRDefault="00F226E8" w:rsidP="00F226E8">
      <w:pPr>
        <w:pStyle w:val="NormalDS"/>
        <w:numPr>
          <w:ilvl w:val="2"/>
          <w:numId w:val="9"/>
        </w:numPr>
        <w:ind w:left="1224"/>
      </w:pPr>
      <w:r w:rsidRPr="001834FB">
        <w:t xml:space="preserve">Identification of potential information security incidents. </w:t>
      </w:r>
    </w:p>
    <w:p w:rsidR="00F226E8" w:rsidRPr="001834FB" w:rsidRDefault="00F226E8" w:rsidP="00F226E8">
      <w:pPr>
        <w:pStyle w:val="NormalDS"/>
        <w:numPr>
          <w:ilvl w:val="2"/>
          <w:numId w:val="9"/>
        </w:numPr>
        <w:ind w:left="1224"/>
      </w:pPr>
      <w:r w:rsidRPr="001834FB">
        <w:t>Process to report observed or suspected information security incidents.</w:t>
      </w:r>
    </w:p>
    <w:p w:rsidR="00F226E8" w:rsidRPr="001834FB" w:rsidRDefault="00F226E8" w:rsidP="00F226E8">
      <w:pPr>
        <w:pStyle w:val="NormalDS"/>
        <w:numPr>
          <w:ilvl w:val="2"/>
          <w:numId w:val="9"/>
        </w:numPr>
        <w:ind w:left="1224"/>
      </w:pPr>
      <w:r w:rsidRPr="001834FB">
        <w:t xml:space="preserve">List of stakeholders. </w:t>
      </w:r>
    </w:p>
    <w:p w:rsidR="00F226E8" w:rsidRPr="001834FB" w:rsidRDefault="00F226E8" w:rsidP="00F226E8">
      <w:pPr>
        <w:pStyle w:val="NormalDS"/>
        <w:numPr>
          <w:ilvl w:val="2"/>
          <w:numId w:val="9"/>
        </w:numPr>
        <w:ind w:left="1224"/>
      </w:pPr>
      <w:r w:rsidRPr="001834FB">
        <w:t>Communication and contact strategies.</w:t>
      </w:r>
    </w:p>
    <w:p w:rsidR="00F226E8" w:rsidRPr="001834FB" w:rsidRDefault="00F226E8" w:rsidP="00F226E8">
      <w:pPr>
        <w:pStyle w:val="NormalDS"/>
        <w:numPr>
          <w:ilvl w:val="2"/>
          <w:numId w:val="9"/>
        </w:numPr>
        <w:ind w:left="1224"/>
      </w:pPr>
      <w:r w:rsidRPr="001834FB">
        <w:t>Notification requirements and communication plans.</w:t>
      </w:r>
    </w:p>
    <w:p w:rsidR="00F226E8" w:rsidRPr="001834FB" w:rsidRDefault="00F226E8" w:rsidP="00F226E8">
      <w:pPr>
        <w:pStyle w:val="NormalDS"/>
        <w:numPr>
          <w:ilvl w:val="2"/>
          <w:numId w:val="9"/>
        </w:numPr>
        <w:ind w:left="1224"/>
      </w:pPr>
      <w:r w:rsidRPr="001834FB">
        <w:t>Analysis.</w:t>
      </w:r>
    </w:p>
    <w:p w:rsidR="00F226E8" w:rsidRPr="001834FB" w:rsidRDefault="00F226E8" w:rsidP="00F226E8">
      <w:pPr>
        <w:pStyle w:val="NormalDS"/>
        <w:numPr>
          <w:ilvl w:val="2"/>
          <w:numId w:val="9"/>
        </w:numPr>
        <w:ind w:left="1224"/>
      </w:pPr>
      <w:r w:rsidRPr="001834FB">
        <w:t>Containment.</w:t>
      </w:r>
    </w:p>
    <w:p w:rsidR="00F226E8" w:rsidRPr="001834FB" w:rsidRDefault="00F226E8" w:rsidP="00F226E8">
      <w:pPr>
        <w:pStyle w:val="NormalDS"/>
        <w:numPr>
          <w:ilvl w:val="2"/>
          <w:numId w:val="9"/>
        </w:numPr>
        <w:ind w:left="1224"/>
      </w:pPr>
      <w:r w:rsidRPr="001834FB">
        <w:t>Business recovery and continuity plans.</w:t>
      </w:r>
    </w:p>
    <w:p w:rsidR="00F226E8" w:rsidRPr="001834FB" w:rsidRDefault="00F226E8" w:rsidP="00F226E8">
      <w:pPr>
        <w:pStyle w:val="NormalDS"/>
        <w:numPr>
          <w:ilvl w:val="2"/>
          <w:numId w:val="9"/>
        </w:numPr>
        <w:ind w:left="1224"/>
      </w:pPr>
      <w:r w:rsidRPr="001834FB">
        <w:t>Data backup processes, roles, and responsibilities.</w:t>
      </w:r>
    </w:p>
    <w:p w:rsidR="00F226E8" w:rsidRPr="001834FB" w:rsidRDefault="00F226E8" w:rsidP="00F226E8">
      <w:pPr>
        <w:pStyle w:val="NormalDS"/>
        <w:numPr>
          <w:ilvl w:val="2"/>
          <w:numId w:val="9"/>
        </w:numPr>
        <w:ind w:left="1224"/>
      </w:pPr>
      <w:r w:rsidRPr="001834FB">
        <w:t>Alerts from intrusion detection, intrusion prevention, and file integrity monitoring.</w:t>
      </w:r>
    </w:p>
    <w:p w:rsidR="00F226E8" w:rsidRPr="001834FB" w:rsidRDefault="00F226E8" w:rsidP="00F226E8">
      <w:pPr>
        <w:pStyle w:val="NormalDS"/>
        <w:numPr>
          <w:ilvl w:val="2"/>
          <w:numId w:val="9"/>
        </w:numPr>
        <w:ind w:left="1224"/>
      </w:pPr>
      <w:r w:rsidRPr="001834FB">
        <w:t>Feedback and lessons learned.</w:t>
      </w:r>
    </w:p>
    <w:p w:rsidR="00F226E8" w:rsidRPr="00F86BDB" w:rsidRDefault="00F226E8" w:rsidP="00F226E8">
      <w:pPr>
        <w:pStyle w:val="NormalDS"/>
        <w:numPr>
          <w:ilvl w:val="1"/>
          <w:numId w:val="9"/>
        </w:numPr>
      </w:pPr>
      <w:r>
        <w:t>Alight</w:t>
      </w:r>
      <w:r w:rsidRPr="00F86BDB">
        <w:t xml:space="preserve"> </w:t>
      </w:r>
      <w:r>
        <w:t xml:space="preserve">must </w:t>
      </w:r>
      <w:r w:rsidRPr="00F86BDB">
        <w:t xml:space="preserve">test the incident response plan at least annually.  Testing must occur on a yearly basis per region, and at the discretion of that region’s CISO. </w:t>
      </w:r>
    </w:p>
    <w:p w:rsidR="00F226E8" w:rsidRPr="00F86BDB" w:rsidRDefault="00F226E8" w:rsidP="00F226E8">
      <w:pPr>
        <w:pStyle w:val="NormalDS"/>
        <w:numPr>
          <w:ilvl w:val="1"/>
          <w:numId w:val="9"/>
        </w:numPr>
      </w:pPr>
      <w:r>
        <w:t>Alight</w:t>
      </w:r>
      <w:r w:rsidRPr="00F86BDB">
        <w:t xml:space="preserve"> will update the incident response plan based on lessons learned and industry developments. </w:t>
      </w:r>
    </w:p>
    <w:p w:rsidR="00F226E8" w:rsidRPr="00F86BDB" w:rsidRDefault="00F226E8" w:rsidP="00F226E8">
      <w:pPr>
        <w:pStyle w:val="NormalDS"/>
        <w:numPr>
          <w:ilvl w:val="1"/>
          <w:numId w:val="9"/>
        </w:numPr>
      </w:pPr>
      <w:r>
        <w:t>Alight</w:t>
      </w:r>
      <w:r w:rsidRPr="00F86BDB">
        <w:t xml:space="preserve"> </w:t>
      </w:r>
      <w:r>
        <w:t>must</w:t>
      </w:r>
      <w:r w:rsidRPr="00F86BDB">
        <w:t xml:space="preserve"> designate personnel to be available on a 24/7 basis to respond to alerts.  The initial point of contact and control for information security incidents is the Global Emergency Operations Center.</w:t>
      </w:r>
    </w:p>
    <w:p w:rsidR="00F226E8" w:rsidRPr="00F86BDB" w:rsidRDefault="00F226E8" w:rsidP="00F226E8">
      <w:pPr>
        <w:pStyle w:val="NormalDS"/>
        <w:numPr>
          <w:ilvl w:val="1"/>
          <w:numId w:val="9"/>
        </w:numPr>
      </w:pPr>
      <w:r>
        <w:lastRenderedPageBreak/>
        <w:t>Alight</w:t>
      </w:r>
      <w:r w:rsidRPr="00F86BDB">
        <w:t xml:space="preserve"> </w:t>
      </w:r>
      <w:r>
        <w:t>must</w:t>
      </w:r>
      <w:r w:rsidRPr="00F86BDB">
        <w:t xml:space="preserve"> train </w:t>
      </w:r>
      <w:proofErr w:type="gramStart"/>
      <w:r>
        <w:t>Alight</w:t>
      </w:r>
      <w:proofErr w:type="gramEnd"/>
      <w:r w:rsidRPr="00F86BDB">
        <w:t xml:space="preserve"> colleagues responsible for responding to information security incidents. </w:t>
      </w:r>
    </w:p>
    <w:p w:rsidR="00F226E8" w:rsidRPr="00F86BDB" w:rsidRDefault="00F226E8" w:rsidP="00F226E8">
      <w:pPr>
        <w:pStyle w:val="NormalDS"/>
        <w:numPr>
          <w:ilvl w:val="2"/>
          <w:numId w:val="9"/>
        </w:numPr>
        <w:ind w:left="1224"/>
      </w:pPr>
      <w:r w:rsidRPr="00F86BDB">
        <w:t>As part of the annual test, expected responding groups must be given training on how to respond to information security incidents. Those who received the training are then responsible for disseminating that information to their respective teams.</w:t>
      </w:r>
    </w:p>
    <w:p w:rsidR="00F226E8" w:rsidRPr="00F86BDB" w:rsidRDefault="00F226E8" w:rsidP="00F226E8">
      <w:pPr>
        <w:pStyle w:val="NormalDS"/>
        <w:numPr>
          <w:ilvl w:val="1"/>
          <w:numId w:val="9"/>
        </w:numPr>
      </w:pPr>
      <w:r w:rsidRPr="00F86BDB">
        <w:t xml:space="preserve">All information related to an information security incident must be treated as highly sensitive information and only shared with those individuals who are involved in the response to the incident.  This will serve both to protect </w:t>
      </w:r>
      <w:r>
        <w:t>Alight</w:t>
      </w:r>
      <w:r w:rsidRPr="00F86BDB">
        <w:t xml:space="preserve"> colleagues' reputations (if an incident is due to an error, negligence, or carelessness), and to control the release of information to the media and/or customers. </w:t>
      </w:r>
    </w:p>
    <w:p w:rsidR="00F226E8" w:rsidRPr="00F86BDB" w:rsidRDefault="00F226E8" w:rsidP="00F226E8">
      <w:pPr>
        <w:pStyle w:val="NormalDS"/>
        <w:numPr>
          <w:ilvl w:val="1"/>
          <w:numId w:val="9"/>
        </w:numPr>
      </w:pPr>
      <w:r w:rsidRPr="00F86BDB">
        <w:t xml:space="preserve">Any suppliers that handle </w:t>
      </w:r>
      <w:r>
        <w:t>Alight</w:t>
      </w:r>
      <w:r w:rsidRPr="00F86BDB">
        <w:t xml:space="preserve">’s information assets and could potentially impact the confidentiality, integrity, and availability of those assets as part of providing services must be in </w:t>
      </w:r>
      <w:r>
        <w:t xml:space="preserve">adhere to all aspects of </w:t>
      </w:r>
      <w:r w:rsidRPr="00F86BDB">
        <w:t xml:space="preserve">the Information Incident Response Policy and Standard.  </w:t>
      </w:r>
    </w:p>
    <w:bookmarkEnd w:id="18"/>
    <w:bookmarkEnd w:id="19"/>
    <w:bookmarkEnd w:id="20"/>
    <w:bookmarkEnd w:id="21"/>
    <w:bookmarkEnd w:id="22"/>
    <w:bookmarkEnd w:id="23"/>
    <w:bookmarkEnd w:id="24"/>
    <w:bookmarkEnd w:id="25"/>
    <w:p w:rsidR="00F226E8" w:rsidRPr="00FA22B2" w:rsidRDefault="00F226E8" w:rsidP="00F226E8">
      <w:pPr>
        <w:pStyle w:val="Heading3"/>
        <w:spacing w:after="0"/>
        <w:jc w:val="both"/>
      </w:pPr>
      <w:r w:rsidRPr="00FA22B2">
        <w:t>Applicable Standards</w:t>
      </w:r>
    </w:p>
    <w:p w:rsidR="00F226E8" w:rsidRDefault="00F226E8" w:rsidP="00F226E8">
      <w:pPr>
        <w:pStyle w:val="NormalDS"/>
        <w:numPr>
          <w:ilvl w:val="0"/>
          <w:numId w:val="15"/>
        </w:numPr>
      </w:pPr>
      <w:r w:rsidRPr="005F7FB4">
        <w:t>208.01 Incident Response Standard</w:t>
      </w:r>
    </w:p>
    <w:p w:rsidR="00F226E8" w:rsidRDefault="00F226E8" w:rsidP="00F226E8">
      <w:pPr>
        <w:pStyle w:val="Heading2"/>
      </w:pPr>
      <w:r>
        <w:t xml:space="preserve">References and </w:t>
      </w:r>
      <w:r w:rsidRPr="003C0DCB">
        <w:t>Mandates</w:t>
      </w:r>
      <w:bookmarkStart w:id="30" w:name="_Appendix_I"/>
      <w:bookmarkStart w:id="31" w:name="_Appendix_I_"/>
      <w:bookmarkStart w:id="32" w:name="_Toc304735593"/>
      <w:bookmarkEnd w:id="26"/>
      <w:bookmarkEnd w:id="27"/>
      <w:bookmarkEnd w:id="28"/>
      <w:bookmarkEnd w:id="29"/>
      <w:bookmarkEnd w:id="30"/>
      <w:bookmarkEnd w:id="31"/>
    </w:p>
    <w:p w:rsidR="00F226E8" w:rsidRPr="007E72DB" w:rsidRDefault="00F226E8" w:rsidP="00F226E8">
      <w:pPr>
        <w:pStyle w:val="NormalDS"/>
        <w:numPr>
          <w:ilvl w:val="0"/>
          <w:numId w:val="14"/>
        </w:numPr>
      </w:pPr>
      <w:bookmarkStart w:id="33" w:name="_Appendix_I_1"/>
      <w:bookmarkEnd w:id="33"/>
      <w:r>
        <w:t>None</w:t>
      </w:r>
    </w:p>
    <w:p w:rsidR="00F226E8" w:rsidRPr="00EE255B" w:rsidRDefault="00F226E8" w:rsidP="00F226E8">
      <w:pPr>
        <w:pStyle w:val="Heading2"/>
      </w:pPr>
      <w:r w:rsidRPr="007E6914">
        <w:t>Legal Conflicts</w:t>
      </w:r>
      <w:r w:rsidRPr="00EE255B">
        <w:t xml:space="preserve"> </w:t>
      </w:r>
    </w:p>
    <w:p w:rsidR="00F226E8" w:rsidRPr="001325AE" w:rsidRDefault="00F226E8" w:rsidP="00F226E8">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F226E8" w:rsidRDefault="00F226E8" w:rsidP="00F226E8">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F226E8" w:rsidRPr="002311A6" w:rsidRDefault="00F226E8" w:rsidP="00F226E8">
      <w:pPr>
        <w:pStyle w:val="Heading2"/>
      </w:pPr>
      <w:r w:rsidRPr="002311A6">
        <w:t>Exceptions</w:t>
      </w:r>
      <w:r>
        <w:tab/>
      </w:r>
    </w:p>
    <w:p w:rsidR="00F226E8" w:rsidRDefault="00F226E8" w:rsidP="00F226E8">
      <w:pPr>
        <w:pStyle w:val="NormalDS"/>
      </w:pPr>
      <w:bookmarkStart w:id="34" w:name="_Toc289842766"/>
      <w:bookmarkStart w:id="35" w:name="_Toc292146380"/>
      <w:bookmarkStart w:id="36" w:name="_Toc300672351"/>
      <w:r w:rsidRPr="00B3494F">
        <w:t xml:space="preserve">Exceptional circumstances occur from time to time. </w:t>
      </w:r>
      <w:r>
        <w:t xml:space="preserve"> </w:t>
      </w:r>
      <w:r w:rsidRPr="00B3494F">
        <w:t xml:space="preserve">In these situations, contact </w:t>
      </w:r>
      <w:r>
        <w:t xml:space="preserve">Alight </w:t>
      </w:r>
      <w:r w:rsidRPr="00A91AFC">
        <w:t xml:space="preserve">Global Security Services </w:t>
      </w:r>
      <w:r w:rsidRPr="00B3494F">
        <w:t>at</w:t>
      </w:r>
      <w:r>
        <w:t xml:space="preserve"> </w:t>
      </w:r>
      <w:r w:rsidRPr="00BE5A11">
        <w:rPr>
          <w:rStyle w:val="Hyperlink"/>
        </w:rPr>
        <w:t>global.security.services@</w:t>
      </w:r>
      <w:r>
        <w:rPr>
          <w:rStyle w:val="Hyperlink"/>
        </w:rPr>
        <w:t>aon</w:t>
      </w:r>
      <w:bookmarkStart w:id="37" w:name="_GoBack"/>
      <w:r w:rsidRPr="00BE5A11">
        <w:rPr>
          <w:rStyle w:val="Hyperlink"/>
        </w:rPr>
        <w:t>.com</w:t>
      </w:r>
      <w:bookmarkEnd w:id="37"/>
      <w:r w:rsidRPr="00A91AFC">
        <w:t xml:space="preserve"> </w:t>
      </w:r>
      <w:r w:rsidRPr="00B3494F">
        <w:t xml:space="preserve">for </w:t>
      </w:r>
      <w:r>
        <w:t xml:space="preserve">further </w:t>
      </w:r>
      <w:r w:rsidRPr="00B3494F">
        <w:t>guidance.</w:t>
      </w:r>
      <w:r>
        <w:t xml:space="preserve"> </w:t>
      </w:r>
      <w:bookmarkStart w:id="38" w:name="_Toc304718767"/>
      <w:bookmarkStart w:id="39" w:name="_Toc304735585"/>
      <w:bookmarkEnd w:id="34"/>
      <w:bookmarkEnd w:id="35"/>
      <w:bookmarkEnd w:id="36"/>
    </w:p>
    <w:bookmarkEnd w:id="38"/>
    <w:bookmarkEnd w:id="39"/>
    <w:p w:rsidR="00F226E8" w:rsidRDefault="00F226E8" w:rsidP="00F226E8">
      <w:r>
        <w:br w:type="page"/>
      </w:r>
    </w:p>
    <w:p w:rsidR="00F226E8" w:rsidRPr="002311A6" w:rsidRDefault="00F226E8" w:rsidP="00F226E8">
      <w:pPr>
        <w:pStyle w:val="Heading1"/>
      </w:pPr>
      <w:bookmarkStart w:id="40" w:name="_Toc306014656"/>
      <w:bookmarkEnd w:id="32"/>
      <w:r w:rsidRPr="002311A6">
        <w:lastRenderedPageBreak/>
        <w:t>Document Control Information</w:t>
      </w:r>
      <w:bookmarkEnd w:id="40"/>
    </w:p>
    <w:p w:rsidR="00F226E8" w:rsidRPr="00274338" w:rsidRDefault="00F226E8" w:rsidP="00F226E8">
      <w:pPr>
        <w:pStyle w:val="TableTitle"/>
      </w:pPr>
      <w:bookmarkStart w:id="41" w:name="_Toc528945611"/>
      <w:bookmarkStart w:id="42" w:name="_Toc529855774"/>
      <w:bookmarkStart w:id="43" w:name="_Toc529856551"/>
      <w:bookmarkStart w:id="44" w:name="_Toc531756491"/>
      <w:bookmarkStart w:id="45" w:name="_Toc1631615"/>
      <w:bookmarkStart w:id="46" w:name="_Toc133747320"/>
      <w:bookmarkStart w:id="47" w:name="_Toc158457851"/>
      <w:bookmarkStart w:id="48" w:name="_Toc158805969"/>
      <w:bookmarkStart w:id="49" w:name="_Toc289842769"/>
      <w:bookmarkStart w:id="50"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F226E8" w:rsidRPr="00274338" w:rsidTr="004D77C7">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F226E8" w:rsidRDefault="00F226E8" w:rsidP="004D77C7">
            <w:pPr>
              <w:pStyle w:val="Bullet4Table"/>
              <w:numPr>
                <w:ilvl w:val="0"/>
                <w:numId w:val="0"/>
              </w:numPr>
            </w:pPr>
            <w:r w:rsidRPr="004338A7">
              <w:t>INFOSEC_20</w:t>
            </w:r>
            <w:r>
              <w:t>8</w:t>
            </w:r>
            <w:r w:rsidRPr="004338A7">
              <w:t>.</w:t>
            </w:r>
            <w:r>
              <w:t>00</w:t>
            </w:r>
            <w:r w:rsidRPr="004338A7">
              <w:t xml:space="preserve"> </w:t>
            </w:r>
            <w:r>
              <w:t>Incident Response Policy</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Alight</w:t>
            </w:r>
            <w:r w:rsidRPr="009B6065">
              <w:t xml:space="preserve"> Global Security Services | </w:t>
            </w:r>
            <w:hyperlink r:id="rId9" w:history="1">
              <w:r w:rsidRPr="003732D1">
                <w:rPr>
                  <w:rStyle w:val="Hyperlink"/>
                </w:rPr>
                <w:t>global.security.services@aon.com</w:t>
              </w:r>
            </w:hyperlink>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1.5</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Alight</w:t>
            </w:r>
            <w:r w:rsidRPr="009B6065">
              <w:t xml:space="preserve"> Global Security Services | Information Security</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Pr="00274338" w:rsidRDefault="00F226E8" w:rsidP="004D77C7">
            <w:pPr>
              <w:pStyle w:val="TableCopy"/>
            </w:pPr>
            <w:r>
              <w:t>Alight</w:t>
            </w:r>
            <w:r w:rsidRPr="009B6065">
              <w:t xml:space="preserve"> Global Security Services | Information Security</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Jim Hartley</w:t>
            </w:r>
            <w:r w:rsidRPr="009B6065">
              <w:t xml:space="preserve">, Chief </w:t>
            </w:r>
            <w:r>
              <w:t xml:space="preserve">Information </w:t>
            </w:r>
            <w:r w:rsidRPr="009B6065">
              <w:t>Security Officer</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May 1, 2017</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May 1, 2017</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May 2, 2011</w:t>
            </w:r>
          </w:p>
        </w:tc>
      </w:tr>
      <w:tr w:rsidR="00F226E8" w:rsidRPr="00274338" w:rsidTr="004D77C7">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F226E8" w:rsidRDefault="00F226E8" w:rsidP="004D77C7">
            <w:pPr>
              <w:pStyle w:val="TableCopy"/>
            </w:pPr>
            <w:r w:rsidRPr="009B6065">
              <w:t>General Internal – Low Business Impact (Green)</w:t>
            </w:r>
          </w:p>
        </w:tc>
      </w:tr>
    </w:tbl>
    <w:p w:rsidR="00F226E8" w:rsidRPr="002311A6" w:rsidRDefault="00F226E8" w:rsidP="00F226E8">
      <w:pPr>
        <w:pStyle w:val="Heading1"/>
      </w:pPr>
      <w:r w:rsidRPr="002311A6">
        <w:lastRenderedPageBreak/>
        <w:t>Revision</w:t>
      </w:r>
      <w:bookmarkEnd w:id="41"/>
      <w:bookmarkEnd w:id="42"/>
      <w:bookmarkEnd w:id="43"/>
      <w:bookmarkEnd w:id="44"/>
      <w:r w:rsidRPr="002311A6">
        <w:t xml:space="preserve"> History</w:t>
      </w:r>
      <w:bookmarkEnd w:id="45"/>
      <w:bookmarkEnd w:id="46"/>
      <w:bookmarkEnd w:id="47"/>
      <w:bookmarkEnd w:id="48"/>
      <w:bookmarkEnd w:id="49"/>
      <w:bookmarkEnd w:id="50"/>
    </w:p>
    <w:p w:rsidR="00F226E8" w:rsidRPr="00274338" w:rsidRDefault="00F226E8" w:rsidP="00F226E8">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F226E8" w:rsidRPr="00274338" w:rsidTr="004D77C7">
        <w:trPr>
          <w:cantSplit/>
        </w:trPr>
        <w:tc>
          <w:tcPr>
            <w:tcW w:w="1646" w:type="dxa"/>
            <w:tcBorders>
              <w:top w:val="nil"/>
              <w:bottom w:val="single" w:sz="12" w:space="0" w:color="808080" w:themeColor="background1" w:themeShade="80"/>
            </w:tcBorders>
            <w:shd w:val="clear" w:color="auto" w:fill="auto"/>
            <w:vAlign w:val="bottom"/>
          </w:tcPr>
          <w:p w:rsidR="00F226E8" w:rsidRPr="00274338" w:rsidRDefault="00F226E8" w:rsidP="004D77C7">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F226E8" w:rsidRPr="00274338" w:rsidRDefault="00F226E8" w:rsidP="004D77C7">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F226E8" w:rsidRPr="00274338" w:rsidRDefault="00F226E8" w:rsidP="004D77C7">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F226E8" w:rsidRDefault="00F226E8" w:rsidP="004D77C7">
            <w:pPr>
              <w:pStyle w:val="TableColumnHead"/>
            </w:pPr>
            <w:r>
              <w:t>Change Summary</w:t>
            </w:r>
          </w:p>
        </w:tc>
      </w:tr>
      <w:tr w:rsidR="00F226E8" w:rsidRPr="00274338" w:rsidTr="004D77C7">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2013 September</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Original</w:t>
            </w:r>
          </w:p>
        </w:tc>
        <w:tc>
          <w:tcPr>
            <w:tcW w:w="4499" w:type="dxa"/>
            <w:tcBorders>
              <w:top w:val="single" w:sz="12" w:space="0" w:color="808080" w:themeColor="background1" w:themeShade="80"/>
              <w:bottom w:val="single" w:sz="4" w:space="0" w:color="808080" w:themeColor="background1" w:themeShade="80"/>
            </w:tcBorders>
          </w:tcPr>
          <w:p w:rsidR="00F226E8" w:rsidRPr="001834FB" w:rsidRDefault="00F226E8" w:rsidP="004D77C7">
            <w:pPr>
              <w:pStyle w:val="NormalDS"/>
              <w:rPr>
                <w:sz w:val="18"/>
              </w:rPr>
            </w:pPr>
            <w:r w:rsidRPr="001834FB">
              <w:rPr>
                <w:sz w:val="18"/>
              </w:rPr>
              <w:t>Document published</w:t>
            </w:r>
          </w:p>
        </w:tc>
      </w:tr>
      <w:tr w:rsidR="00F226E8" w:rsidRPr="00274338" w:rsidTr="004D77C7">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cs="Arial"/>
                <w:color w:val="000000"/>
                <w:sz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cs="Arial"/>
                <w:color w:val="000000"/>
                <w:sz w:val="18"/>
              </w:rPr>
              <w:t>2013 Annual Review</w:t>
            </w:r>
          </w:p>
        </w:tc>
        <w:tc>
          <w:tcPr>
            <w:tcW w:w="4499" w:type="dxa"/>
            <w:tcBorders>
              <w:top w:val="single" w:sz="4" w:space="0" w:color="808080" w:themeColor="background1" w:themeShade="80"/>
              <w:bottom w:val="single" w:sz="4" w:space="0" w:color="808080" w:themeColor="background1" w:themeShade="80"/>
            </w:tcBorders>
          </w:tcPr>
          <w:p w:rsidR="00F226E8" w:rsidRPr="001834FB" w:rsidRDefault="00F226E8" w:rsidP="004D77C7">
            <w:pPr>
              <w:pStyle w:val="NormalDS"/>
              <w:rPr>
                <w:rFonts w:cs="Arial"/>
                <w:color w:val="000000"/>
                <w:sz w:val="18"/>
              </w:rPr>
            </w:pPr>
            <w:r w:rsidRPr="001834FB">
              <w:rPr>
                <w:rFonts w:cs="Arial"/>
                <w:color w:val="000000"/>
                <w:sz w:val="18"/>
              </w:rPr>
              <w:t>No Changes</w:t>
            </w:r>
          </w:p>
        </w:tc>
      </w:tr>
      <w:tr w:rsidR="00F226E8" w:rsidRPr="00274338" w:rsidTr="004D77C7">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2014 Annual Review</w:t>
            </w:r>
          </w:p>
        </w:tc>
        <w:tc>
          <w:tcPr>
            <w:tcW w:w="4499" w:type="dxa"/>
            <w:tcBorders>
              <w:top w:val="single" w:sz="4" w:space="0" w:color="808080" w:themeColor="background1" w:themeShade="80"/>
              <w:bottom w:val="single" w:sz="4" w:space="0" w:color="808080" w:themeColor="background1" w:themeShade="80"/>
            </w:tcBorders>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Reviewed and validated</w:t>
            </w:r>
          </w:p>
        </w:tc>
      </w:tr>
      <w:tr w:rsidR="00F226E8" w:rsidRPr="00274338" w:rsidTr="004D77C7">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2015 Annual Review</w:t>
            </w:r>
          </w:p>
        </w:tc>
        <w:tc>
          <w:tcPr>
            <w:tcW w:w="4499" w:type="dxa"/>
            <w:tcBorders>
              <w:top w:val="single" w:sz="4" w:space="0" w:color="808080" w:themeColor="background1" w:themeShade="80"/>
              <w:bottom w:val="single" w:sz="4" w:space="0" w:color="808080" w:themeColor="background1" w:themeShade="80"/>
            </w:tcBorders>
          </w:tcPr>
          <w:p w:rsidR="00F226E8" w:rsidRPr="001834FB" w:rsidRDefault="00F226E8" w:rsidP="004D77C7">
            <w:pPr>
              <w:pStyle w:val="NormalDS"/>
              <w:rPr>
                <w:rFonts w:asciiTheme="minorHAnsi" w:hAnsiTheme="minorHAnsi" w:cs="Arial"/>
                <w:color w:val="000000"/>
                <w:sz w:val="18"/>
              </w:rPr>
            </w:pPr>
            <w:r w:rsidRPr="001834FB">
              <w:rPr>
                <w:rFonts w:asciiTheme="minorHAnsi" w:hAnsiTheme="minorHAnsi" w:cs="Arial"/>
                <w:color w:val="000000"/>
                <w:sz w:val="18"/>
              </w:rPr>
              <w:t>Reviewed and validated</w:t>
            </w:r>
          </w:p>
          <w:p w:rsidR="00F226E8" w:rsidRPr="001834FB" w:rsidRDefault="00F226E8" w:rsidP="004D77C7">
            <w:pPr>
              <w:pStyle w:val="NormalDS"/>
              <w:rPr>
                <w:rFonts w:cs="Arial"/>
                <w:color w:val="000000"/>
                <w:sz w:val="18"/>
              </w:rPr>
            </w:pPr>
          </w:p>
        </w:tc>
      </w:tr>
      <w:tr w:rsidR="00F226E8" w:rsidRPr="00274338" w:rsidTr="004D77C7">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DB551A" w:rsidP="004D77C7">
            <w:pPr>
              <w:pStyle w:val="NormalDS"/>
              <w:rPr>
                <w:sz w:val="18"/>
              </w:rPr>
            </w:pPr>
            <w:r>
              <w:rPr>
                <w:sz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 xml:space="preserve">August 2016 </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rFonts w:cs="Arial"/>
                <w:color w:val="000000"/>
                <w:sz w:val="18"/>
              </w:rPr>
            </w:pPr>
            <w:r w:rsidRPr="001834FB">
              <w:rPr>
                <w:rFonts w:asciiTheme="minorHAnsi" w:hAnsiTheme="minorHAnsi" w:cs="Arial"/>
                <w:color w:val="000000"/>
                <w:sz w:val="18"/>
              </w:rPr>
              <w:t>2016 Annual Review</w:t>
            </w:r>
          </w:p>
        </w:tc>
        <w:tc>
          <w:tcPr>
            <w:tcW w:w="4499" w:type="dxa"/>
            <w:tcBorders>
              <w:top w:val="single" w:sz="4" w:space="0" w:color="808080" w:themeColor="background1" w:themeShade="80"/>
              <w:bottom w:val="single" w:sz="4" w:space="0" w:color="808080" w:themeColor="background1" w:themeShade="80"/>
            </w:tcBorders>
          </w:tcPr>
          <w:p w:rsidR="00F226E8" w:rsidRPr="001834FB" w:rsidRDefault="00F226E8" w:rsidP="004D77C7">
            <w:pPr>
              <w:pStyle w:val="NormalDS"/>
              <w:rPr>
                <w:rFonts w:asciiTheme="minorHAnsi" w:hAnsiTheme="minorHAnsi" w:cs="Arial"/>
                <w:color w:val="000000"/>
                <w:sz w:val="18"/>
              </w:rPr>
            </w:pPr>
            <w:r w:rsidRPr="001834FB">
              <w:rPr>
                <w:rFonts w:asciiTheme="minorHAnsi" w:hAnsiTheme="minorHAnsi" w:cs="Arial"/>
                <w:color w:val="000000"/>
                <w:sz w:val="18"/>
              </w:rPr>
              <w:t>Updated name change from IRSS with Global Security Services (GSS) to reflect new organization name</w:t>
            </w:r>
          </w:p>
        </w:tc>
      </w:tr>
      <w:tr w:rsidR="00F226E8" w:rsidRPr="00274338" w:rsidTr="004D77C7">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DB551A" w:rsidP="004D77C7">
            <w:pPr>
              <w:pStyle w:val="NormalDS"/>
              <w:rPr>
                <w:sz w:val="18"/>
              </w:rPr>
            </w:pPr>
            <w:r>
              <w:rPr>
                <w:sz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226E8" w:rsidRPr="001834FB" w:rsidRDefault="00F226E8" w:rsidP="004D77C7">
            <w:pPr>
              <w:pStyle w:val="NormalDS"/>
              <w:rPr>
                <w:sz w:val="18"/>
              </w:rPr>
            </w:pPr>
            <w:r w:rsidRPr="001834FB">
              <w:rPr>
                <w:sz w:val="18"/>
              </w:rPr>
              <w:t>2017 Rebranding</w:t>
            </w:r>
          </w:p>
        </w:tc>
        <w:tc>
          <w:tcPr>
            <w:tcW w:w="4499" w:type="dxa"/>
            <w:tcBorders>
              <w:top w:val="single" w:sz="4" w:space="0" w:color="808080" w:themeColor="background1" w:themeShade="80"/>
              <w:bottom w:val="single" w:sz="4" w:space="0" w:color="808080" w:themeColor="background1" w:themeShade="80"/>
            </w:tcBorders>
          </w:tcPr>
          <w:p w:rsidR="00F226E8" w:rsidRPr="001834FB" w:rsidRDefault="00F226E8" w:rsidP="004D77C7">
            <w:pPr>
              <w:pStyle w:val="NormalDS"/>
              <w:rPr>
                <w:sz w:val="18"/>
              </w:rPr>
            </w:pPr>
            <w:r w:rsidRPr="001834FB">
              <w:rPr>
                <w:sz w:val="18"/>
              </w:rPr>
              <w:t xml:space="preserve">Rebranded policy due to </w:t>
            </w:r>
            <w:r>
              <w:rPr>
                <w:sz w:val="18"/>
              </w:rPr>
              <w:t>Aon</w:t>
            </w:r>
            <w:r w:rsidRPr="001834FB">
              <w:rPr>
                <w:sz w:val="18"/>
              </w:rPr>
              <w:t xml:space="preserve"> Hewitt divestiture</w:t>
            </w:r>
          </w:p>
        </w:tc>
      </w:tr>
      <w:tr w:rsidR="00F226E8" w:rsidRPr="00274338" w:rsidTr="004D77C7">
        <w:trPr>
          <w:cantSplit/>
        </w:trPr>
        <w:tc>
          <w:tcPr>
            <w:tcW w:w="1646" w:type="dxa"/>
            <w:tcBorders>
              <w:top w:val="single" w:sz="4" w:space="0" w:color="808080" w:themeColor="background1" w:themeShade="80"/>
              <w:bottom w:val="nil"/>
            </w:tcBorders>
            <w:shd w:val="clear" w:color="auto" w:fill="auto"/>
          </w:tcPr>
          <w:p w:rsidR="00F226E8" w:rsidRDefault="00F226E8" w:rsidP="004D77C7">
            <w:pPr>
              <w:pStyle w:val="TableCopy"/>
            </w:pPr>
          </w:p>
        </w:tc>
        <w:tc>
          <w:tcPr>
            <w:tcW w:w="1441" w:type="dxa"/>
            <w:tcBorders>
              <w:top w:val="single" w:sz="4" w:space="0" w:color="808080" w:themeColor="background1" w:themeShade="80"/>
              <w:bottom w:val="nil"/>
            </w:tcBorders>
            <w:shd w:val="clear" w:color="auto" w:fill="auto"/>
          </w:tcPr>
          <w:p w:rsidR="00F226E8" w:rsidRPr="009B6065" w:rsidRDefault="00F226E8" w:rsidP="004D77C7">
            <w:pPr>
              <w:pStyle w:val="NormalDS"/>
            </w:pPr>
          </w:p>
        </w:tc>
        <w:tc>
          <w:tcPr>
            <w:tcW w:w="1979" w:type="dxa"/>
            <w:tcBorders>
              <w:top w:val="single" w:sz="4" w:space="0" w:color="808080" w:themeColor="background1" w:themeShade="80"/>
              <w:bottom w:val="nil"/>
            </w:tcBorders>
            <w:shd w:val="clear" w:color="auto" w:fill="auto"/>
          </w:tcPr>
          <w:p w:rsidR="00F226E8" w:rsidRPr="00274338" w:rsidRDefault="00F226E8" w:rsidP="004D77C7">
            <w:pPr>
              <w:pStyle w:val="TableCopy"/>
            </w:pPr>
          </w:p>
        </w:tc>
        <w:tc>
          <w:tcPr>
            <w:tcW w:w="4499" w:type="dxa"/>
            <w:tcBorders>
              <w:top w:val="single" w:sz="4" w:space="0" w:color="808080" w:themeColor="background1" w:themeShade="80"/>
              <w:bottom w:val="nil"/>
            </w:tcBorders>
          </w:tcPr>
          <w:p w:rsidR="00F226E8" w:rsidRPr="00274338" w:rsidRDefault="00F226E8" w:rsidP="004D77C7">
            <w:pPr>
              <w:pStyle w:val="TableCopy"/>
            </w:pPr>
          </w:p>
        </w:tc>
      </w:tr>
    </w:tbl>
    <w:p w:rsidR="00F226E8" w:rsidRPr="00274338" w:rsidRDefault="00F226E8" w:rsidP="00F226E8">
      <w:pPr>
        <w:pStyle w:val="Bullet3"/>
        <w:numPr>
          <w:ilvl w:val="0"/>
          <w:numId w:val="0"/>
        </w:numPr>
        <w:ind w:left="1080"/>
      </w:pPr>
    </w:p>
    <w:p w:rsidR="00321778" w:rsidRPr="00F226E8" w:rsidRDefault="00321778" w:rsidP="00F226E8"/>
    <w:sectPr w:rsidR="00321778" w:rsidRPr="00F226E8"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81" w:rsidRDefault="00EE4881" w:rsidP="005B402B">
      <w:r>
        <w:separator/>
      </w:r>
    </w:p>
  </w:endnote>
  <w:endnote w:type="continuationSeparator" w:id="0">
    <w:p w:rsidR="00EE4881" w:rsidRDefault="00EE4881"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DB551A">
      <w:t xml:space="preserve">208.00 </w:t>
    </w:r>
    <w:r w:rsidR="00F226E8">
      <w:t>Incident Response Policy</w:t>
    </w:r>
    <w:r>
      <w:tab/>
    </w:r>
    <w:r>
      <w:fldChar w:fldCharType="begin"/>
    </w:r>
    <w:r>
      <w:instrText xml:space="preserve"> PAGE   \* MERGEFORMAT </w:instrText>
    </w:r>
    <w:r>
      <w:fldChar w:fldCharType="separate"/>
    </w:r>
    <w:r w:rsidR="00DB551A">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81" w:rsidRDefault="00EE4881" w:rsidP="005B402B">
      <w:r>
        <w:separator/>
      </w:r>
    </w:p>
  </w:footnote>
  <w:footnote w:type="continuationSeparator" w:id="0">
    <w:p w:rsidR="00EE4881" w:rsidRDefault="00EE4881"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CD02AD3"/>
    <w:multiLevelType w:val="hybridMultilevel"/>
    <w:tmpl w:val="2FC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4"/>
  </w:num>
  <w:num w:numId="12">
    <w:abstractNumId w:val="9"/>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9511C"/>
    <w:rsid w:val="003B4445"/>
    <w:rsid w:val="003D11EF"/>
    <w:rsid w:val="00484C05"/>
    <w:rsid w:val="004A6699"/>
    <w:rsid w:val="004C19C5"/>
    <w:rsid w:val="004F6723"/>
    <w:rsid w:val="00572B9B"/>
    <w:rsid w:val="0058699E"/>
    <w:rsid w:val="00596FE5"/>
    <w:rsid w:val="005B402B"/>
    <w:rsid w:val="005D6101"/>
    <w:rsid w:val="00623BC3"/>
    <w:rsid w:val="00631213"/>
    <w:rsid w:val="0064411E"/>
    <w:rsid w:val="00657BDB"/>
    <w:rsid w:val="00666F6C"/>
    <w:rsid w:val="006F2AD3"/>
    <w:rsid w:val="007372A8"/>
    <w:rsid w:val="0074779E"/>
    <w:rsid w:val="007B6C0D"/>
    <w:rsid w:val="008671C4"/>
    <w:rsid w:val="00877C5D"/>
    <w:rsid w:val="008F152A"/>
    <w:rsid w:val="008F740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B551A"/>
    <w:rsid w:val="00DF3ECD"/>
    <w:rsid w:val="00E147BB"/>
    <w:rsid w:val="00E269A3"/>
    <w:rsid w:val="00E542BC"/>
    <w:rsid w:val="00E82861"/>
    <w:rsid w:val="00EE4881"/>
    <w:rsid w:val="00F06404"/>
    <w:rsid w:val="00F226E8"/>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D6B41-9A66-48AC-A633-06097C922DB0}">
  <ds:schemaRefs>
    <ds:schemaRef ds:uri="http://schemas.openxmlformats.org/officeDocument/2006/bibliography"/>
  </ds:schemaRefs>
</ds:datastoreItem>
</file>

<file path=customXml/itemProps2.xml><?xml version="1.0" encoding="utf-8"?>
<ds:datastoreItem xmlns:ds="http://schemas.openxmlformats.org/officeDocument/2006/customXml" ds:itemID="{0AACA87E-016D-4F44-A8E9-AB7EFBBD7E4C}"/>
</file>

<file path=customXml/itemProps3.xml><?xml version="1.0" encoding="utf-8"?>
<ds:datastoreItem xmlns:ds="http://schemas.openxmlformats.org/officeDocument/2006/customXml" ds:itemID="{098DE85C-04A1-4DDB-9EDF-C3651FF7CF32}"/>
</file>

<file path=customXml/itemProps4.xml><?xml version="1.0" encoding="utf-8"?>
<ds:datastoreItem xmlns:ds="http://schemas.openxmlformats.org/officeDocument/2006/customXml" ds:itemID="{1998CA8D-EA5C-4EE4-BE8E-930B5F044801}"/>
</file>

<file path=docProps/app.xml><?xml version="1.0" encoding="utf-8"?>
<Properties xmlns="http://schemas.openxmlformats.org/officeDocument/2006/extended-properties" xmlns:vt="http://schemas.openxmlformats.org/officeDocument/2006/docPropsVTypes">
  <Template>Normal.dotm</Template>
  <TotalTime>1</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2017-07-17T20:57:00Z</dcterms:created>
  <dcterms:modified xsi:type="dcterms:W3CDTF">2017-07-21T14:31:00Z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