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FD" w:rsidRPr="005F1284" w:rsidRDefault="007002FD" w:rsidP="007002FD">
      <w:pPr>
        <w:pStyle w:val="Heading1"/>
        <w:rPr>
          <w:rFonts w:ascii="Century Gothic" w:hAnsi="Century Gothic"/>
        </w:rPr>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sidRPr="005F1284">
        <w:rPr>
          <w:rFonts w:ascii="Century Gothic" w:hAnsi="Century Gothic"/>
        </w:rPr>
        <w:t xml:space="preserve">Information Security Awareness Standard </w:t>
      </w:r>
    </w:p>
    <w:p w:rsidR="007002FD" w:rsidRPr="005F1284" w:rsidRDefault="007002FD" w:rsidP="007002FD">
      <w:pPr>
        <w:pStyle w:val="NormalDS"/>
        <w:rPr>
          <w:rStyle w:val="Heading2Char"/>
          <w:rFonts w:ascii="Century Gothic" w:hAnsi="Century Gothic"/>
        </w:rPr>
      </w:pPr>
      <w:r w:rsidRPr="005F1284">
        <w:rPr>
          <w:rStyle w:val="Heading2Char"/>
          <w:rFonts w:ascii="Century Gothic" w:hAnsi="Century Gothic"/>
        </w:rPr>
        <w:t>Related Policy</w:t>
      </w:r>
    </w:p>
    <w:p w:rsidR="007002FD" w:rsidRPr="005F1284" w:rsidRDefault="007002FD" w:rsidP="007002FD">
      <w:pPr>
        <w:pStyle w:val="NormalDS"/>
        <w:numPr>
          <w:ilvl w:val="0"/>
          <w:numId w:val="14"/>
        </w:numPr>
        <w:rPr>
          <w:rFonts w:ascii="Century Gothic" w:hAnsi="Century Gothic"/>
        </w:rPr>
      </w:pPr>
      <w:r w:rsidRPr="005F1284">
        <w:rPr>
          <w:rFonts w:ascii="Century Gothic" w:hAnsi="Century Gothic"/>
        </w:rPr>
        <w:t>209.00 Information Security Awareness Policy</w:t>
      </w:r>
    </w:p>
    <w:p w:rsidR="007002FD" w:rsidRPr="005F1284" w:rsidRDefault="007002FD" w:rsidP="007002FD">
      <w:pPr>
        <w:pStyle w:val="Heading2"/>
        <w:rPr>
          <w:rFonts w:ascii="Century Gothic" w:hAnsi="Century Gothic"/>
        </w:rPr>
      </w:pPr>
      <w:bookmarkStart w:id="10" w:name="_Toc297754858"/>
      <w:bookmarkStart w:id="11" w:name="_Toc303782671"/>
      <w:r w:rsidRPr="005F1284">
        <w:rPr>
          <w:rFonts w:ascii="Century Gothic" w:hAnsi="Century Gothic"/>
        </w:rPr>
        <w:t>Purpose</w:t>
      </w:r>
    </w:p>
    <w:p w:rsidR="007002FD" w:rsidRPr="005F1284" w:rsidRDefault="007002FD" w:rsidP="007002FD">
      <w:pPr>
        <w:pStyle w:val="NormalDS"/>
        <w:rPr>
          <w:rFonts w:ascii="Century Gothic" w:hAnsi="Century Gothic"/>
        </w:rPr>
      </w:pPr>
      <w:r w:rsidRPr="005F1284">
        <w:rPr>
          <w:rFonts w:ascii="Century Gothic" w:hAnsi="Century Gothic"/>
        </w:rPr>
        <w:t>The purpose of the Information Security Awarene</w:t>
      </w:r>
      <w:bookmarkStart w:id="12" w:name="_GoBack"/>
      <w:bookmarkEnd w:id="12"/>
      <w:r w:rsidRPr="005F1284">
        <w:rPr>
          <w:rFonts w:ascii="Century Gothic" w:hAnsi="Century Gothic"/>
        </w:rPr>
        <w:t xml:space="preserve">ss Standard (“Standard”) is to establish the minimum requirements and desired processes needed for an information security awareness program for all users of </w:t>
      </w:r>
      <w:proofErr w:type="gramStart"/>
      <w:r w:rsidRPr="005F1284">
        <w:rPr>
          <w:rFonts w:ascii="Century Gothic" w:hAnsi="Century Gothic"/>
        </w:rPr>
        <w:t>Alight</w:t>
      </w:r>
      <w:proofErr w:type="gramEnd"/>
      <w:r w:rsidRPr="005F1284">
        <w:rPr>
          <w:rFonts w:ascii="Century Gothic" w:hAnsi="Century Gothic"/>
        </w:rPr>
        <w:t xml:space="preserve"> informational assets.</w:t>
      </w:r>
    </w:p>
    <w:p w:rsidR="007002FD" w:rsidRPr="005F1284" w:rsidRDefault="007002FD" w:rsidP="007002FD">
      <w:pPr>
        <w:pStyle w:val="NormalDS"/>
        <w:rPr>
          <w:rFonts w:ascii="Century Gothic" w:hAnsi="Century Gothic"/>
        </w:rPr>
      </w:pPr>
      <w:r w:rsidRPr="005F1284">
        <w:rPr>
          <w:rFonts w:ascii="Century Gothic" w:hAnsi="Century Gothic"/>
        </w:rPr>
        <w:t xml:space="preserve">An effective Information Security Awareness Program explains proper rules of behavior for the use of </w:t>
      </w:r>
      <w:proofErr w:type="gramStart"/>
      <w:r w:rsidRPr="005F1284">
        <w:rPr>
          <w:rFonts w:ascii="Century Gothic" w:hAnsi="Century Gothic"/>
        </w:rPr>
        <w:t>Alight</w:t>
      </w:r>
      <w:proofErr w:type="gramEnd"/>
      <w:r w:rsidRPr="005F1284">
        <w:rPr>
          <w:rFonts w:ascii="Century Gothic" w:hAnsi="Century Gothic"/>
        </w:rPr>
        <w:t xml:space="preserve"> systems and information, and is critical for providing the knowledge Alight colleagues need to comply with our security protocols while performing their jobs.</w:t>
      </w:r>
    </w:p>
    <w:p w:rsidR="007002FD" w:rsidRPr="005F1284" w:rsidRDefault="007002FD" w:rsidP="007002FD">
      <w:pPr>
        <w:pStyle w:val="NormalDS"/>
        <w:rPr>
          <w:rFonts w:ascii="Century Gothic" w:hAnsi="Century Gothic"/>
        </w:rPr>
      </w:pPr>
      <w:r w:rsidRPr="005F1284">
        <w:rPr>
          <w:rFonts w:ascii="Century Gothic" w:hAnsi="Century Gothic"/>
        </w:rPr>
        <w:t xml:space="preserve">Technical security controls can be rendered ineffective by users who do not use them correctly. The goal of an information security awareness program is to educate all users so they can supplement technical security controls, as opposed to detracting from them. </w:t>
      </w:r>
    </w:p>
    <w:p w:rsidR="007002FD" w:rsidRPr="005F1284" w:rsidRDefault="007002FD" w:rsidP="007002FD">
      <w:pPr>
        <w:pStyle w:val="Heading2"/>
        <w:rPr>
          <w:rFonts w:ascii="Century Gothic" w:hAnsi="Century Gothic"/>
        </w:rPr>
      </w:pPr>
      <w:r w:rsidRPr="005F1284">
        <w:rPr>
          <w:rFonts w:ascii="Century Gothic" w:hAnsi="Century Gothic"/>
        </w:rPr>
        <w:t>Standard Statements</w:t>
      </w:r>
      <w:bookmarkEnd w:id="10"/>
      <w:bookmarkEnd w:id="11"/>
    </w:p>
    <w:p w:rsidR="007002FD" w:rsidRPr="005F1284" w:rsidRDefault="007002FD" w:rsidP="007002FD">
      <w:pPr>
        <w:pStyle w:val="Heading3"/>
        <w:numPr>
          <w:ilvl w:val="0"/>
          <w:numId w:val="15"/>
        </w:numPr>
        <w:rPr>
          <w:rFonts w:ascii="Century Gothic" w:hAnsi="Century Gothic"/>
        </w:rPr>
      </w:pPr>
      <w:bookmarkStart w:id="13" w:name="_Hlt103157950"/>
      <w:bookmarkStart w:id="14" w:name="_Toc297754859"/>
      <w:bookmarkStart w:id="15" w:name="_Toc303782672"/>
      <w:bookmarkStart w:id="16" w:name="_Ref103999072"/>
      <w:bookmarkStart w:id="17" w:name="_Toc144115735"/>
      <w:bookmarkStart w:id="18" w:name="_Toc171751785"/>
      <w:bookmarkStart w:id="19" w:name="_Toc171752823"/>
      <w:bookmarkStart w:id="20" w:name="_Toc171752857"/>
      <w:bookmarkStart w:id="21" w:name="_Toc171753297"/>
      <w:bookmarkStart w:id="22" w:name="_Toc210180813"/>
      <w:bookmarkStart w:id="23" w:name="_Toc289842761"/>
      <w:bookmarkEnd w:id="13"/>
      <w:r w:rsidRPr="005F1284">
        <w:rPr>
          <w:rFonts w:ascii="Century Gothic" w:hAnsi="Century Gothic"/>
        </w:rPr>
        <w:t>General</w:t>
      </w:r>
      <w:bookmarkEnd w:id="14"/>
      <w:bookmarkEnd w:id="15"/>
      <w:r w:rsidRPr="005F1284">
        <w:rPr>
          <w:rFonts w:ascii="Century Gothic" w:hAnsi="Century Gothic"/>
        </w:rPr>
        <w:t xml:space="preserve"> </w:t>
      </w:r>
    </w:p>
    <w:bookmarkEnd w:id="16"/>
    <w:bookmarkEnd w:id="17"/>
    <w:bookmarkEnd w:id="18"/>
    <w:bookmarkEnd w:id="19"/>
    <w:bookmarkEnd w:id="20"/>
    <w:bookmarkEnd w:id="21"/>
    <w:bookmarkEnd w:id="22"/>
    <w:p w:rsidR="007002FD" w:rsidRPr="005F1284" w:rsidRDefault="007002FD" w:rsidP="007002FD">
      <w:pPr>
        <w:pStyle w:val="NormalDS"/>
        <w:numPr>
          <w:ilvl w:val="1"/>
          <w:numId w:val="15"/>
        </w:numPr>
        <w:rPr>
          <w:rFonts w:ascii="Century Gothic" w:hAnsi="Century Gothic"/>
        </w:rPr>
      </w:pPr>
      <w:r w:rsidRPr="005F1284">
        <w:rPr>
          <w:rFonts w:ascii="Century Gothic" w:hAnsi="Century Gothic"/>
        </w:rPr>
        <w:t xml:space="preserve">At hire and annually, the training program will provide guidelines on the use and protection of </w:t>
      </w:r>
      <w:proofErr w:type="gramStart"/>
      <w:r w:rsidRPr="005F1284">
        <w:rPr>
          <w:rFonts w:ascii="Century Gothic" w:hAnsi="Century Gothic"/>
        </w:rPr>
        <w:t>Alight</w:t>
      </w:r>
      <w:proofErr w:type="gramEnd"/>
      <w:r w:rsidRPr="005F1284">
        <w:rPr>
          <w:rFonts w:ascii="Century Gothic" w:hAnsi="Century Gothic"/>
        </w:rPr>
        <w:t xml:space="preserve"> information and assets.  </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 xml:space="preserve">Alight colleagues will be reminded that they play an important role in safeguarding and protecting </w:t>
      </w:r>
      <w:proofErr w:type="gramStart"/>
      <w:r w:rsidRPr="005F1284">
        <w:rPr>
          <w:rFonts w:ascii="Century Gothic" w:hAnsi="Century Gothic"/>
        </w:rPr>
        <w:t>Alight</w:t>
      </w:r>
      <w:proofErr w:type="gramEnd"/>
      <w:r w:rsidRPr="005F1284">
        <w:rPr>
          <w:rFonts w:ascii="Century Gothic" w:hAnsi="Century Gothic"/>
        </w:rPr>
        <w:t xml:space="preserve"> information and assets.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 xml:space="preserve">All Alight colleagues and contractors that access </w:t>
      </w:r>
      <w:proofErr w:type="gramStart"/>
      <w:r w:rsidRPr="005F1284">
        <w:rPr>
          <w:rFonts w:ascii="Century Gothic" w:hAnsi="Century Gothic"/>
        </w:rPr>
        <w:t>Alight</w:t>
      </w:r>
      <w:proofErr w:type="gramEnd"/>
      <w:r w:rsidRPr="005F1284">
        <w:rPr>
          <w:rFonts w:ascii="Century Gothic" w:hAnsi="Century Gothic"/>
        </w:rPr>
        <w:t xml:space="preserve"> information assets must attend a security awareness class or take online awareness training within three (3) months of their start date. </w:t>
      </w:r>
    </w:p>
    <w:p w:rsidR="007002FD" w:rsidRPr="005F1284" w:rsidRDefault="007002FD" w:rsidP="007002FD">
      <w:pPr>
        <w:pStyle w:val="NormalDS"/>
        <w:numPr>
          <w:ilvl w:val="1"/>
          <w:numId w:val="15"/>
        </w:numPr>
        <w:rPr>
          <w:rFonts w:ascii="Century Gothic" w:hAnsi="Century Gothic"/>
        </w:rPr>
      </w:pPr>
      <w:r w:rsidRPr="005F1284">
        <w:rPr>
          <w:rFonts w:ascii="Century Gothic" w:hAnsi="Century Gothic"/>
        </w:rPr>
        <w:t xml:space="preserve">The effectiveness of the Global Security Services (GSS) Information Security Awareness Program must be monitored by testing course participants on information security content knowledge. </w:t>
      </w:r>
    </w:p>
    <w:p w:rsidR="007002FD" w:rsidRPr="005F1284" w:rsidRDefault="007002FD" w:rsidP="007002FD">
      <w:pPr>
        <w:pStyle w:val="NormalDS"/>
        <w:numPr>
          <w:ilvl w:val="1"/>
          <w:numId w:val="15"/>
        </w:numPr>
        <w:rPr>
          <w:rFonts w:ascii="Century Gothic" w:hAnsi="Century Gothic"/>
        </w:rPr>
      </w:pPr>
      <w:r w:rsidRPr="005F1284">
        <w:rPr>
          <w:rFonts w:ascii="Century Gothic" w:hAnsi="Century Gothic"/>
        </w:rPr>
        <w:t>All Alight colleagues must be made aware of certain security-related issues as they occur, including but not limited to:</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Virus alerts, hoaxes, and approved Company responses.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lastRenderedPageBreak/>
        <w:t>SPAM alerts and phishing attempts.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Social engineering techniques.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Security topics of interests.</w:t>
      </w:r>
    </w:p>
    <w:p w:rsidR="007002FD" w:rsidRPr="005F1284" w:rsidRDefault="007002FD" w:rsidP="007002FD">
      <w:pPr>
        <w:pStyle w:val="NormalDS"/>
        <w:numPr>
          <w:ilvl w:val="1"/>
          <w:numId w:val="15"/>
        </w:numPr>
        <w:rPr>
          <w:rFonts w:ascii="Century Gothic" w:hAnsi="Century Gothic"/>
        </w:rPr>
      </w:pPr>
      <w:r w:rsidRPr="005F1284">
        <w:rPr>
          <w:rFonts w:ascii="Century Gothic" w:hAnsi="Century Gothic"/>
        </w:rPr>
        <w:t>The following topics must be included in the on-going GSS Information Security Awareness Program for Alight colleagues and contractors: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Information Security and Privacy Policies.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Data Security Classification, Labeling, and Handling Guidelines.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Password Selection and Usage Guidelines.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Laptop and Mobile Device Guidelines.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Secure Workplace Guidelines.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Acceptable Usage Guidelines (e.g., for email or Internet access).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Social Engineering attacks and appropriately handling requests for information.</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Physical security related guidelines.</w:t>
      </w:r>
    </w:p>
    <w:p w:rsidR="007002FD" w:rsidRPr="005F1284" w:rsidRDefault="007002FD" w:rsidP="007002FD">
      <w:pPr>
        <w:pStyle w:val="NormalDS"/>
        <w:numPr>
          <w:ilvl w:val="2"/>
          <w:numId w:val="15"/>
        </w:numPr>
        <w:rPr>
          <w:rFonts w:ascii="Century Gothic" w:hAnsi="Century Gothic"/>
        </w:rPr>
      </w:pPr>
      <w:r w:rsidRPr="005F1284">
        <w:rPr>
          <w:rFonts w:ascii="Century Gothic" w:hAnsi="Century Gothic"/>
        </w:rPr>
        <w:t>Crisis Management guidelines.</w:t>
      </w:r>
    </w:p>
    <w:p w:rsidR="007002FD" w:rsidRPr="005F1284" w:rsidRDefault="007002FD" w:rsidP="007002FD">
      <w:pPr>
        <w:pStyle w:val="NormalDS"/>
        <w:numPr>
          <w:ilvl w:val="1"/>
          <w:numId w:val="15"/>
        </w:numPr>
        <w:rPr>
          <w:rFonts w:ascii="Century Gothic" w:hAnsi="Century Gothic"/>
        </w:rPr>
      </w:pPr>
      <w:r w:rsidRPr="005F1284">
        <w:rPr>
          <w:rFonts w:ascii="Century Gothic" w:hAnsi="Century Gothic"/>
        </w:rPr>
        <w:t xml:space="preserve">Alight Security policies and standards are available for review by all </w:t>
      </w:r>
      <w:proofErr w:type="gramStart"/>
      <w:r w:rsidRPr="005F1284">
        <w:rPr>
          <w:rFonts w:ascii="Century Gothic" w:hAnsi="Century Gothic"/>
        </w:rPr>
        <w:t>Alight</w:t>
      </w:r>
      <w:proofErr w:type="gramEnd"/>
      <w:r w:rsidRPr="005F1284">
        <w:rPr>
          <w:rFonts w:ascii="Century Gothic" w:hAnsi="Century Gothic"/>
        </w:rPr>
        <w:t xml:space="preserve"> colleagues.  </w:t>
      </w:r>
    </w:p>
    <w:p w:rsidR="007002FD" w:rsidRPr="005F1284" w:rsidRDefault="007002FD" w:rsidP="007002FD">
      <w:pPr>
        <w:pStyle w:val="Heading2"/>
        <w:rPr>
          <w:rFonts w:ascii="Century Gothic" w:hAnsi="Century Gothic"/>
        </w:rPr>
      </w:pPr>
      <w:bookmarkStart w:id="24" w:name="_Toc289842766"/>
      <w:bookmarkStart w:id="25" w:name="_Toc292146380"/>
      <w:bookmarkStart w:id="26" w:name="_Toc297754864"/>
      <w:bookmarkStart w:id="27" w:name="_Toc303782676"/>
      <w:bookmarkStart w:id="28" w:name="_Toc158805972"/>
      <w:bookmarkStart w:id="29" w:name="_Toc289842767"/>
      <w:bookmarkEnd w:id="23"/>
      <w:r w:rsidRPr="005F1284">
        <w:rPr>
          <w:rFonts w:ascii="Century Gothic" w:hAnsi="Century Gothic"/>
        </w:rPr>
        <w:t>References</w:t>
      </w:r>
      <w:bookmarkEnd w:id="24"/>
      <w:bookmarkEnd w:id="25"/>
      <w:bookmarkEnd w:id="26"/>
      <w:bookmarkEnd w:id="27"/>
      <w:r w:rsidRPr="005F1284">
        <w:rPr>
          <w:rFonts w:ascii="Century Gothic" w:hAnsi="Century Gothic"/>
        </w:rPr>
        <w:t xml:space="preserve"> and Mandates</w:t>
      </w:r>
    </w:p>
    <w:p w:rsidR="007002FD" w:rsidRPr="005F1284" w:rsidRDefault="007002FD" w:rsidP="007002FD">
      <w:pPr>
        <w:pStyle w:val="NormalDS"/>
        <w:numPr>
          <w:ilvl w:val="0"/>
          <w:numId w:val="14"/>
        </w:numPr>
        <w:rPr>
          <w:rFonts w:ascii="Century Gothic" w:hAnsi="Century Gothic"/>
        </w:rPr>
      </w:pPr>
      <w:r w:rsidRPr="005F1284">
        <w:rPr>
          <w:rFonts w:ascii="Century Gothic" w:hAnsi="Century Gothic"/>
        </w:rPr>
        <w:t>None</w:t>
      </w:r>
    </w:p>
    <w:bookmarkEnd w:id="28"/>
    <w:bookmarkEnd w:id="29"/>
    <w:p w:rsidR="007002FD" w:rsidRPr="005F1284" w:rsidRDefault="007002FD" w:rsidP="007002FD">
      <w:pPr>
        <w:pStyle w:val="Heading2"/>
        <w:rPr>
          <w:rFonts w:ascii="Century Gothic" w:hAnsi="Century Gothic"/>
        </w:rPr>
      </w:pPr>
      <w:r w:rsidRPr="005F1284">
        <w:rPr>
          <w:rFonts w:ascii="Century Gothic" w:hAnsi="Century Gothic"/>
        </w:rPr>
        <w:t xml:space="preserve">Legal Conflicts </w:t>
      </w:r>
    </w:p>
    <w:p w:rsidR="007002FD" w:rsidRPr="005F1284" w:rsidRDefault="007002FD" w:rsidP="007002FD">
      <w:pPr>
        <w:pStyle w:val="NormalDS"/>
        <w:rPr>
          <w:rFonts w:ascii="Century Gothic" w:hAnsi="Century Gothic"/>
        </w:rPr>
      </w:pPr>
      <w:r w:rsidRPr="005F1284">
        <w:rPr>
          <w:rFonts w:ascii="Century Gothic" w:hAnsi="Century Gothic"/>
        </w:rPr>
        <w:t>Alight’s Security Policies and Standards were drafted to address the protections found in existing laws and regulations and may be amended as necessary due to law, regulation, or business requirements.  There is no intent to conflict with relevant laws or regulations.  In the event of any conflict with relevant laws or regulations, they will control.</w:t>
      </w:r>
    </w:p>
    <w:p w:rsidR="007002FD" w:rsidRPr="005F1284" w:rsidRDefault="007002FD" w:rsidP="007002FD">
      <w:pPr>
        <w:pStyle w:val="NormalDS"/>
        <w:rPr>
          <w:rFonts w:ascii="Century Gothic" w:hAnsi="Century Gothic"/>
        </w:rPr>
      </w:pPr>
      <w:r w:rsidRPr="005F1284">
        <w:rPr>
          <w:rFonts w:ascii="Century Gothic" w:hAnsi="Century Gothic"/>
        </w:rPr>
        <w:t>Alight’s Security Policies and Standards may be supplemented by other policies or standards of Alight.  In the case of a conflict or ambiguity, the more specific provisions of any such policy or standard of Alight shall take precedence over the more general provisions contained in Alight’s Security Policies and Standards.</w:t>
      </w:r>
    </w:p>
    <w:p w:rsidR="007002FD" w:rsidRPr="005F1284" w:rsidRDefault="007002FD" w:rsidP="007002FD">
      <w:pPr>
        <w:pStyle w:val="Heading1"/>
        <w:spacing w:before="0" w:after="240"/>
        <w:rPr>
          <w:rFonts w:ascii="Century Gothic" w:hAnsi="Century Gothic"/>
        </w:rPr>
      </w:pPr>
      <w:bookmarkStart w:id="30" w:name="_Toc289842768"/>
      <w:r w:rsidRPr="005F1284">
        <w:rPr>
          <w:rFonts w:ascii="Century Gothic" w:hAnsi="Century Gothic"/>
        </w:rPr>
        <w:lastRenderedPageBreak/>
        <w:t>Document Control Information</w:t>
      </w:r>
      <w:bookmarkEnd w:id="30"/>
    </w:p>
    <w:p w:rsidR="007002FD" w:rsidRPr="005F1284" w:rsidRDefault="007002FD" w:rsidP="007002FD">
      <w:pPr>
        <w:pStyle w:val="TableTitle"/>
        <w:rPr>
          <w:rFonts w:ascii="Century Gothic" w:hAnsi="Century Gothic"/>
        </w:rPr>
      </w:pPr>
      <w:r w:rsidRPr="005F1284">
        <w:rPr>
          <w:rFonts w:ascii="Century Gothic" w:hAnsi="Century Gothic"/>
        </w:rP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7002FD" w:rsidRPr="005F1284" w:rsidTr="005B4263">
        <w:trPr>
          <w:cantSplit/>
        </w:trPr>
        <w:tc>
          <w:tcPr>
            <w:tcW w:w="3355" w:type="dxa"/>
            <w:tcBorders>
              <w:top w:val="nil"/>
              <w:bottom w:val="single" w:sz="12" w:space="0" w:color="808080" w:themeColor="background1" w:themeShade="80"/>
            </w:tcBorders>
            <w:shd w:val="clear" w:color="auto" w:fill="auto"/>
            <w:vAlign w:val="bottom"/>
          </w:tcPr>
          <w:p w:rsidR="007002FD" w:rsidRPr="005F1284" w:rsidRDefault="007002FD" w:rsidP="005B4263">
            <w:pPr>
              <w:pStyle w:val="TableColumnHead"/>
              <w:rPr>
                <w:rFonts w:ascii="Century Gothic" w:hAnsi="Century Gothic"/>
              </w:rPr>
            </w:pPr>
          </w:p>
        </w:tc>
        <w:tc>
          <w:tcPr>
            <w:tcW w:w="6210" w:type="dxa"/>
            <w:tcBorders>
              <w:top w:val="nil"/>
              <w:bottom w:val="single" w:sz="12" w:space="0" w:color="808080" w:themeColor="background1" w:themeShade="80"/>
            </w:tcBorders>
            <w:shd w:val="clear" w:color="auto" w:fill="auto"/>
            <w:vAlign w:val="bottom"/>
          </w:tcPr>
          <w:p w:rsidR="007002FD" w:rsidRPr="005F1284" w:rsidRDefault="007002FD" w:rsidP="005B4263">
            <w:pPr>
              <w:pStyle w:val="TableColumnHead"/>
              <w:rPr>
                <w:rFonts w:ascii="Century Gothic" w:hAnsi="Century Gothic"/>
              </w:rPr>
            </w:pPr>
          </w:p>
        </w:tc>
      </w:tr>
      <w:tr w:rsidR="007002FD" w:rsidRPr="005F1284" w:rsidTr="005B4263">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Bullet4Table"/>
              <w:numPr>
                <w:ilvl w:val="0"/>
                <w:numId w:val="0"/>
              </w:numPr>
              <w:rPr>
                <w:rFonts w:ascii="Century Gothic" w:hAnsi="Century Gothic"/>
              </w:rPr>
            </w:pPr>
            <w:r w:rsidRPr="005F1284">
              <w:rPr>
                <w:rFonts w:ascii="Century Gothic" w:hAnsi="Century Gothic"/>
              </w:rPr>
              <w:t xml:space="preserve">Alight Global Security Services | </w:t>
            </w:r>
            <w:hyperlink r:id="rId12" w:history="1">
              <w:r w:rsidRPr="005F1284">
                <w:rPr>
                  <w:rStyle w:val="Hyperlink"/>
                  <w:rFonts w:ascii="Century Gothic" w:hAnsi="Century Gothic"/>
                  <w:color w:val="auto"/>
                  <w:u w:val="none"/>
                </w:rPr>
                <w:t>global.security.services@aon.com</w:t>
              </w:r>
            </w:hyperlink>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1.5</w:t>
            </w:r>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Alight Global Security Services | Risk Controls and Assessments</w:t>
            </w:r>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Alight Global Security Services | Risk Controls and Assessments</w:t>
            </w:r>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Jim Hartley, Chief Information Security Officer</w:t>
            </w:r>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May 1, 2017</w:t>
            </w:r>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May 1, 2017</w:t>
            </w:r>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May 2, 2011</w:t>
            </w:r>
          </w:p>
        </w:tc>
      </w:tr>
      <w:tr w:rsidR="007002FD" w:rsidRPr="005F1284" w:rsidTr="005B4263">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pStyle w:val="TableCopy"/>
              <w:rPr>
                <w:rFonts w:ascii="Century Gothic" w:hAnsi="Century Gothic"/>
              </w:rPr>
            </w:pPr>
            <w:r w:rsidRPr="005F1284">
              <w:rPr>
                <w:rFonts w:ascii="Century Gothic" w:hAnsi="Century Gothic"/>
              </w:rPr>
              <w:t>General Internal – Low Business Impact (Green)</w:t>
            </w:r>
          </w:p>
        </w:tc>
      </w:tr>
    </w:tbl>
    <w:p w:rsidR="007002FD" w:rsidRPr="005F1284" w:rsidRDefault="007002FD" w:rsidP="007002FD">
      <w:pPr>
        <w:rPr>
          <w:rFonts w:ascii="Century Gothic" w:hAnsi="Century Gothic"/>
        </w:rPr>
      </w:pPr>
    </w:p>
    <w:p w:rsidR="007002FD" w:rsidRPr="005F1284" w:rsidRDefault="007002FD" w:rsidP="007002FD">
      <w:pPr>
        <w:pStyle w:val="Heading1"/>
        <w:spacing w:after="240"/>
        <w:rPr>
          <w:rFonts w:ascii="Century Gothic" w:hAnsi="Century Gothic"/>
        </w:rPr>
      </w:pPr>
      <w:r w:rsidRPr="005F1284">
        <w:rPr>
          <w:rFonts w:ascii="Century Gothic" w:hAnsi="Century Gothic"/>
        </w:rPr>
        <w:lastRenderedPageBreak/>
        <w:t>Revision History</w:t>
      </w:r>
    </w:p>
    <w:p w:rsidR="007002FD" w:rsidRPr="005F1284" w:rsidRDefault="007002FD" w:rsidP="007002FD">
      <w:pPr>
        <w:pStyle w:val="TableTitle"/>
        <w:rPr>
          <w:rFonts w:ascii="Century Gothic" w:hAnsi="Century Gothic"/>
        </w:rPr>
      </w:pPr>
      <w:r w:rsidRPr="005F1284">
        <w:rPr>
          <w:rFonts w:ascii="Century Gothic" w:hAnsi="Century Gothic"/>
        </w:rPr>
        <w:t>Revision History</w:t>
      </w:r>
    </w:p>
    <w:tbl>
      <w:tblPr>
        <w:tblW w:w="4283"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3149"/>
      </w:tblGrid>
      <w:tr w:rsidR="007002FD" w:rsidRPr="005F1284" w:rsidTr="003424E5">
        <w:trPr>
          <w:cantSplit/>
        </w:trPr>
        <w:tc>
          <w:tcPr>
            <w:tcW w:w="1646" w:type="dxa"/>
            <w:tcBorders>
              <w:top w:val="nil"/>
              <w:bottom w:val="single" w:sz="12" w:space="0" w:color="808080" w:themeColor="background1" w:themeShade="80"/>
            </w:tcBorders>
            <w:shd w:val="clear" w:color="auto" w:fill="auto"/>
            <w:vAlign w:val="bottom"/>
          </w:tcPr>
          <w:p w:rsidR="007002FD" w:rsidRPr="005F1284" w:rsidRDefault="007002FD" w:rsidP="005B4263">
            <w:pPr>
              <w:pStyle w:val="TableColumnHead"/>
              <w:rPr>
                <w:rFonts w:ascii="Century Gothic" w:hAnsi="Century Gothic"/>
              </w:rPr>
            </w:pPr>
            <w:r w:rsidRPr="005F1284">
              <w:rPr>
                <w:rFonts w:ascii="Century Gothic" w:hAnsi="Century Gothic"/>
              </w:rPr>
              <w:t>Revision Level</w:t>
            </w:r>
          </w:p>
        </w:tc>
        <w:tc>
          <w:tcPr>
            <w:tcW w:w="1441" w:type="dxa"/>
            <w:tcBorders>
              <w:top w:val="nil"/>
              <w:bottom w:val="single" w:sz="12" w:space="0" w:color="808080" w:themeColor="background1" w:themeShade="80"/>
            </w:tcBorders>
            <w:shd w:val="clear" w:color="auto" w:fill="auto"/>
            <w:vAlign w:val="bottom"/>
          </w:tcPr>
          <w:p w:rsidR="007002FD" w:rsidRPr="005F1284" w:rsidRDefault="007002FD" w:rsidP="005B4263">
            <w:pPr>
              <w:pStyle w:val="TableColumnHead"/>
              <w:rPr>
                <w:rFonts w:ascii="Century Gothic" w:hAnsi="Century Gothic"/>
              </w:rPr>
            </w:pPr>
            <w:r w:rsidRPr="005F1284">
              <w:rPr>
                <w:rFonts w:ascii="Century Gothic" w:hAnsi="Century Gothic"/>
              </w:rPr>
              <w:t>Date</w:t>
            </w:r>
          </w:p>
        </w:tc>
        <w:tc>
          <w:tcPr>
            <w:tcW w:w="1979" w:type="dxa"/>
            <w:tcBorders>
              <w:top w:val="nil"/>
              <w:bottom w:val="single" w:sz="12" w:space="0" w:color="808080" w:themeColor="background1" w:themeShade="80"/>
            </w:tcBorders>
            <w:shd w:val="clear" w:color="auto" w:fill="auto"/>
            <w:vAlign w:val="bottom"/>
          </w:tcPr>
          <w:p w:rsidR="007002FD" w:rsidRPr="005F1284" w:rsidRDefault="007002FD" w:rsidP="005B4263">
            <w:pPr>
              <w:pStyle w:val="TableColumnHead"/>
              <w:rPr>
                <w:rFonts w:ascii="Century Gothic" w:hAnsi="Century Gothic"/>
              </w:rPr>
            </w:pPr>
            <w:r w:rsidRPr="005F1284">
              <w:rPr>
                <w:rFonts w:ascii="Century Gothic" w:hAnsi="Century Gothic"/>
              </w:rPr>
              <w:t xml:space="preserve">Description </w:t>
            </w:r>
          </w:p>
        </w:tc>
        <w:tc>
          <w:tcPr>
            <w:tcW w:w="3149" w:type="dxa"/>
            <w:tcBorders>
              <w:top w:val="nil"/>
              <w:bottom w:val="single" w:sz="12" w:space="0" w:color="808080" w:themeColor="background1" w:themeShade="80"/>
            </w:tcBorders>
          </w:tcPr>
          <w:p w:rsidR="007002FD" w:rsidRPr="005F1284" w:rsidRDefault="007002FD" w:rsidP="005B4263">
            <w:pPr>
              <w:pStyle w:val="TableColumnHead"/>
              <w:rPr>
                <w:rFonts w:ascii="Century Gothic" w:hAnsi="Century Gothic"/>
              </w:rPr>
            </w:pPr>
            <w:r w:rsidRPr="005F1284">
              <w:rPr>
                <w:rFonts w:ascii="Century Gothic" w:hAnsi="Century Gothic"/>
              </w:rPr>
              <w:t>Change Summary</w:t>
            </w:r>
          </w:p>
        </w:tc>
      </w:tr>
      <w:tr w:rsidR="007002FD" w:rsidRPr="005F1284" w:rsidTr="003424E5">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Original</w:t>
            </w:r>
          </w:p>
        </w:tc>
        <w:tc>
          <w:tcPr>
            <w:tcW w:w="3149" w:type="dxa"/>
            <w:tcBorders>
              <w:top w:val="single" w:sz="12" w:space="0" w:color="808080" w:themeColor="background1" w:themeShade="80"/>
              <w:bottom w:val="single" w:sz="4" w:space="0" w:color="808080" w:themeColor="background1" w:themeShade="80"/>
            </w:tcBorders>
          </w:tcPr>
          <w:p w:rsidR="007002FD" w:rsidRPr="005F1284" w:rsidRDefault="007002FD" w:rsidP="005B4263">
            <w:pPr>
              <w:pStyle w:val="NormalDS"/>
              <w:rPr>
                <w:rFonts w:ascii="Century Gothic" w:hAnsi="Century Gothic"/>
                <w:sz w:val="18"/>
                <w:szCs w:val="18"/>
              </w:rPr>
            </w:pPr>
            <w:r w:rsidRPr="005F1284">
              <w:rPr>
                <w:rFonts w:ascii="Century Gothic" w:hAnsi="Century Gothic" w:cs="Arial"/>
                <w:color w:val="000000"/>
                <w:sz w:val="18"/>
                <w:szCs w:val="18"/>
              </w:rPr>
              <w:t>Restructured policy due to Aon Hewitt acquisition</w:t>
            </w:r>
          </w:p>
        </w:tc>
      </w:tr>
      <w:tr w:rsidR="007002FD" w:rsidRPr="005F1284" w:rsidTr="003424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2013 Annual Review</w:t>
            </w:r>
          </w:p>
        </w:tc>
        <w:tc>
          <w:tcPr>
            <w:tcW w:w="3149" w:type="dxa"/>
            <w:tcBorders>
              <w:top w:val="single" w:sz="4" w:space="0" w:color="808080" w:themeColor="background1" w:themeShade="80"/>
              <w:bottom w:val="single" w:sz="4" w:space="0" w:color="808080" w:themeColor="background1" w:themeShade="80"/>
            </w:tcBorders>
          </w:tcPr>
          <w:p w:rsidR="007002FD" w:rsidRPr="005F1284" w:rsidRDefault="007002FD" w:rsidP="005B4263">
            <w:pPr>
              <w:pStyle w:val="NormalDS"/>
              <w:rPr>
                <w:rFonts w:ascii="Century Gothic" w:hAnsi="Century Gothic"/>
                <w:sz w:val="18"/>
                <w:szCs w:val="18"/>
              </w:rPr>
            </w:pPr>
            <w:r w:rsidRPr="005F1284">
              <w:rPr>
                <w:rFonts w:ascii="Century Gothic" w:hAnsi="Century Gothic" w:cs="Arial"/>
                <w:color w:val="000000"/>
                <w:sz w:val="18"/>
                <w:szCs w:val="18"/>
              </w:rPr>
              <w:t>Reviewed and validated</w:t>
            </w:r>
          </w:p>
        </w:tc>
      </w:tr>
      <w:tr w:rsidR="007002FD" w:rsidRPr="005F1284" w:rsidTr="003424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2014 Annual Review</w:t>
            </w:r>
          </w:p>
        </w:tc>
        <w:tc>
          <w:tcPr>
            <w:tcW w:w="3149" w:type="dxa"/>
            <w:tcBorders>
              <w:top w:val="single" w:sz="4" w:space="0" w:color="808080" w:themeColor="background1" w:themeShade="80"/>
              <w:bottom w:val="single" w:sz="4" w:space="0" w:color="808080" w:themeColor="background1" w:themeShade="80"/>
            </w:tcBorders>
          </w:tcPr>
          <w:p w:rsidR="007002FD" w:rsidRPr="005F1284" w:rsidRDefault="007002FD" w:rsidP="005B4263">
            <w:pPr>
              <w:pStyle w:val="NormalDS"/>
              <w:rPr>
                <w:rFonts w:ascii="Century Gothic" w:hAnsi="Century Gothic" w:cs="Arial"/>
                <w:color w:val="000000"/>
                <w:sz w:val="18"/>
                <w:szCs w:val="18"/>
              </w:rPr>
            </w:pPr>
            <w:r w:rsidRPr="005F1284">
              <w:rPr>
                <w:rFonts w:ascii="Century Gothic" w:hAnsi="Century Gothic" w:cs="Arial"/>
                <w:color w:val="000000"/>
                <w:sz w:val="18"/>
                <w:szCs w:val="18"/>
              </w:rPr>
              <w:t>Reviewed and validated</w:t>
            </w:r>
          </w:p>
        </w:tc>
      </w:tr>
      <w:tr w:rsidR="007002FD" w:rsidRPr="005F1284" w:rsidTr="003424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2015 Annual Review</w:t>
            </w:r>
          </w:p>
        </w:tc>
        <w:tc>
          <w:tcPr>
            <w:tcW w:w="3149" w:type="dxa"/>
            <w:tcBorders>
              <w:top w:val="single" w:sz="4" w:space="0" w:color="808080" w:themeColor="background1" w:themeShade="80"/>
              <w:bottom w:val="single" w:sz="4" w:space="0" w:color="808080" w:themeColor="background1" w:themeShade="80"/>
            </w:tcBorders>
          </w:tcPr>
          <w:p w:rsidR="007002FD" w:rsidRPr="005F1284" w:rsidRDefault="007002FD" w:rsidP="005B4263">
            <w:pPr>
              <w:pStyle w:val="NormalDS"/>
              <w:rPr>
                <w:rFonts w:ascii="Century Gothic" w:hAnsi="Century Gothic" w:cs="Arial"/>
                <w:color w:val="000000"/>
                <w:sz w:val="18"/>
                <w:szCs w:val="18"/>
              </w:rPr>
            </w:pPr>
            <w:r w:rsidRPr="005F1284">
              <w:rPr>
                <w:rFonts w:ascii="Century Gothic" w:hAnsi="Century Gothic" w:cs="Arial"/>
                <w:color w:val="000000"/>
                <w:sz w:val="18"/>
                <w:szCs w:val="18"/>
              </w:rPr>
              <w:t>Reviewed and validated</w:t>
            </w:r>
          </w:p>
        </w:tc>
      </w:tr>
      <w:tr w:rsidR="007002FD" w:rsidRPr="005F1284" w:rsidTr="003424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2016 Annual Review</w:t>
            </w:r>
          </w:p>
        </w:tc>
        <w:tc>
          <w:tcPr>
            <w:tcW w:w="3149" w:type="dxa"/>
            <w:tcBorders>
              <w:top w:val="single" w:sz="4" w:space="0" w:color="808080" w:themeColor="background1" w:themeShade="80"/>
              <w:bottom w:val="single" w:sz="4" w:space="0" w:color="808080" w:themeColor="background1" w:themeShade="80"/>
            </w:tcBorders>
          </w:tcPr>
          <w:p w:rsidR="007002FD" w:rsidRPr="005F1284" w:rsidRDefault="007002FD" w:rsidP="003424E5">
            <w:pPr>
              <w:pStyle w:val="NormalDS"/>
              <w:rPr>
                <w:rFonts w:ascii="Century Gothic" w:hAnsi="Century Gothic"/>
                <w:sz w:val="18"/>
              </w:rPr>
            </w:pPr>
            <w:r w:rsidRPr="005F1284">
              <w:rPr>
                <w:rFonts w:ascii="Century Gothic" w:hAnsi="Century Gothic"/>
                <w:sz w:val="18"/>
              </w:rPr>
              <w:t>Practice change from InfoSec to PBM – Plan &amp; Business Management</w:t>
            </w:r>
          </w:p>
          <w:p w:rsidR="007002FD" w:rsidRPr="005F1284" w:rsidRDefault="007002FD" w:rsidP="003424E5">
            <w:pPr>
              <w:pStyle w:val="NormalDS"/>
              <w:rPr>
                <w:rFonts w:ascii="Century Gothic" w:hAnsi="Century Gothic"/>
              </w:rPr>
            </w:pPr>
            <w:r w:rsidRPr="005F1284">
              <w:rPr>
                <w:rFonts w:ascii="Century Gothic" w:hAnsi="Century Gothic"/>
                <w:sz w:val="18"/>
              </w:rPr>
              <w:t>Clarified wording and replaced all instances of Security Risk Management (SRM) with Global Security Services (GSS) to reflect new organization name</w:t>
            </w:r>
          </w:p>
        </w:tc>
      </w:tr>
      <w:tr w:rsidR="007002FD" w:rsidRPr="005F1284" w:rsidTr="003424E5">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7002FD" w:rsidRPr="005F1284" w:rsidRDefault="007002FD" w:rsidP="005B4263">
            <w:pPr>
              <w:rPr>
                <w:rFonts w:ascii="Century Gothic" w:hAnsi="Century Gothic"/>
                <w:sz w:val="18"/>
                <w:szCs w:val="18"/>
              </w:rPr>
            </w:pPr>
            <w:r w:rsidRPr="005F1284">
              <w:rPr>
                <w:rFonts w:ascii="Century Gothic" w:hAnsi="Century Gothic"/>
                <w:sz w:val="18"/>
                <w:szCs w:val="18"/>
              </w:rPr>
              <w:t>2017 Rebranding</w:t>
            </w:r>
          </w:p>
        </w:tc>
        <w:tc>
          <w:tcPr>
            <w:tcW w:w="3149" w:type="dxa"/>
            <w:tcBorders>
              <w:top w:val="single" w:sz="4" w:space="0" w:color="808080" w:themeColor="background1" w:themeShade="80"/>
              <w:bottom w:val="single" w:sz="4" w:space="0" w:color="808080" w:themeColor="background1" w:themeShade="80"/>
            </w:tcBorders>
          </w:tcPr>
          <w:p w:rsidR="007002FD" w:rsidRPr="005F1284" w:rsidRDefault="007002FD" w:rsidP="005B4263">
            <w:pPr>
              <w:pStyle w:val="NormalDS"/>
              <w:rPr>
                <w:rFonts w:ascii="Century Gothic" w:hAnsi="Century Gothic"/>
                <w:sz w:val="18"/>
                <w:szCs w:val="18"/>
              </w:rPr>
            </w:pPr>
            <w:r w:rsidRPr="005F1284">
              <w:rPr>
                <w:rFonts w:ascii="Century Gothic" w:hAnsi="Century Gothic"/>
                <w:sz w:val="18"/>
                <w:szCs w:val="18"/>
              </w:rPr>
              <w:t>Rebranded policy due to Aon Hewitt divestiture</w:t>
            </w:r>
          </w:p>
        </w:tc>
      </w:tr>
      <w:tr w:rsidR="007002FD" w:rsidRPr="005F1284" w:rsidTr="003424E5">
        <w:trPr>
          <w:cantSplit/>
        </w:trPr>
        <w:tc>
          <w:tcPr>
            <w:tcW w:w="1646" w:type="dxa"/>
            <w:tcBorders>
              <w:top w:val="single" w:sz="4" w:space="0" w:color="808080" w:themeColor="background1" w:themeShade="80"/>
              <w:bottom w:val="nil"/>
            </w:tcBorders>
            <w:shd w:val="clear" w:color="auto" w:fill="auto"/>
          </w:tcPr>
          <w:p w:rsidR="007002FD" w:rsidRPr="005F1284" w:rsidRDefault="007002FD" w:rsidP="005B4263">
            <w:pPr>
              <w:pStyle w:val="TableCopy"/>
              <w:rPr>
                <w:rFonts w:ascii="Century Gothic" w:hAnsi="Century Gothic"/>
              </w:rPr>
            </w:pPr>
          </w:p>
        </w:tc>
        <w:tc>
          <w:tcPr>
            <w:tcW w:w="1441" w:type="dxa"/>
            <w:tcBorders>
              <w:top w:val="single" w:sz="4" w:space="0" w:color="808080" w:themeColor="background1" w:themeShade="80"/>
              <w:bottom w:val="nil"/>
            </w:tcBorders>
            <w:shd w:val="clear" w:color="auto" w:fill="auto"/>
          </w:tcPr>
          <w:p w:rsidR="007002FD" w:rsidRPr="005F1284" w:rsidRDefault="007002FD" w:rsidP="005B4263">
            <w:pPr>
              <w:pStyle w:val="NormalDS"/>
              <w:rPr>
                <w:rFonts w:ascii="Century Gothic" w:hAnsi="Century Gothic"/>
              </w:rPr>
            </w:pPr>
          </w:p>
        </w:tc>
        <w:tc>
          <w:tcPr>
            <w:tcW w:w="1979" w:type="dxa"/>
            <w:tcBorders>
              <w:top w:val="single" w:sz="4" w:space="0" w:color="808080" w:themeColor="background1" w:themeShade="80"/>
              <w:bottom w:val="nil"/>
            </w:tcBorders>
            <w:shd w:val="clear" w:color="auto" w:fill="auto"/>
          </w:tcPr>
          <w:p w:rsidR="007002FD" w:rsidRPr="005F1284" w:rsidRDefault="007002FD" w:rsidP="005B4263">
            <w:pPr>
              <w:pStyle w:val="TableCopy"/>
              <w:rPr>
                <w:rFonts w:ascii="Century Gothic" w:hAnsi="Century Gothic"/>
              </w:rPr>
            </w:pPr>
          </w:p>
        </w:tc>
        <w:tc>
          <w:tcPr>
            <w:tcW w:w="3149" w:type="dxa"/>
            <w:tcBorders>
              <w:top w:val="single" w:sz="4" w:space="0" w:color="808080" w:themeColor="background1" w:themeShade="80"/>
              <w:bottom w:val="nil"/>
            </w:tcBorders>
          </w:tcPr>
          <w:p w:rsidR="007002FD" w:rsidRPr="005F1284" w:rsidRDefault="007002FD" w:rsidP="005B4263">
            <w:pPr>
              <w:pStyle w:val="TableCopy"/>
              <w:rPr>
                <w:rFonts w:ascii="Century Gothic" w:hAnsi="Century Gothic"/>
              </w:rPr>
            </w:pPr>
          </w:p>
        </w:tc>
      </w:tr>
    </w:tbl>
    <w:p w:rsidR="007002FD" w:rsidRPr="005F1284" w:rsidRDefault="007002FD" w:rsidP="007002FD">
      <w:pPr>
        <w:rPr>
          <w:rFonts w:ascii="Century Gothic" w:hAnsi="Century Gothic"/>
        </w:rPr>
      </w:pPr>
    </w:p>
    <w:p w:rsidR="007002FD" w:rsidRPr="005F1284" w:rsidRDefault="007002FD" w:rsidP="007002FD">
      <w:pPr>
        <w:rPr>
          <w:rFonts w:ascii="Century Gothic" w:hAnsi="Century Gothic"/>
        </w:rPr>
      </w:pPr>
    </w:p>
    <w:p w:rsidR="007002FD" w:rsidRPr="005F1284" w:rsidRDefault="007002FD" w:rsidP="007002FD">
      <w:pPr>
        <w:rPr>
          <w:rFonts w:ascii="Century Gothic" w:hAnsi="Century Gothic"/>
        </w:rPr>
      </w:pPr>
    </w:p>
    <w:bookmarkEnd w:id="0"/>
    <w:bookmarkEnd w:id="1"/>
    <w:bookmarkEnd w:id="2"/>
    <w:bookmarkEnd w:id="3"/>
    <w:bookmarkEnd w:id="4"/>
    <w:bookmarkEnd w:id="5"/>
    <w:bookmarkEnd w:id="6"/>
    <w:bookmarkEnd w:id="7"/>
    <w:bookmarkEnd w:id="8"/>
    <w:bookmarkEnd w:id="9"/>
    <w:p w:rsidR="007002FD" w:rsidRPr="005F1284" w:rsidRDefault="007002FD" w:rsidP="007002FD">
      <w:pPr>
        <w:rPr>
          <w:rFonts w:ascii="Century Gothic" w:hAnsi="Century Gothic"/>
        </w:rPr>
      </w:pPr>
    </w:p>
    <w:sectPr w:rsidR="007002FD" w:rsidRPr="005F1284" w:rsidSect="00075357">
      <w:footerReference w:type="default" r:id="rId13"/>
      <w:footerReference w:type="first" r:id="rId14"/>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9CA" w:rsidRDefault="000D49CA" w:rsidP="005B402B">
      <w:r>
        <w:separator/>
      </w:r>
    </w:p>
  </w:endnote>
  <w:endnote w:type="continuationSeparator" w:id="0">
    <w:p w:rsidR="000D49CA" w:rsidRDefault="000D49CA"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altName w:val="Nyala"/>
    <w:panose1 w:val="00000000000000000000"/>
    <w:charset w:val="00"/>
    <w:family w:val="roman"/>
    <w:notTrueType/>
    <w:pitch w:val="variable"/>
    <w:sig w:usb0="00000001" w:usb1="4000207A" w:usb2="00000000" w:usb3="00000000" w:csb0="00000093" w:csb1="00000000"/>
  </w:font>
  <w:font w:name="FS Thrive Elliot Heavy">
    <w:altName w:val="Nyala"/>
    <w:panose1 w:val="00000000000000000000"/>
    <w:charset w:val="00"/>
    <w:family w:val="roman"/>
    <w:notTrueType/>
    <w:pitch w:val="variable"/>
    <w:sig w:usb0="00000001"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3424E5">
      <w:t xml:space="preserve">209.01 </w:t>
    </w:r>
    <w:r w:rsidR="007002FD">
      <w:t>Information Security Awareness Standard</w:t>
    </w:r>
    <w:r>
      <w:tab/>
    </w:r>
    <w:r>
      <w:fldChar w:fldCharType="begin"/>
    </w:r>
    <w:r>
      <w:instrText xml:space="preserve"> PAGE   \* MERGEFORMAT </w:instrText>
    </w:r>
    <w:r>
      <w:fldChar w:fldCharType="separate"/>
    </w:r>
    <w:r w:rsidR="005F128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714204C3" wp14:editId="0CBDAD6C">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9CA" w:rsidRDefault="000D49CA" w:rsidP="005B402B">
      <w:r>
        <w:separator/>
      </w:r>
    </w:p>
  </w:footnote>
  <w:footnote w:type="continuationSeparator" w:id="0">
    <w:p w:rsidR="000D49CA" w:rsidRDefault="000D49CA"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4AC81173"/>
    <w:multiLevelType w:val="multilevel"/>
    <w:tmpl w:val="B3C4D8B2"/>
    <w:numStyleLink w:val="AonList"/>
  </w:abstractNum>
  <w:abstractNum w:abstractNumId="7">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E924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68475D9"/>
    <w:multiLevelType w:val="hybridMultilevel"/>
    <w:tmpl w:val="DF6E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11"/>
  </w:num>
  <w:num w:numId="6">
    <w:abstractNumId w:val="3"/>
  </w:num>
  <w:num w:numId="7">
    <w:abstractNumId w:val="0"/>
  </w:num>
  <w:num w:numId="8">
    <w:abstractNumId w:val="6"/>
  </w:num>
  <w:num w:numId="9">
    <w:abstractNumId w:val="5"/>
  </w:num>
  <w:num w:numId="10">
    <w:abstractNumId w:val="1"/>
  </w:num>
  <w:num w:numId="11">
    <w:abstractNumId w:val="14"/>
  </w:num>
  <w:num w:numId="12">
    <w:abstractNumId w:val="7"/>
  </w:num>
  <w:num w:numId="13">
    <w:abstractNumId w:val="12"/>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0346"/>
    <w:rsid w:val="00012EB6"/>
    <w:rsid w:val="00016ED0"/>
    <w:rsid w:val="00026D6E"/>
    <w:rsid w:val="00046D27"/>
    <w:rsid w:val="00075357"/>
    <w:rsid w:val="00087709"/>
    <w:rsid w:val="000B2B20"/>
    <w:rsid w:val="000C237C"/>
    <w:rsid w:val="000D49CA"/>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C43A9"/>
    <w:rsid w:val="002D378B"/>
    <w:rsid w:val="00321778"/>
    <w:rsid w:val="003424E5"/>
    <w:rsid w:val="003641B4"/>
    <w:rsid w:val="003B4445"/>
    <w:rsid w:val="003D11EF"/>
    <w:rsid w:val="004A6699"/>
    <w:rsid w:val="004B6F14"/>
    <w:rsid w:val="004C19C5"/>
    <w:rsid w:val="004F6723"/>
    <w:rsid w:val="00572B9B"/>
    <w:rsid w:val="0058699E"/>
    <w:rsid w:val="00596FE5"/>
    <w:rsid w:val="005B402B"/>
    <w:rsid w:val="005D6101"/>
    <w:rsid w:val="005F1284"/>
    <w:rsid w:val="00631213"/>
    <w:rsid w:val="0064411E"/>
    <w:rsid w:val="00657BDB"/>
    <w:rsid w:val="00666F6C"/>
    <w:rsid w:val="006F2AD3"/>
    <w:rsid w:val="007002FD"/>
    <w:rsid w:val="007372A8"/>
    <w:rsid w:val="0074779E"/>
    <w:rsid w:val="007B6C0D"/>
    <w:rsid w:val="008671C4"/>
    <w:rsid w:val="00877C5D"/>
    <w:rsid w:val="008905ED"/>
    <w:rsid w:val="008F152A"/>
    <w:rsid w:val="009349C9"/>
    <w:rsid w:val="00942648"/>
    <w:rsid w:val="009837F6"/>
    <w:rsid w:val="009A1695"/>
    <w:rsid w:val="009A3A28"/>
    <w:rsid w:val="009C15C5"/>
    <w:rsid w:val="009F7CF9"/>
    <w:rsid w:val="00A00A6C"/>
    <w:rsid w:val="00A667E0"/>
    <w:rsid w:val="00A855D2"/>
    <w:rsid w:val="00B33A2C"/>
    <w:rsid w:val="00B606E6"/>
    <w:rsid w:val="00B71DB5"/>
    <w:rsid w:val="00C16A23"/>
    <w:rsid w:val="00C22001"/>
    <w:rsid w:val="00C57EE1"/>
    <w:rsid w:val="00D33649"/>
    <w:rsid w:val="00D563B0"/>
    <w:rsid w:val="00D5712B"/>
    <w:rsid w:val="00D80981"/>
    <w:rsid w:val="00D81842"/>
    <w:rsid w:val="00D94A05"/>
    <w:rsid w:val="00DF3ECD"/>
    <w:rsid w:val="00E147BB"/>
    <w:rsid w:val="00E269A3"/>
    <w:rsid w:val="00E542BC"/>
    <w:rsid w:val="00E82861"/>
    <w:rsid w:val="00EC05E6"/>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RM.Mailbox@aon.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280DD-033E-4F05-8516-923B18DEED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6F5908-78E7-4430-9EA2-EE789AEFFB77}">
  <ds:schemaRefs>
    <ds:schemaRef ds:uri="http://schemas.microsoft.com/sharepoint/v3/contenttype/forms"/>
  </ds:schemaRefs>
</ds:datastoreItem>
</file>

<file path=customXml/itemProps3.xml><?xml version="1.0" encoding="utf-8"?>
<ds:datastoreItem xmlns:ds="http://schemas.openxmlformats.org/officeDocument/2006/customXml" ds:itemID="{70042721-324C-4C00-A87A-8861BA517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4C09B9C-7200-42FC-A8AA-F922D4636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Austin Songer</cp:lastModifiedBy>
  <cp:revision>6</cp:revision>
  <dcterms:created xsi:type="dcterms:W3CDTF">2017-07-15T01:54:00Z</dcterms:created>
  <dcterms:modified xsi:type="dcterms:W3CDTF">2018-04-19T16:27:00Z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