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footer2.xml" ContentType="application/vnd.openxmlformats-officedocument.wordprocessingml.footer+xml"/>
  <Override PartName="/word/footer1.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stylesWithEffects.xml" ContentType="application/vnd.ms-word.stylesWithEffect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18EB" w:rsidRDefault="004A18EB" w:rsidP="004A18EB">
      <w:pPr>
        <w:pStyle w:val="Heading1"/>
      </w:pPr>
      <w:bookmarkStart w:id="0" w:name="_Toc158805971"/>
      <w:bookmarkStart w:id="1" w:name="_Toc289842748"/>
      <w:bookmarkStart w:id="2" w:name="_Toc300658435"/>
      <w:bookmarkStart w:id="3" w:name="_Toc304990088"/>
      <w:bookmarkStart w:id="4" w:name="_Toc289842663"/>
      <w:bookmarkStart w:id="5" w:name="_Toc289842750"/>
      <w:bookmarkStart w:id="6" w:name="_Toc306014639"/>
      <w:bookmarkStart w:id="7" w:name="_Toc158805973"/>
      <w:bookmarkStart w:id="8" w:name="_Toc262147560"/>
      <w:bookmarkStart w:id="9" w:name="_Toc438453596"/>
      <w:r>
        <w:t xml:space="preserve">Supplier Security Governance </w:t>
      </w:r>
      <w:r w:rsidR="0092671D">
        <w:t>Standard</w:t>
      </w:r>
      <w:bookmarkStart w:id="10" w:name="_GoBack"/>
      <w:bookmarkEnd w:id="10"/>
    </w:p>
    <w:p w:rsidR="004A18EB" w:rsidRDefault="004A18EB" w:rsidP="004A18EB">
      <w:pPr>
        <w:pStyle w:val="Heading2"/>
      </w:pPr>
      <w:r>
        <w:t>Standard</w:t>
      </w:r>
      <w:bookmarkStart w:id="11" w:name="_Toc289842747"/>
      <w:bookmarkStart w:id="12" w:name="_Toc296524963"/>
      <w:bookmarkStart w:id="13" w:name="_Toc318373175"/>
      <w:r>
        <w:t xml:space="preserve"> Related </w:t>
      </w:r>
      <w:r w:rsidRPr="002311A6">
        <w:t>P</w:t>
      </w:r>
      <w:r>
        <w:t>olicy</w:t>
      </w:r>
    </w:p>
    <w:p w:rsidR="004A18EB" w:rsidRPr="00E561AE" w:rsidRDefault="004A18EB" w:rsidP="004A18EB">
      <w:pPr>
        <w:pStyle w:val="NormalDS"/>
        <w:numPr>
          <w:ilvl w:val="0"/>
          <w:numId w:val="14"/>
        </w:numPr>
        <w:rPr>
          <w:rFonts w:cs="Arial"/>
        </w:rPr>
      </w:pPr>
      <w:r>
        <w:t>600.00 Supplier Security Governance Policy</w:t>
      </w:r>
    </w:p>
    <w:p w:rsidR="004A18EB" w:rsidRPr="00E561AE" w:rsidRDefault="004A18EB" w:rsidP="004A18EB">
      <w:pPr>
        <w:pStyle w:val="Heading2"/>
      </w:pPr>
      <w:r w:rsidRPr="00E561AE">
        <w:t>Purpose</w:t>
      </w:r>
      <w:bookmarkEnd w:id="11"/>
      <w:bookmarkEnd w:id="12"/>
      <w:bookmarkEnd w:id="13"/>
      <w:r w:rsidRPr="00E561AE">
        <w:t xml:space="preserve"> </w:t>
      </w:r>
    </w:p>
    <w:p w:rsidR="004A18EB" w:rsidRDefault="004A18EB" w:rsidP="004A18EB">
      <w:pPr>
        <w:pStyle w:val="NormalDS"/>
      </w:pPr>
      <w:r w:rsidRPr="00ED3198">
        <w:t xml:space="preserve">The purpose of this standard is to outline the requirements that suppliers must meet to ensure they are taking reasonable and appropriate actions to protect </w:t>
      </w:r>
      <w:proofErr w:type="gramStart"/>
      <w:r>
        <w:t>Alight</w:t>
      </w:r>
      <w:proofErr w:type="gramEnd"/>
      <w:r w:rsidRPr="00ED3198">
        <w:t xml:space="preserve"> information.</w:t>
      </w:r>
      <w:bookmarkStart w:id="14" w:name="_Toc296524967"/>
      <w:bookmarkStart w:id="15" w:name="_Toc318373179"/>
    </w:p>
    <w:p w:rsidR="004A18EB" w:rsidRDefault="004A18EB" w:rsidP="004A18EB">
      <w:pPr>
        <w:pStyle w:val="Heading2"/>
      </w:pPr>
      <w:r w:rsidRPr="00FF12D2">
        <w:t>Standard Statements</w:t>
      </w:r>
      <w:bookmarkEnd w:id="14"/>
      <w:bookmarkEnd w:id="15"/>
    </w:p>
    <w:p w:rsidR="004A18EB" w:rsidRPr="00ED3198" w:rsidRDefault="004A18EB" w:rsidP="004A18EB">
      <w:pPr>
        <w:pStyle w:val="NormalDS"/>
      </w:pPr>
      <w:bookmarkStart w:id="16" w:name="_Toc296561287"/>
      <w:r w:rsidRPr="00ED3198">
        <w:t>Supplier is required to comply</w:t>
      </w:r>
      <w:r>
        <w:t>, at a minimum,</w:t>
      </w:r>
      <w:r w:rsidRPr="00ED3198">
        <w:t xml:space="preserve"> with the following standards set forth below, as applicable to the service delivered to </w:t>
      </w:r>
      <w:r>
        <w:t>Alight</w:t>
      </w:r>
      <w:r w:rsidRPr="00ED3198">
        <w:t xml:space="preserve"> and/or </w:t>
      </w:r>
      <w:r>
        <w:t>Alight</w:t>
      </w:r>
      <w:r w:rsidRPr="00ED3198">
        <w:t xml:space="preserve"> clients.  In addition, Supplier must comply with </w:t>
      </w:r>
      <w:r>
        <w:t>Alight</w:t>
      </w:r>
      <w:r w:rsidRPr="00ED3198">
        <w:t>’s applicable policies.</w:t>
      </w:r>
    </w:p>
    <w:tbl>
      <w:tblPr>
        <w:tblW w:w="8820" w:type="dxa"/>
        <w:tblInd w:w="1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890"/>
        <w:gridCol w:w="6930"/>
      </w:tblGrid>
      <w:tr w:rsidR="004A18EB" w:rsidRPr="00C934D9" w:rsidTr="00C37B8C">
        <w:trPr>
          <w:cantSplit/>
          <w:tblHeader/>
        </w:trPr>
        <w:tc>
          <w:tcPr>
            <w:tcW w:w="1890" w:type="dxa"/>
            <w:shd w:val="clear" w:color="auto" w:fill="F3F3F3"/>
            <w:tcMar>
              <w:top w:w="75" w:type="dxa"/>
              <w:left w:w="75" w:type="dxa"/>
              <w:bottom w:w="75" w:type="dxa"/>
              <w:right w:w="75" w:type="dxa"/>
            </w:tcMar>
          </w:tcPr>
          <w:bookmarkEnd w:id="16"/>
          <w:p w:rsidR="004A18EB" w:rsidRPr="00E561AE" w:rsidRDefault="004A18EB" w:rsidP="00C37B8C">
            <w:pPr>
              <w:pStyle w:val="TableColumnHead0"/>
              <w:jc w:val="left"/>
              <w:rPr>
                <w:rFonts w:asciiTheme="minorHAnsi" w:hAnsiTheme="minorHAnsi"/>
              </w:rPr>
            </w:pPr>
            <w:r w:rsidRPr="00E561AE">
              <w:rPr>
                <w:rFonts w:asciiTheme="minorHAnsi" w:hAnsiTheme="minorHAnsi"/>
              </w:rPr>
              <w:t>Supplier Standards</w:t>
            </w:r>
          </w:p>
        </w:tc>
        <w:tc>
          <w:tcPr>
            <w:tcW w:w="6930" w:type="dxa"/>
            <w:shd w:val="clear" w:color="auto" w:fill="F3F3F3"/>
            <w:tcMar>
              <w:top w:w="75" w:type="dxa"/>
              <w:left w:w="75" w:type="dxa"/>
              <w:bottom w:w="75" w:type="dxa"/>
              <w:right w:w="75" w:type="dxa"/>
            </w:tcMar>
          </w:tcPr>
          <w:p w:rsidR="004A18EB" w:rsidRPr="00E561AE" w:rsidRDefault="004A18EB" w:rsidP="00C37B8C">
            <w:pPr>
              <w:pStyle w:val="TableColumnHead0"/>
              <w:jc w:val="left"/>
              <w:rPr>
                <w:rFonts w:asciiTheme="minorHAnsi" w:hAnsiTheme="minorHAnsi"/>
              </w:rPr>
            </w:pPr>
            <w:r w:rsidRPr="00E561AE">
              <w:rPr>
                <w:rFonts w:asciiTheme="minorHAnsi" w:hAnsiTheme="minorHAnsi"/>
              </w:rPr>
              <w:t>Description</w:t>
            </w:r>
          </w:p>
        </w:tc>
      </w:tr>
      <w:tr w:rsidR="004A18EB" w:rsidRPr="00560B5D" w:rsidTr="00C37B8C">
        <w:trPr>
          <w:cantSplit/>
        </w:trPr>
        <w:tc>
          <w:tcPr>
            <w:tcW w:w="1890" w:type="dxa"/>
            <w:tcMar>
              <w:top w:w="75" w:type="dxa"/>
              <w:left w:w="75" w:type="dxa"/>
              <w:bottom w:w="75" w:type="dxa"/>
              <w:right w:w="75" w:type="dxa"/>
            </w:tcMar>
          </w:tcPr>
          <w:p w:rsidR="004A18EB" w:rsidRPr="00E561AE" w:rsidRDefault="004A18EB" w:rsidP="00C37B8C">
            <w:pPr>
              <w:pStyle w:val="TableRowHead"/>
              <w:rPr>
                <w:rFonts w:asciiTheme="minorHAnsi" w:hAnsiTheme="minorHAnsi"/>
              </w:rPr>
            </w:pPr>
            <w:r w:rsidRPr="00E561AE">
              <w:rPr>
                <w:rFonts w:asciiTheme="minorHAnsi" w:hAnsiTheme="minorHAnsi"/>
              </w:rPr>
              <w:t>Supporting Evidence</w:t>
            </w:r>
          </w:p>
        </w:tc>
        <w:tc>
          <w:tcPr>
            <w:tcW w:w="6930" w:type="dxa"/>
            <w:tcMar>
              <w:top w:w="75" w:type="dxa"/>
              <w:left w:w="75" w:type="dxa"/>
              <w:bottom w:w="75" w:type="dxa"/>
              <w:right w:w="75" w:type="dxa"/>
            </w:tcMar>
          </w:tcPr>
          <w:p w:rsidR="004A18EB" w:rsidRPr="00941AED" w:rsidRDefault="004A18EB" w:rsidP="00C37B8C">
            <w:pPr>
              <w:rPr>
                <w:rFonts w:cs="Arial"/>
              </w:rPr>
            </w:pPr>
            <w:r w:rsidRPr="00941AED">
              <w:rPr>
                <w:rFonts w:cs="Arial"/>
              </w:rPr>
              <w:t xml:space="preserve">Supplier’s </w:t>
            </w:r>
            <w:r>
              <w:rPr>
                <w:rFonts w:cs="Arial"/>
              </w:rPr>
              <w:t>a</w:t>
            </w:r>
            <w:r w:rsidRPr="00941AED">
              <w:rPr>
                <w:rFonts w:cs="Arial"/>
              </w:rPr>
              <w:t>pplicable supporting documents, as identified in the survey, will be attached to the survey in a readable format or provided separately</w:t>
            </w:r>
          </w:p>
        </w:tc>
      </w:tr>
      <w:tr w:rsidR="004A18EB" w:rsidRPr="00560B5D" w:rsidTr="00C37B8C">
        <w:trPr>
          <w:cantSplit/>
        </w:trPr>
        <w:tc>
          <w:tcPr>
            <w:tcW w:w="1890" w:type="dxa"/>
            <w:tcMar>
              <w:top w:w="75" w:type="dxa"/>
              <w:left w:w="75" w:type="dxa"/>
              <w:bottom w:w="75" w:type="dxa"/>
              <w:right w:w="75" w:type="dxa"/>
            </w:tcMar>
          </w:tcPr>
          <w:p w:rsidR="004A18EB" w:rsidRPr="00E561AE" w:rsidRDefault="004A18EB" w:rsidP="00C37B8C">
            <w:pPr>
              <w:pStyle w:val="TableRowHead"/>
              <w:rPr>
                <w:rFonts w:asciiTheme="minorHAnsi" w:hAnsiTheme="minorHAnsi"/>
              </w:rPr>
            </w:pPr>
            <w:r w:rsidRPr="00E561AE">
              <w:rPr>
                <w:rFonts w:asciiTheme="minorHAnsi" w:hAnsiTheme="minorHAnsi"/>
              </w:rPr>
              <w:t>Privacy and Security Policies</w:t>
            </w:r>
          </w:p>
        </w:tc>
        <w:tc>
          <w:tcPr>
            <w:tcW w:w="6930" w:type="dxa"/>
            <w:tcMar>
              <w:top w:w="75" w:type="dxa"/>
              <w:left w:w="75" w:type="dxa"/>
              <w:bottom w:w="75" w:type="dxa"/>
              <w:right w:w="75" w:type="dxa"/>
            </w:tcMar>
          </w:tcPr>
          <w:p w:rsidR="004A18EB" w:rsidRPr="00941AED" w:rsidRDefault="004A18EB" w:rsidP="00C37B8C">
            <w:pPr>
              <w:rPr>
                <w:rFonts w:cs="Arial"/>
              </w:rPr>
            </w:pPr>
            <w:r w:rsidRPr="00941AED">
              <w:rPr>
                <w:rFonts w:cs="Arial"/>
              </w:rPr>
              <w:t>Supplier provides copies of formal privacy and security policies.</w:t>
            </w:r>
          </w:p>
        </w:tc>
      </w:tr>
      <w:tr w:rsidR="004A18EB" w:rsidRPr="00560B5D" w:rsidTr="00C37B8C">
        <w:trPr>
          <w:cantSplit/>
        </w:trPr>
        <w:tc>
          <w:tcPr>
            <w:tcW w:w="1890" w:type="dxa"/>
            <w:vMerge w:val="restart"/>
            <w:tcMar>
              <w:top w:w="75" w:type="dxa"/>
              <w:left w:w="75" w:type="dxa"/>
              <w:bottom w:w="75" w:type="dxa"/>
              <w:right w:w="75" w:type="dxa"/>
            </w:tcMar>
          </w:tcPr>
          <w:p w:rsidR="004A18EB" w:rsidRPr="00E561AE" w:rsidRDefault="004A18EB" w:rsidP="00C37B8C">
            <w:pPr>
              <w:rPr>
                <w:rFonts w:asciiTheme="minorHAnsi" w:hAnsiTheme="minorHAnsi" w:cs="Arial"/>
                <w:b/>
                <w:bCs/>
                <w:color w:val="000000"/>
              </w:rPr>
            </w:pPr>
            <w:r w:rsidRPr="00E561AE">
              <w:rPr>
                <w:rFonts w:asciiTheme="minorHAnsi" w:hAnsiTheme="minorHAnsi" w:cs="Arial"/>
                <w:b/>
              </w:rPr>
              <w:t>Service Delivery Information</w:t>
            </w:r>
          </w:p>
        </w:tc>
        <w:tc>
          <w:tcPr>
            <w:tcW w:w="6930" w:type="dxa"/>
            <w:tcMar>
              <w:top w:w="75" w:type="dxa"/>
              <w:left w:w="75" w:type="dxa"/>
              <w:bottom w:w="75" w:type="dxa"/>
              <w:right w:w="75" w:type="dxa"/>
            </w:tcMar>
          </w:tcPr>
          <w:p w:rsidR="004A18EB" w:rsidRPr="00941AED" w:rsidRDefault="004A18EB" w:rsidP="00C37B8C">
            <w:pPr>
              <w:rPr>
                <w:rFonts w:cs="Arial"/>
              </w:rPr>
            </w:pPr>
            <w:r w:rsidRPr="00941AED">
              <w:rPr>
                <w:rFonts w:cs="Arial"/>
              </w:rPr>
              <w:t>Supplier evidences a role</w:t>
            </w:r>
            <w:r>
              <w:rPr>
                <w:rFonts w:cs="Arial"/>
              </w:rPr>
              <w:t>(</w:t>
            </w:r>
            <w:r w:rsidRPr="00941AED">
              <w:rPr>
                <w:rFonts w:cs="Arial"/>
              </w:rPr>
              <w:t>s</w:t>
            </w:r>
            <w:r>
              <w:rPr>
                <w:rFonts w:cs="Arial"/>
              </w:rPr>
              <w:t>)</w:t>
            </w:r>
            <w:r w:rsidRPr="00941AED">
              <w:rPr>
                <w:rFonts w:cs="Arial"/>
              </w:rPr>
              <w:t xml:space="preserve"> based access control policy that restricts access to all computerized data.</w:t>
            </w:r>
          </w:p>
        </w:tc>
      </w:tr>
      <w:tr w:rsidR="004A18EB" w:rsidRPr="00560B5D" w:rsidTr="00C37B8C">
        <w:trPr>
          <w:cantSplit/>
        </w:trPr>
        <w:tc>
          <w:tcPr>
            <w:tcW w:w="1890" w:type="dxa"/>
            <w:vMerge/>
            <w:tcMar>
              <w:top w:w="75" w:type="dxa"/>
              <w:left w:w="75" w:type="dxa"/>
              <w:bottom w:w="75" w:type="dxa"/>
              <w:right w:w="75" w:type="dxa"/>
            </w:tcMar>
          </w:tcPr>
          <w:p w:rsidR="004A18EB" w:rsidRPr="00E561AE" w:rsidRDefault="004A18EB" w:rsidP="00C37B8C">
            <w:pPr>
              <w:rPr>
                <w:rFonts w:asciiTheme="minorHAnsi" w:hAnsiTheme="minorHAnsi" w:cs="Arial"/>
                <w:b/>
                <w:bCs/>
                <w:color w:val="000000"/>
              </w:rPr>
            </w:pPr>
          </w:p>
        </w:tc>
        <w:tc>
          <w:tcPr>
            <w:tcW w:w="6930" w:type="dxa"/>
            <w:tcMar>
              <w:top w:w="75" w:type="dxa"/>
              <w:left w:w="75" w:type="dxa"/>
              <w:bottom w:w="75" w:type="dxa"/>
              <w:right w:w="75" w:type="dxa"/>
            </w:tcMar>
          </w:tcPr>
          <w:p w:rsidR="004A18EB" w:rsidRPr="00941AED" w:rsidRDefault="004A18EB" w:rsidP="00C37B8C">
            <w:pPr>
              <w:rPr>
                <w:rFonts w:cs="Arial"/>
              </w:rPr>
            </w:pPr>
            <w:r w:rsidRPr="00941AED">
              <w:rPr>
                <w:rFonts w:cs="Arial"/>
              </w:rPr>
              <w:t xml:space="preserve">Supplier encrypts the hard drive of every company laptop or other portable device used in the delivery of services to </w:t>
            </w:r>
            <w:r>
              <w:rPr>
                <w:rFonts w:cs="Arial"/>
              </w:rPr>
              <w:t>Alight</w:t>
            </w:r>
            <w:r w:rsidRPr="00941AED">
              <w:rPr>
                <w:rFonts w:cs="Arial"/>
              </w:rPr>
              <w:t xml:space="preserve"> and/or </w:t>
            </w:r>
            <w:proofErr w:type="gramStart"/>
            <w:r>
              <w:rPr>
                <w:rFonts w:cs="Arial"/>
              </w:rPr>
              <w:t>Alight</w:t>
            </w:r>
            <w:r w:rsidRPr="00941AED">
              <w:rPr>
                <w:rFonts w:cs="Arial"/>
              </w:rPr>
              <w:t>’s</w:t>
            </w:r>
            <w:proofErr w:type="gramEnd"/>
            <w:r w:rsidRPr="00941AED">
              <w:rPr>
                <w:rFonts w:cs="Arial"/>
              </w:rPr>
              <w:t xml:space="preserve"> clients, in accordance with </w:t>
            </w:r>
            <w:r>
              <w:rPr>
                <w:rFonts w:cs="Arial"/>
              </w:rPr>
              <w:t>Alight</w:t>
            </w:r>
            <w:r w:rsidRPr="00941AED">
              <w:rPr>
                <w:rFonts w:cs="Arial"/>
              </w:rPr>
              <w:t xml:space="preserve">’s Encryption Standard. </w:t>
            </w:r>
          </w:p>
        </w:tc>
      </w:tr>
      <w:tr w:rsidR="004A18EB" w:rsidRPr="00560B5D" w:rsidTr="00C37B8C">
        <w:trPr>
          <w:cantSplit/>
        </w:trPr>
        <w:tc>
          <w:tcPr>
            <w:tcW w:w="1890" w:type="dxa"/>
            <w:vMerge/>
            <w:tcMar>
              <w:top w:w="75" w:type="dxa"/>
              <w:left w:w="75" w:type="dxa"/>
              <w:bottom w:w="75" w:type="dxa"/>
              <w:right w:w="75" w:type="dxa"/>
            </w:tcMar>
          </w:tcPr>
          <w:p w:rsidR="004A18EB" w:rsidRPr="00E561AE" w:rsidRDefault="004A18EB" w:rsidP="00C37B8C">
            <w:pPr>
              <w:rPr>
                <w:rFonts w:asciiTheme="minorHAnsi" w:hAnsiTheme="minorHAnsi" w:cs="Arial"/>
                <w:b/>
                <w:bCs/>
                <w:color w:val="000000"/>
              </w:rPr>
            </w:pPr>
          </w:p>
        </w:tc>
        <w:tc>
          <w:tcPr>
            <w:tcW w:w="6930" w:type="dxa"/>
            <w:tcMar>
              <w:top w:w="75" w:type="dxa"/>
              <w:left w:w="75" w:type="dxa"/>
              <w:bottom w:w="75" w:type="dxa"/>
              <w:right w:w="75" w:type="dxa"/>
            </w:tcMar>
          </w:tcPr>
          <w:p w:rsidR="004A18EB" w:rsidRPr="00941AED" w:rsidRDefault="004A18EB" w:rsidP="00C37B8C">
            <w:pPr>
              <w:rPr>
                <w:rFonts w:cs="Arial"/>
              </w:rPr>
            </w:pPr>
            <w:r w:rsidRPr="00941AED">
              <w:rPr>
                <w:rFonts w:cs="Arial"/>
              </w:rPr>
              <w:t xml:space="preserve">Supplier prohibits the use of mobile media for PII/PHI storage. </w:t>
            </w:r>
          </w:p>
        </w:tc>
      </w:tr>
      <w:tr w:rsidR="004A18EB" w:rsidRPr="00560B5D" w:rsidTr="00C37B8C">
        <w:trPr>
          <w:cantSplit/>
        </w:trPr>
        <w:tc>
          <w:tcPr>
            <w:tcW w:w="1890" w:type="dxa"/>
            <w:vMerge/>
            <w:tcMar>
              <w:top w:w="75" w:type="dxa"/>
              <w:left w:w="75" w:type="dxa"/>
              <w:bottom w:w="75" w:type="dxa"/>
              <w:right w:w="75" w:type="dxa"/>
            </w:tcMar>
          </w:tcPr>
          <w:p w:rsidR="004A18EB" w:rsidRPr="00E561AE" w:rsidRDefault="004A18EB" w:rsidP="00C37B8C">
            <w:pPr>
              <w:rPr>
                <w:rFonts w:asciiTheme="minorHAnsi" w:hAnsiTheme="minorHAnsi" w:cs="Arial"/>
                <w:b/>
                <w:bCs/>
                <w:color w:val="000000"/>
              </w:rPr>
            </w:pPr>
          </w:p>
        </w:tc>
        <w:tc>
          <w:tcPr>
            <w:tcW w:w="6930" w:type="dxa"/>
            <w:tcMar>
              <w:top w:w="75" w:type="dxa"/>
              <w:left w:w="75" w:type="dxa"/>
              <w:bottom w:w="75" w:type="dxa"/>
              <w:right w:w="75" w:type="dxa"/>
            </w:tcMar>
          </w:tcPr>
          <w:p w:rsidR="004A18EB" w:rsidRPr="00941AED" w:rsidRDefault="004A18EB" w:rsidP="00C37B8C">
            <w:pPr>
              <w:rPr>
                <w:rFonts w:cs="Arial"/>
              </w:rPr>
            </w:pPr>
            <w:r w:rsidRPr="00941AED">
              <w:rPr>
                <w:rFonts w:cs="Arial"/>
              </w:rPr>
              <w:t>Supplier implements a Clear Desk/Clear Screen Policy that protects PII/PHI from risk of exposure.</w:t>
            </w:r>
          </w:p>
        </w:tc>
      </w:tr>
      <w:tr w:rsidR="004A18EB" w:rsidRPr="00560B5D" w:rsidTr="00C37B8C">
        <w:trPr>
          <w:cantSplit/>
        </w:trPr>
        <w:tc>
          <w:tcPr>
            <w:tcW w:w="1890" w:type="dxa"/>
            <w:vMerge/>
            <w:tcMar>
              <w:top w:w="75" w:type="dxa"/>
              <w:left w:w="75" w:type="dxa"/>
              <w:bottom w:w="75" w:type="dxa"/>
              <w:right w:w="75" w:type="dxa"/>
            </w:tcMar>
          </w:tcPr>
          <w:p w:rsidR="004A18EB" w:rsidRPr="00E561AE" w:rsidRDefault="004A18EB" w:rsidP="00C37B8C">
            <w:pPr>
              <w:rPr>
                <w:rFonts w:asciiTheme="minorHAnsi" w:hAnsiTheme="minorHAnsi" w:cs="Arial"/>
                <w:b/>
                <w:bCs/>
                <w:color w:val="000000"/>
              </w:rPr>
            </w:pPr>
          </w:p>
        </w:tc>
        <w:tc>
          <w:tcPr>
            <w:tcW w:w="6930" w:type="dxa"/>
            <w:tcMar>
              <w:top w:w="75" w:type="dxa"/>
              <w:left w:w="75" w:type="dxa"/>
              <w:bottom w:w="75" w:type="dxa"/>
              <w:right w:w="75" w:type="dxa"/>
            </w:tcMar>
          </w:tcPr>
          <w:p w:rsidR="004A18EB" w:rsidRPr="00941AED" w:rsidRDefault="004A18EB" w:rsidP="00C37B8C">
            <w:pPr>
              <w:rPr>
                <w:rFonts w:cs="Arial"/>
              </w:rPr>
            </w:pPr>
            <w:r w:rsidRPr="00941AED">
              <w:rPr>
                <w:rFonts w:cs="Arial"/>
              </w:rPr>
              <w:t>Supplier provides annual security training of employees and contingent workers.</w:t>
            </w:r>
          </w:p>
        </w:tc>
      </w:tr>
      <w:tr w:rsidR="004A18EB" w:rsidRPr="00560B5D" w:rsidTr="00C37B8C">
        <w:trPr>
          <w:cantSplit/>
        </w:trPr>
        <w:tc>
          <w:tcPr>
            <w:tcW w:w="1890" w:type="dxa"/>
            <w:vMerge/>
            <w:tcMar>
              <w:top w:w="75" w:type="dxa"/>
              <w:left w:w="75" w:type="dxa"/>
              <w:bottom w:w="75" w:type="dxa"/>
              <w:right w:w="75" w:type="dxa"/>
            </w:tcMar>
          </w:tcPr>
          <w:p w:rsidR="004A18EB" w:rsidRPr="00E561AE" w:rsidRDefault="004A18EB" w:rsidP="00C37B8C">
            <w:pPr>
              <w:rPr>
                <w:rFonts w:asciiTheme="minorHAnsi" w:hAnsiTheme="minorHAnsi" w:cs="Arial"/>
                <w:b/>
                <w:bCs/>
                <w:color w:val="000000"/>
              </w:rPr>
            </w:pPr>
          </w:p>
        </w:tc>
        <w:tc>
          <w:tcPr>
            <w:tcW w:w="6930" w:type="dxa"/>
            <w:tcMar>
              <w:top w:w="75" w:type="dxa"/>
              <w:left w:w="75" w:type="dxa"/>
              <w:bottom w:w="75" w:type="dxa"/>
              <w:right w:w="75" w:type="dxa"/>
            </w:tcMar>
          </w:tcPr>
          <w:p w:rsidR="004A18EB" w:rsidRPr="00941AED" w:rsidRDefault="004A18EB" w:rsidP="00C37B8C">
            <w:pPr>
              <w:keepNext/>
              <w:rPr>
                <w:rFonts w:cs="Arial"/>
              </w:rPr>
            </w:pPr>
            <w:r w:rsidRPr="00941AED">
              <w:rPr>
                <w:rFonts w:cs="Arial"/>
              </w:rPr>
              <w:t>Supplier has established and implemented investigative and response protocols that are initiated upon the suspicion of a security/privacy breach.</w:t>
            </w:r>
          </w:p>
        </w:tc>
      </w:tr>
      <w:tr w:rsidR="004A18EB" w:rsidRPr="00560B5D" w:rsidTr="00C37B8C">
        <w:trPr>
          <w:cantSplit/>
        </w:trPr>
        <w:tc>
          <w:tcPr>
            <w:tcW w:w="1890" w:type="dxa"/>
            <w:vMerge/>
            <w:tcMar>
              <w:top w:w="75" w:type="dxa"/>
              <w:left w:w="75" w:type="dxa"/>
              <w:bottom w:w="75" w:type="dxa"/>
              <w:right w:w="75" w:type="dxa"/>
            </w:tcMar>
          </w:tcPr>
          <w:p w:rsidR="004A18EB" w:rsidRPr="00E561AE" w:rsidRDefault="004A18EB" w:rsidP="00C37B8C">
            <w:pPr>
              <w:rPr>
                <w:rFonts w:asciiTheme="minorHAnsi" w:hAnsiTheme="minorHAnsi" w:cs="Arial"/>
                <w:b/>
                <w:bCs/>
                <w:color w:val="000000"/>
              </w:rPr>
            </w:pPr>
          </w:p>
        </w:tc>
        <w:tc>
          <w:tcPr>
            <w:tcW w:w="6930" w:type="dxa"/>
            <w:tcMar>
              <w:top w:w="75" w:type="dxa"/>
              <w:left w:w="75" w:type="dxa"/>
              <w:bottom w:w="75" w:type="dxa"/>
              <w:right w:w="75" w:type="dxa"/>
            </w:tcMar>
          </w:tcPr>
          <w:p w:rsidR="004A18EB" w:rsidRPr="00941AED" w:rsidRDefault="004A18EB" w:rsidP="00C37B8C">
            <w:pPr>
              <w:rPr>
                <w:rFonts w:cs="Arial"/>
              </w:rPr>
            </w:pPr>
            <w:r w:rsidRPr="00941AED">
              <w:rPr>
                <w:rFonts w:cs="Arial"/>
              </w:rPr>
              <w:t>Supplier discourages the use of SSNs/NINs in Processing activities, except where specifically directed by a Client or required by law.</w:t>
            </w:r>
          </w:p>
        </w:tc>
      </w:tr>
      <w:tr w:rsidR="004A18EB" w:rsidRPr="00560B5D" w:rsidTr="00C37B8C">
        <w:trPr>
          <w:cantSplit/>
        </w:trPr>
        <w:tc>
          <w:tcPr>
            <w:tcW w:w="1890" w:type="dxa"/>
            <w:vMerge/>
            <w:tcMar>
              <w:top w:w="75" w:type="dxa"/>
              <w:left w:w="75" w:type="dxa"/>
              <w:bottom w:w="75" w:type="dxa"/>
              <w:right w:w="75" w:type="dxa"/>
            </w:tcMar>
          </w:tcPr>
          <w:p w:rsidR="004A18EB" w:rsidRPr="00E561AE" w:rsidRDefault="004A18EB" w:rsidP="00C37B8C">
            <w:pPr>
              <w:rPr>
                <w:rFonts w:asciiTheme="minorHAnsi" w:hAnsiTheme="minorHAnsi" w:cs="Arial"/>
                <w:b/>
                <w:bCs/>
                <w:color w:val="000000"/>
              </w:rPr>
            </w:pPr>
          </w:p>
        </w:tc>
        <w:tc>
          <w:tcPr>
            <w:tcW w:w="6930" w:type="dxa"/>
            <w:tcMar>
              <w:top w:w="75" w:type="dxa"/>
              <w:left w:w="75" w:type="dxa"/>
              <w:bottom w:w="75" w:type="dxa"/>
              <w:right w:w="75" w:type="dxa"/>
            </w:tcMar>
          </w:tcPr>
          <w:p w:rsidR="004A18EB" w:rsidRPr="00941AED" w:rsidRDefault="004A18EB" w:rsidP="00C37B8C">
            <w:pPr>
              <w:rPr>
                <w:rFonts w:cs="Arial"/>
              </w:rPr>
            </w:pPr>
            <w:r w:rsidRPr="00941AED">
              <w:rPr>
                <w:rFonts w:cs="Arial"/>
              </w:rPr>
              <w:t xml:space="preserve">Supplier advises </w:t>
            </w:r>
            <w:r>
              <w:rPr>
                <w:rFonts w:cs="Arial"/>
              </w:rPr>
              <w:t>Alight</w:t>
            </w:r>
            <w:r w:rsidRPr="00941AED">
              <w:rPr>
                <w:rFonts w:cs="Arial"/>
              </w:rPr>
              <w:t xml:space="preserve"> of any legal actions to which they have been party for the past three years</w:t>
            </w:r>
          </w:p>
        </w:tc>
      </w:tr>
      <w:tr w:rsidR="004A18EB" w:rsidRPr="00560B5D" w:rsidTr="00C37B8C">
        <w:trPr>
          <w:cantSplit/>
        </w:trPr>
        <w:tc>
          <w:tcPr>
            <w:tcW w:w="1890" w:type="dxa"/>
            <w:vMerge w:val="restart"/>
            <w:tcMar>
              <w:top w:w="75" w:type="dxa"/>
              <w:left w:w="75" w:type="dxa"/>
              <w:bottom w:w="75" w:type="dxa"/>
              <w:right w:w="75" w:type="dxa"/>
            </w:tcMar>
          </w:tcPr>
          <w:p w:rsidR="004A18EB" w:rsidRPr="00E561AE" w:rsidRDefault="004A18EB" w:rsidP="00C37B8C">
            <w:pPr>
              <w:rPr>
                <w:rFonts w:asciiTheme="minorHAnsi" w:hAnsiTheme="minorHAnsi" w:cs="Arial"/>
                <w:b/>
                <w:bCs/>
                <w:color w:val="000000"/>
              </w:rPr>
            </w:pPr>
            <w:r w:rsidRPr="00E561AE">
              <w:rPr>
                <w:rFonts w:asciiTheme="minorHAnsi" w:hAnsiTheme="minorHAnsi" w:cs="Arial"/>
                <w:b/>
              </w:rPr>
              <w:t>Operations Management</w:t>
            </w:r>
          </w:p>
        </w:tc>
        <w:tc>
          <w:tcPr>
            <w:tcW w:w="6930" w:type="dxa"/>
            <w:tcMar>
              <w:top w:w="75" w:type="dxa"/>
              <w:left w:w="75" w:type="dxa"/>
              <w:bottom w:w="75" w:type="dxa"/>
              <w:right w:w="75" w:type="dxa"/>
            </w:tcMar>
          </w:tcPr>
          <w:p w:rsidR="004A18EB" w:rsidRPr="00941AED" w:rsidRDefault="004A18EB" w:rsidP="00C37B8C">
            <w:pPr>
              <w:rPr>
                <w:rFonts w:cs="Arial"/>
              </w:rPr>
            </w:pPr>
            <w:r w:rsidRPr="00941AED">
              <w:rPr>
                <w:rFonts w:cs="Arial"/>
              </w:rPr>
              <w:t>Supplier will indicate whether or not their company or dependent third parties have Systems which access, receive, transmit or store Personally Identifiable Information and Protected Health Information.  If so, supplier has oversight measures in place substantially similar to those in this document to control risks of third party access.</w:t>
            </w:r>
          </w:p>
        </w:tc>
      </w:tr>
      <w:tr w:rsidR="004A18EB" w:rsidRPr="00560B5D" w:rsidTr="00C37B8C">
        <w:trPr>
          <w:cantSplit/>
        </w:trPr>
        <w:tc>
          <w:tcPr>
            <w:tcW w:w="1890" w:type="dxa"/>
            <w:vMerge/>
            <w:tcMar>
              <w:top w:w="75" w:type="dxa"/>
              <w:left w:w="75" w:type="dxa"/>
              <w:bottom w:w="75" w:type="dxa"/>
              <w:right w:w="75" w:type="dxa"/>
            </w:tcMar>
          </w:tcPr>
          <w:p w:rsidR="004A18EB" w:rsidRPr="00E561AE" w:rsidRDefault="004A18EB" w:rsidP="00C37B8C">
            <w:pPr>
              <w:rPr>
                <w:rFonts w:asciiTheme="minorHAnsi" w:hAnsiTheme="minorHAnsi" w:cs="Arial"/>
                <w:b/>
                <w:bCs/>
                <w:color w:val="000000"/>
              </w:rPr>
            </w:pPr>
          </w:p>
        </w:tc>
        <w:tc>
          <w:tcPr>
            <w:tcW w:w="6930" w:type="dxa"/>
            <w:tcMar>
              <w:top w:w="75" w:type="dxa"/>
              <w:left w:w="75" w:type="dxa"/>
              <w:bottom w:w="75" w:type="dxa"/>
              <w:right w:w="75" w:type="dxa"/>
            </w:tcMar>
          </w:tcPr>
          <w:p w:rsidR="004A18EB" w:rsidRPr="00941AED" w:rsidRDefault="004A18EB" w:rsidP="00C37B8C">
            <w:pPr>
              <w:rPr>
                <w:rFonts w:cs="Arial"/>
              </w:rPr>
            </w:pPr>
            <w:r w:rsidRPr="00941AED">
              <w:rPr>
                <w:rFonts w:cs="Arial"/>
              </w:rPr>
              <w:t xml:space="preserve">Supplier describes Service Level Agreements and Metrics associated with services provided to </w:t>
            </w:r>
            <w:r>
              <w:rPr>
                <w:rFonts w:cs="Arial"/>
              </w:rPr>
              <w:t>Alight</w:t>
            </w:r>
            <w:r w:rsidRPr="00941AED">
              <w:rPr>
                <w:rFonts w:cs="Arial"/>
              </w:rPr>
              <w:t xml:space="preserve"> and its clients</w:t>
            </w:r>
          </w:p>
        </w:tc>
      </w:tr>
      <w:tr w:rsidR="004A18EB" w:rsidRPr="00560B5D" w:rsidTr="00C37B8C">
        <w:trPr>
          <w:cantSplit/>
        </w:trPr>
        <w:tc>
          <w:tcPr>
            <w:tcW w:w="1890" w:type="dxa"/>
            <w:vMerge/>
            <w:tcMar>
              <w:top w:w="75" w:type="dxa"/>
              <w:left w:w="75" w:type="dxa"/>
              <w:bottom w:w="75" w:type="dxa"/>
              <w:right w:w="75" w:type="dxa"/>
            </w:tcMar>
          </w:tcPr>
          <w:p w:rsidR="004A18EB" w:rsidRPr="00E561AE" w:rsidRDefault="004A18EB" w:rsidP="00C37B8C">
            <w:pPr>
              <w:rPr>
                <w:rFonts w:asciiTheme="minorHAnsi" w:hAnsiTheme="minorHAnsi" w:cs="Arial"/>
                <w:b/>
                <w:bCs/>
                <w:color w:val="000000"/>
              </w:rPr>
            </w:pPr>
          </w:p>
        </w:tc>
        <w:tc>
          <w:tcPr>
            <w:tcW w:w="6930" w:type="dxa"/>
            <w:tcMar>
              <w:top w:w="75" w:type="dxa"/>
              <w:left w:w="75" w:type="dxa"/>
              <w:bottom w:w="75" w:type="dxa"/>
              <w:right w:w="75" w:type="dxa"/>
            </w:tcMar>
          </w:tcPr>
          <w:p w:rsidR="004A18EB" w:rsidRPr="00941AED" w:rsidRDefault="004A18EB" w:rsidP="00C37B8C">
            <w:pPr>
              <w:rPr>
                <w:rFonts w:cs="Arial"/>
              </w:rPr>
            </w:pPr>
            <w:r w:rsidRPr="00941AED">
              <w:rPr>
                <w:rFonts w:cs="Arial"/>
              </w:rPr>
              <w:t>Supplier evidences how Personally Identifiable Information and Protected Health Information is protected in relation to inbound and outbound mail or fulfillment processing</w:t>
            </w:r>
          </w:p>
        </w:tc>
      </w:tr>
      <w:tr w:rsidR="004A18EB" w:rsidRPr="00560B5D" w:rsidTr="00C37B8C">
        <w:trPr>
          <w:cantSplit/>
        </w:trPr>
        <w:tc>
          <w:tcPr>
            <w:tcW w:w="1890" w:type="dxa"/>
            <w:vMerge/>
            <w:tcMar>
              <w:top w:w="75" w:type="dxa"/>
              <w:left w:w="75" w:type="dxa"/>
              <w:bottom w:w="75" w:type="dxa"/>
              <w:right w:w="75" w:type="dxa"/>
            </w:tcMar>
          </w:tcPr>
          <w:p w:rsidR="004A18EB" w:rsidRPr="00E561AE" w:rsidRDefault="004A18EB" w:rsidP="00C37B8C">
            <w:pPr>
              <w:rPr>
                <w:rFonts w:asciiTheme="minorHAnsi" w:hAnsiTheme="minorHAnsi" w:cs="Arial"/>
                <w:b/>
                <w:bCs/>
                <w:color w:val="000000"/>
              </w:rPr>
            </w:pPr>
          </w:p>
        </w:tc>
        <w:tc>
          <w:tcPr>
            <w:tcW w:w="6930" w:type="dxa"/>
            <w:tcMar>
              <w:top w:w="75" w:type="dxa"/>
              <w:left w:w="75" w:type="dxa"/>
              <w:bottom w:w="75" w:type="dxa"/>
              <w:right w:w="75" w:type="dxa"/>
            </w:tcMar>
          </w:tcPr>
          <w:p w:rsidR="004A18EB" w:rsidRPr="00941AED" w:rsidRDefault="004A18EB" w:rsidP="00C37B8C">
            <w:pPr>
              <w:rPr>
                <w:rFonts w:cs="Arial"/>
              </w:rPr>
            </w:pPr>
            <w:r w:rsidRPr="00941AED">
              <w:rPr>
                <w:rFonts w:cs="Arial"/>
              </w:rPr>
              <w:t xml:space="preserve">Supplier identifies if their service includes mailroom or fulfillment center activities </w:t>
            </w:r>
          </w:p>
        </w:tc>
      </w:tr>
      <w:tr w:rsidR="004A18EB" w:rsidRPr="00560B5D" w:rsidTr="00C37B8C">
        <w:trPr>
          <w:cantSplit/>
        </w:trPr>
        <w:tc>
          <w:tcPr>
            <w:tcW w:w="1890" w:type="dxa"/>
            <w:vMerge w:val="restart"/>
            <w:tcMar>
              <w:top w:w="75" w:type="dxa"/>
              <w:left w:w="75" w:type="dxa"/>
              <w:bottom w:w="75" w:type="dxa"/>
              <w:right w:w="75" w:type="dxa"/>
            </w:tcMar>
          </w:tcPr>
          <w:p w:rsidR="004A18EB" w:rsidRPr="00E561AE" w:rsidRDefault="004A18EB" w:rsidP="00C37B8C">
            <w:pPr>
              <w:rPr>
                <w:rFonts w:asciiTheme="minorHAnsi" w:hAnsiTheme="minorHAnsi" w:cs="Arial"/>
                <w:b/>
                <w:bCs/>
                <w:color w:val="000000"/>
              </w:rPr>
            </w:pPr>
            <w:r w:rsidRPr="00E561AE">
              <w:rPr>
                <w:rFonts w:asciiTheme="minorHAnsi" w:hAnsiTheme="minorHAnsi" w:cs="Arial"/>
                <w:b/>
              </w:rPr>
              <w:t>Business Continuity/ Disaster Recovery</w:t>
            </w:r>
          </w:p>
          <w:p w:rsidR="004A18EB" w:rsidRPr="00E561AE" w:rsidRDefault="004A18EB" w:rsidP="00C37B8C">
            <w:pPr>
              <w:rPr>
                <w:rFonts w:asciiTheme="minorHAnsi" w:hAnsiTheme="minorHAnsi" w:cs="Arial"/>
                <w:bCs/>
                <w:color w:val="000000"/>
              </w:rPr>
            </w:pPr>
          </w:p>
          <w:p w:rsidR="004A18EB" w:rsidRPr="00E561AE" w:rsidRDefault="004A18EB" w:rsidP="00C37B8C">
            <w:pPr>
              <w:rPr>
                <w:rFonts w:asciiTheme="minorHAnsi" w:hAnsiTheme="minorHAnsi" w:cs="Arial"/>
                <w:b/>
                <w:bCs/>
                <w:color w:val="000000"/>
              </w:rPr>
            </w:pPr>
          </w:p>
        </w:tc>
        <w:tc>
          <w:tcPr>
            <w:tcW w:w="6930" w:type="dxa"/>
            <w:tcMar>
              <w:top w:w="75" w:type="dxa"/>
              <w:left w:w="75" w:type="dxa"/>
              <w:bottom w:w="75" w:type="dxa"/>
              <w:right w:w="75" w:type="dxa"/>
            </w:tcMar>
          </w:tcPr>
          <w:p w:rsidR="004A18EB" w:rsidRPr="00941AED" w:rsidRDefault="004A18EB" w:rsidP="00C37B8C">
            <w:pPr>
              <w:rPr>
                <w:rFonts w:cs="Arial"/>
              </w:rPr>
            </w:pPr>
            <w:r w:rsidRPr="00941AED">
              <w:rPr>
                <w:rFonts w:cs="Arial"/>
              </w:rPr>
              <w:t xml:space="preserve">Supplier describes electronic file transfers occurring in the course of service delivery, transfer method, and frequency of such transfers </w:t>
            </w:r>
          </w:p>
        </w:tc>
      </w:tr>
      <w:tr w:rsidR="004A18EB" w:rsidRPr="00560B5D" w:rsidTr="00C37B8C">
        <w:trPr>
          <w:cantSplit/>
        </w:trPr>
        <w:tc>
          <w:tcPr>
            <w:tcW w:w="1890" w:type="dxa"/>
            <w:vMerge/>
            <w:tcMar>
              <w:top w:w="75" w:type="dxa"/>
              <w:left w:w="75" w:type="dxa"/>
              <w:bottom w:w="75" w:type="dxa"/>
              <w:right w:w="75" w:type="dxa"/>
            </w:tcMar>
          </w:tcPr>
          <w:p w:rsidR="004A18EB" w:rsidRPr="00E561AE" w:rsidRDefault="004A18EB" w:rsidP="00C37B8C">
            <w:pPr>
              <w:rPr>
                <w:rFonts w:asciiTheme="minorHAnsi" w:hAnsiTheme="minorHAnsi" w:cs="Arial"/>
                <w:b/>
                <w:bCs/>
                <w:color w:val="000000"/>
              </w:rPr>
            </w:pPr>
          </w:p>
        </w:tc>
        <w:tc>
          <w:tcPr>
            <w:tcW w:w="6930" w:type="dxa"/>
            <w:tcMar>
              <w:top w:w="75" w:type="dxa"/>
              <w:left w:w="75" w:type="dxa"/>
              <w:bottom w:w="75" w:type="dxa"/>
              <w:right w:w="75" w:type="dxa"/>
            </w:tcMar>
          </w:tcPr>
          <w:p w:rsidR="004A18EB" w:rsidRPr="00941AED" w:rsidRDefault="004A18EB" w:rsidP="00C37B8C">
            <w:pPr>
              <w:rPr>
                <w:rFonts w:cs="Arial"/>
              </w:rPr>
            </w:pPr>
            <w:r w:rsidRPr="00941AED">
              <w:rPr>
                <w:rFonts w:cs="Arial"/>
              </w:rPr>
              <w:t>Supplier describes any encryption methods utilized in the file transfers, logging methods and error reports, and how errors are resolved</w:t>
            </w:r>
          </w:p>
        </w:tc>
      </w:tr>
      <w:tr w:rsidR="004A18EB" w:rsidRPr="00560B5D" w:rsidTr="00C37B8C">
        <w:trPr>
          <w:cantSplit/>
        </w:trPr>
        <w:tc>
          <w:tcPr>
            <w:tcW w:w="1890" w:type="dxa"/>
            <w:vMerge/>
            <w:tcMar>
              <w:top w:w="75" w:type="dxa"/>
              <w:left w:w="75" w:type="dxa"/>
              <w:bottom w:w="75" w:type="dxa"/>
              <w:right w:w="75" w:type="dxa"/>
            </w:tcMar>
          </w:tcPr>
          <w:p w:rsidR="004A18EB" w:rsidRPr="00E561AE" w:rsidRDefault="004A18EB" w:rsidP="00C37B8C">
            <w:pPr>
              <w:rPr>
                <w:rFonts w:asciiTheme="minorHAnsi" w:hAnsiTheme="minorHAnsi" w:cs="Arial"/>
                <w:b/>
                <w:bCs/>
                <w:color w:val="000000"/>
              </w:rPr>
            </w:pPr>
          </w:p>
        </w:tc>
        <w:tc>
          <w:tcPr>
            <w:tcW w:w="6930" w:type="dxa"/>
            <w:tcMar>
              <w:top w:w="75" w:type="dxa"/>
              <w:left w:w="75" w:type="dxa"/>
              <w:bottom w:w="75" w:type="dxa"/>
              <w:right w:w="75" w:type="dxa"/>
            </w:tcMar>
          </w:tcPr>
          <w:p w:rsidR="004A18EB" w:rsidRPr="00941AED" w:rsidRDefault="004A18EB" w:rsidP="00C37B8C">
            <w:pPr>
              <w:rPr>
                <w:rFonts w:cs="Arial"/>
              </w:rPr>
            </w:pPr>
            <w:r w:rsidRPr="00941AED">
              <w:rPr>
                <w:rFonts w:cs="Arial"/>
              </w:rPr>
              <w:t xml:space="preserve">Supplier indicates whether service includes payment processing and if so, provides a description of policies, processes and controls to ensure accurate payment processing </w:t>
            </w:r>
          </w:p>
        </w:tc>
      </w:tr>
      <w:tr w:rsidR="004A18EB" w:rsidRPr="00560B5D" w:rsidTr="00C37B8C">
        <w:trPr>
          <w:cantSplit/>
        </w:trPr>
        <w:tc>
          <w:tcPr>
            <w:tcW w:w="1890" w:type="dxa"/>
            <w:vMerge/>
            <w:tcMar>
              <w:top w:w="75" w:type="dxa"/>
              <w:left w:w="75" w:type="dxa"/>
              <w:bottom w:w="75" w:type="dxa"/>
              <w:right w:w="75" w:type="dxa"/>
            </w:tcMar>
          </w:tcPr>
          <w:p w:rsidR="004A18EB" w:rsidRPr="00E561AE" w:rsidRDefault="004A18EB" w:rsidP="00C37B8C">
            <w:pPr>
              <w:rPr>
                <w:rFonts w:asciiTheme="minorHAnsi" w:hAnsiTheme="minorHAnsi" w:cs="Arial"/>
                <w:b/>
                <w:bCs/>
                <w:color w:val="000000"/>
              </w:rPr>
            </w:pPr>
          </w:p>
        </w:tc>
        <w:tc>
          <w:tcPr>
            <w:tcW w:w="6930" w:type="dxa"/>
            <w:tcMar>
              <w:top w:w="75" w:type="dxa"/>
              <w:left w:w="75" w:type="dxa"/>
              <w:bottom w:w="75" w:type="dxa"/>
              <w:right w:w="75" w:type="dxa"/>
            </w:tcMar>
          </w:tcPr>
          <w:p w:rsidR="004A18EB" w:rsidRPr="00941AED" w:rsidRDefault="004A18EB" w:rsidP="00C37B8C">
            <w:pPr>
              <w:rPr>
                <w:rFonts w:cs="Arial"/>
              </w:rPr>
            </w:pPr>
            <w:r w:rsidRPr="00941AED">
              <w:rPr>
                <w:rFonts w:cs="Arial"/>
              </w:rPr>
              <w:t xml:space="preserve">Supplier identifies whether credit card information is stored and provides evidence of acceptable  security methods for storage of the information </w:t>
            </w:r>
          </w:p>
        </w:tc>
      </w:tr>
      <w:tr w:rsidR="004A18EB" w:rsidRPr="00560B5D" w:rsidTr="00C37B8C">
        <w:trPr>
          <w:cantSplit/>
        </w:trPr>
        <w:tc>
          <w:tcPr>
            <w:tcW w:w="1890" w:type="dxa"/>
            <w:vMerge/>
            <w:tcMar>
              <w:top w:w="75" w:type="dxa"/>
              <w:left w:w="75" w:type="dxa"/>
              <w:bottom w:w="75" w:type="dxa"/>
              <w:right w:w="75" w:type="dxa"/>
            </w:tcMar>
          </w:tcPr>
          <w:p w:rsidR="004A18EB" w:rsidRPr="00E561AE" w:rsidRDefault="004A18EB" w:rsidP="00C37B8C">
            <w:pPr>
              <w:rPr>
                <w:rFonts w:asciiTheme="minorHAnsi" w:hAnsiTheme="minorHAnsi" w:cs="Arial"/>
                <w:b/>
                <w:bCs/>
                <w:color w:val="000000"/>
              </w:rPr>
            </w:pPr>
          </w:p>
        </w:tc>
        <w:tc>
          <w:tcPr>
            <w:tcW w:w="6930" w:type="dxa"/>
            <w:tcMar>
              <w:top w:w="75" w:type="dxa"/>
              <w:left w:w="75" w:type="dxa"/>
              <w:bottom w:w="75" w:type="dxa"/>
              <w:right w:w="75" w:type="dxa"/>
            </w:tcMar>
          </w:tcPr>
          <w:p w:rsidR="004A18EB" w:rsidRPr="00941AED" w:rsidRDefault="004A18EB" w:rsidP="00C37B8C">
            <w:pPr>
              <w:rPr>
                <w:rFonts w:cs="Arial"/>
              </w:rPr>
            </w:pPr>
            <w:r w:rsidRPr="00941AED">
              <w:rPr>
                <w:rFonts w:cs="Arial"/>
              </w:rPr>
              <w:t>If service delivery requires multiple internal systems, Supplier will provide details of data synchronization processes</w:t>
            </w:r>
          </w:p>
        </w:tc>
      </w:tr>
      <w:tr w:rsidR="004A18EB" w:rsidRPr="00560B5D" w:rsidTr="00C37B8C">
        <w:trPr>
          <w:cantSplit/>
        </w:trPr>
        <w:tc>
          <w:tcPr>
            <w:tcW w:w="1890" w:type="dxa"/>
            <w:vMerge/>
            <w:tcMar>
              <w:top w:w="75" w:type="dxa"/>
              <w:left w:w="75" w:type="dxa"/>
              <w:bottom w:w="75" w:type="dxa"/>
              <w:right w:w="75" w:type="dxa"/>
            </w:tcMar>
          </w:tcPr>
          <w:p w:rsidR="004A18EB" w:rsidRPr="00E561AE" w:rsidRDefault="004A18EB" w:rsidP="00C37B8C">
            <w:pPr>
              <w:rPr>
                <w:rFonts w:asciiTheme="minorHAnsi" w:hAnsiTheme="minorHAnsi" w:cs="Arial"/>
                <w:b/>
                <w:bCs/>
                <w:color w:val="000000"/>
              </w:rPr>
            </w:pPr>
          </w:p>
        </w:tc>
        <w:tc>
          <w:tcPr>
            <w:tcW w:w="6930" w:type="dxa"/>
            <w:tcMar>
              <w:top w:w="75" w:type="dxa"/>
              <w:left w:w="75" w:type="dxa"/>
              <w:bottom w:w="75" w:type="dxa"/>
              <w:right w:w="75" w:type="dxa"/>
            </w:tcMar>
          </w:tcPr>
          <w:p w:rsidR="004A18EB" w:rsidRPr="00941AED" w:rsidRDefault="004A18EB" w:rsidP="00C37B8C">
            <w:pPr>
              <w:rPr>
                <w:rFonts w:cs="Arial"/>
              </w:rPr>
            </w:pPr>
            <w:r w:rsidRPr="00941AED">
              <w:rPr>
                <w:rFonts w:cs="Arial"/>
              </w:rPr>
              <w:t xml:space="preserve">Supplier describes policies and controls to ensure </w:t>
            </w:r>
            <w:r>
              <w:rPr>
                <w:rFonts w:cs="Arial"/>
              </w:rPr>
              <w:t>Alight</w:t>
            </w:r>
            <w:r w:rsidRPr="00941AED">
              <w:rPr>
                <w:rFonts w:cs="Arial"/>
              </w:rPr>
              <w:t xml:space="preserve"> documents are securely stored and segregated from other records</w:t>
            </w:r>
          </w:p>
        </w:tc>
      </w:tr>
      <w:tr w:rsidR="004A18EB" w:rsidRPr="00560B5D" w:rsidTr="00C37B8C">
        <w:trPr>
          <w:cantSplit/>
        </w:trPr>
        <w:tc>
          <w:tcPr>
            <w:tcW w:w="1890" w:type="dxa"/>
            <w:vMerge/>
            <w:tcMar>
              <w:top w:w="75" w:type="dxa"/>
              <w:left w:w="75" w:type="dxa"/>
              <w:bottom w:w="75" w:type="dxa"/>
              <w:right w:w="75" w:type="dxa"/>
            </w:tcMar>
          </w:tcPr>
          <w:p w:rsidR="004A18EB" w:rsidRPr="00E561AE" w:rsidRDefault="004A18EB" w:rsidP="00C37B8C">
            <w:pPr>
              <w:rPr>
                <w:rFonts w:asciiTheme="minorHAnsi" w:hAnsiTheme="minorHAnsi" w:cs="Arial"/>
                <w:b/>
                <w:bCs/>
                <w:color w:val="000000"/>
              </w:rPr>
            </w:pPr>
          </w:p>
        </w:tc>
        <w:tc>
          <w:tcPr>
            <w:tcW w:w="6930" w:type="dxa"/>
            <w:tcMar>
              <w:top w:w="75" w:type="dxa"/>
              <w:left w:w="75" w:type="dxa"/>
              <w:bottom w:w="75" w:type="dxa"/>
              <w:right w:w="75" w:type="dxa"/>
            </w:tcMar>
          </w:tcPr>
          <w:p w:rsidR="004A18EB" w:rsidRPr="00941AED" w:rsidRDefault="004A18EB" w:rsidP="00C37B8C">
            <w:pPr>
              <w:rPr>
                <w:rFonts w:cs="Arial"/>
              </w:rPr>
            </w:pPr>
            <w:r w:rsidRPr="00941AED">
              <w:rPr>
                <w:rFonts w:cs="Arial"/>
              </w:rPr>
              <w:t>Supplier describes Change Management process, including back out plans and notification process</w:t>
            </w:r>
          </w:p>
        </w:tc>
      </w:tr>
      <w:tr w:rsidR="004A18EB" w:rsidRPr="00560B5D" w:rsidTr="00C37B8C">
        <w:trPr>
          <w:cantSplit/>
        </w:trPr>
        <w:tc>
          <w:tcPr>
            <w:tcW w:w="1890" w:type="dxa"/>
            <w:vMerge/>
            <w:tcMar>
              <w:top w:w="75" w:type="dxa"/>
              <w:left w:w="75" w:type="dxa"/>
              <w:bottom w:w="75" w:type="dxa"/>
              <w:right w:w="75" w:type="dxa"/>
            </w:tcMar>
          </w:tcPr>
          <w:p w:rsidR="004A18EB" w:rsidRPr="00E561AE" w:rsidRDefault="004A18EB" w:rsidP="00C37B8C">
            <w:pPr>
              <w:rPr>
                <w:rFonts w:asciiTheme="minorHAnsi" w:hAnsiTheme="minorHAnsi" w:cs="Arial"/>
                <w:b/>
                <w:bCs/>
                <w:color w:val="000000"/>
              </w:rPr>
            </w:pPr>
          </w:p>
        </w:tc>
        <w:tc>
          <w:tcPr>
            <w:tcW w:w="6930" w:type="dxa"/>
            <w:tcMar>
              <w:top w:w="75" w:type="dxa"/>
              <w:left w:w="75" w:type="dxa"/>
              <w:bottom w:w="75" w:type="dxa"/>
              <w:right w:w="75" w:type="dxa"/>
            </w:tcMar>
          </w:tcPr>
          <w:p w:rsidR="004A18EB" w:rsidRPr="00941AED" w:rsidRDefault="004A18EB" w:rsidP="00C37B8C">
            <w:pPr>
              <w:rPr>
                <w:rFonts w:cs="Arial"/>
              </w:rPr>
            </w:pPr>
            <w:r w:rsidRPr="00941AED">
              <w:rPr>
                <w:rFonts w:cs="Arial"/>
              </w:rPr>
              <w:t xml:space="preserve">Call Center Management procedures are defined and documented </w:t>
            </w:r>
          </w:p>
        </w:tc>
      </w:tr>
      <w:tr w:rsidR="004A18EB" w:rsidRPr="00560B5D" w:rsidTr="00C37B8C">
        <w:trPr>
          <w:cantSplit/>
        </w:trPr>
        <w:tc>
          <w:tcPr>
            <w:tcW w:w="1890" w:type="dxa"/>
            <w:vMerge/>
            <w:tcMar>
              <w:top w:w="75" w:type="dxa"/>
              <w:left w:w="75" w:type="dxa"/>
              <w:bottom w:w="75" w:type="dxa"/>
              <w:right w:w="75" w:type="dxa"/>
            </w:tcMar>
          </w:tcPr>
          <w:p w:rsidR="004A18EB" w:rsidRPr="00E561AE" w:rsidRDefault="004A18EB" w:rsidP="00C37B8C">
            <w:pPr>
              <w:rPr>
                <w:rFonts w:asciiTheme="minorHAnsi" w:hAnsiTheme="minorHAnsi" w:cs="Arial"/>
                <w:bCs/>
                <w:color w:val="000000"/>
              </w:rPr>
            </w:pPr>
          </w:p>
        </w:tc>
        <w:tc>
          <w:tcPr>
            <w:tcW w:w="6930" w:type="dxa"/>
            <w:tcMar>
              <w:top w:w="75" w:type="dxa"/>
              <w:left w:w="75" w:type="dxa"/>
              <w:bottom w:w="75" w:type="dxa"/>
              <w:right w:w="75" w:type="dxa"/>
            </w:tcMar>
          </w:tcPr>
          <w:p w:rsidR="004A18EB" w:rsidRPr="00941AED" w:rsidRDefault="004A18EB" w:rsidP="00C37B8C">
            <w:pPr>
              <w:rPr>
                <w:rFonts w:cs="Arial"/>
              </w:rPr>
            </w:pPr>
            <w:r w:rsidRPr="00941AED">
              <w:rPr>
                <w:rFonts w:cs="Arial"/>
              </w:rPr>
              <w:t xml:space="preserve">Supplier describes dependencies required for resumption of service in the event of an interruption of service </w:t>
            </w:r>
          </w:p>
        </w:tc>
      </w:tr>
      <w:tr w:rsidR="004A18EB" w:rsidRPr="00560B5D" w:rsidTr="00C37B8C">
        <w:trPr>
          <w:cantSplit/>
        </w:trPr>
        <w:tc>
          <w:tcPr>
            <w:tcW w:w="1890" w:type="dxa"/>
            <w:vMerge/>
            <w:tcMar>
              <w:top w:w="75" w:type="dxa"/>
              <w:left w:w="75" w:type="dxa"/>
              <w:bottom w:w="75" w:type="dxa"/>
              <w:right w:w="75" w:type="dxa"/>
            </w:tcMar>
          </w:tcPr>
          <w:p w:rsidR="004A18EB" w:rsidRPr="00E561AE" w:rsidRDefault="004A18EB" w:rsidP="00C37B8C">
            <w:pPr>
              <w:rPr>
                <w:rFonts w:asciiTheme="minorHAnsi" w:hAnsiTheme="minorHAnsi" w:cs="Arial"/>
                <w:bCs/>
                <w:color w:val="000000"/>
              </w:rPr>
            </w:pPr>
          </w:p>
        </w:tc>
        <w:tc>
          <w:tcPr>
            <w:tcW w:w="6930" w:type="dxa"/>
            <w:tcMar>
              <w:top w:w="75" w:type="dxa"/>
              <w:left w:w="75" w:type="dxa"/>
              <w:bottom w:w="75" w:type="dxa"/>
              <w:right w:w="75" w:type="dxa"/>
            </w:tcMar>
          </w:tcPr>
          <w:p w:rsidR="004A18EB" w:rsidRPr="00941AED" w:rsidRDefault="004A18EB" w:rsidP="00C37B8C">
            <w:pPr>
              <w:rPr>
                <w:rFonts w:cs="Arial"/>
              </w:rPr>
            </w:pPr>
            <w:r w:rsidRPr="00941AED">
              <w:rPr>
                <w:rFonts w:cs="Arial"/>
              </w:rPr>
              <w:t xml:space="preserve">Supplier has a formal and documented BC/DR plan and provides a copy as evidence </w:t>
            </w:r>
          </w:p>
        </w:tc>
      </w:tr>
      <w:tr w:rsidR="004A18EB" w:rsidRPr="00560B5D" w:rsidTr="00C37B8C">
        <w:trPr>
          <w:cantSplit/>
        </w:trPr>
        <w:tc>
          <w:tcPr>
            <w:tcW w:w="1890" w:type="dxa"/>
            <w:vMerge/>
            <w:tcMar>
              <w:top w:w="75" w:type="dxa"/>
              <w:left w:w="75" w:type="dxa"/>
              <w:bottom w:w="75" w:type="dxa"/>
              <w:right w:w="75" w:type="dxa"/>
            </w:tcMar>
          </w:tcPr>
          <w:p w:rsidR="004A18EB" w:rsidRPr="00E561AE" w:rsidRDefault="004A18EB" w:rsidP="00C37B8C">
            <w:pPr>
              <w:rPr>
                <w:rFonts w:asciiTheme="minorHAnsi" w:hAnsiTheme="minorHAnsi" w:cs="Arial"/>
                <w:bCs/>
                <w:color w:val="000000"/>
              </w:rPr>
            </w:pPr>
          </w:p>
        </w:tc>
        <w:tc>
          <w:tcPr>
            <w:tcW w:w="6930" w:type="dxa"/>
            <w:tcMar>
              <w:top w:w="75" w:type="dxa"/>
              <w:left w:w="75" w:type="dxa"/>
              <w:bottom w:w="75" w:type="dxa"/>
              <w:right w:w="75" w:type="dxa"/>
            </w:tcMar>
          </w:tcPr>
          <w:p w:rsidR="004A18EB" w:rsidRPr="00941AED" w:rsidRDefault="004A18EB" w:rsidP="00C37B8C">
            <w:pPr>
              <w:rPr>
                <w:rFonts w:cs="Arial"/>
              </w:rPr>
            </w:pPr>
            <w:r w:rsidRPr="00941AED">
              <w:rPr>
                <w:rFonts w:cs="Arial"/>
              </w:rPr>
              <w:t xml:space="preserve">Supplier has a Pandemic Preparedness Plan and provides a copy as evidence </w:t>
            </w:r>
          </w:p>
        </w:tc>
      </w:tr>
      <w:tr w:rsidR="004A18EB" w:rsidRPr="00560B5D" w:rsidTr="00C37B8C">
        <w:trPr>
          <w:cantSplit/>
        </w:trPr>
        <w:tc>
          <w:tcPr>
            <w:tcW w:w="1890" w:type="dxa"/>
            <w:vMerge/>
            <w:tcMar>
              <w:top w:w="75" w:type="dxa"/>
              <w:left w:w="75" w:type="dxa"/>
              <w:bottom w:w="75" w:type="dxa"/>
              <w:right w:w="75" w:type="dxa"/>
            </w:tcMar>
          </w:tcPr>
          <w:p w:rsidR="004A18EB" w:rsidRPr="00E561AE" w:rsidRDefault="004A18EB" w:rsidP="00C37B8C">
            <w:pPr>
              <w:rPr>
                <w:rFonts w:asciiTheme="minorHAnsi" w:hAnsiTheme="minorHAnsi" w:cs="Arial"/>
                <w:bCs/>
                <w:color w:val="000000"/>
              </w:rPr>
            </w:pPr>
          </w:p>
        </w:tc>
        <w:tc>
          <w:tcPr>
            <w:tcW w:w="6930" w:type="dxa"/>
            <w:tcMar>
              <w:top w:w="75" w:type="dxa"/>
              <w:left w:w="75" w:type="dxa"/>
              <w:bottom w:w="75" w:type="dxa"/>
              <w:right w:w="75" w:type="dxa"/>
            </w:tcMar>
          </w:tcPr>
          <w:p w:rsidR="004A18EB" w:rsidRPr="00941AED" w:rsidRDefault="004A18EB" w:rsidP="00C37B8C">
            <w:pPr>
              <w:rPr>
                <w:rFonts w:cs="Arial"/>
              </w:rPr>
            </w:pPr>
            <w:r w:rsidRPr="00941AED">
              <w:rPr>
                <w:rFonts w:cs="Arial"/>
              </w:rPr>
              <w:t xml:space="preserve">Supplier has a Crisis Management Team and Process in place. </w:t>
            </w:r>
          </w:p>
        </w:tc>
      </w:tr>
      <w:tr w:rsidR="004A18EB" w:rsidRPr="00560B5D" w:rsidTr="00C37B8C">
        <w:trPr>
          <w:cantSplit/>
        </w:trPr>
        <w:tc>
          <w:tcPr>
            <w:tcW w:w="1890" w:type="dxa"/>
            <w:vMerge/>
            <w:tcMar>
              <w:top w:w="75" w:type="dxa"/>
              <w:left w:w="75" w:type="dxa"/>
              <w:bottom w:w="75" w:type="dxa"/>
              <w:right w:w="75" w:type="dxa"/>
            </w:tcMar>
          </w:tcPr>
          <w:p w:rsidR="004A18EB" w:rsidRPr="00E561AE" w:rsidRDefault="004A18EB" w:rsidP="00C37B8C">
            <w:pPr>
              <w:rPr>
                <w:rFonts w:asciiTheme="minorHAnsi" w:hAnsiTheme="minorHAnsi" w:cs="Arial"/>
                <w:bCs/>
                <w:color w:val="000000"/>
              </w:rPr>
            </w:pPr>
          </w:p>
        </w:tc>
        <w:tc>
          <w:tcPr>
            <w:tcW w:w="6930" w:type="dxa"/>
            <w:tcMar>
              <w:top w:w="75" w:type="dxa"/>
              <w:left w:w="75" w:type="dxa"/>
              <w:bottom w:w="75" w:type="dxa"/>
              <w:right w:w="75" w:type="dxa"/>
            </w:tcMar>
          </w:tcPr>
          <w:p w:rsidR="004A18EB" w:rsidRPr="00941AED" w:rsidRDefault="004A18EB" w:rsidP="00C37B8C">
            <w:pPr>
              <w:rPr>
                <w:rFonts w:cs="Arial"/>
              </w:rPr>
            </w:pPr>
            <w:r w:rsidRPr="00941AED">
              <w:rPr>
                <w:rFonts w:cs="Arial"/>
              </w:rPr>
              <w:t xml:space="preserve">Supplier identifies current Recovery Time Objective their plan is capable of meeting </w:t>
            </w:r>
          </w:p>
        </w:tc>
      </w:tr>
      <w:tr w:rsidR="004A18EB" w:rsidRPr="00560B5D" w:rsidTr="00C37B8C">
        <w:trPr>
          <w:cantSplit/>
        </w:trPr>
        <w:tc>
          <w:tcPr>
            <w:tcW w:w="1890" w:type="dxa"/>
            <w:vMerge/>
            <w:tcMar>
              <w:top w:w="75" w:type="dxa"/>
              <w:left w:w="75" w:type="dxa"/>
              <w:bottom w:w="75" w:type="dxa"/>
              <w:right w:w="75" w:type="dxa"/>
            </w:tcMar>
          </w:tcPr>
          <w:p w:rsidR="004A18EB" w:rsidRPr="00E561AE" w:rsidRDefault="004A18EB" w:rsidP="00C37B8C">
            <w:pPr>
              <w:rPr>
                <w:rFonts w:asciiTheme="minorHAnsi" w:hAnsiTheme="minorHAnsi" w:cs="Arial"/>
                <w:bCs/>
                <w:color w:val="000000"/>
              </w:rPr>
            </w:pPr>
          </w:p>
        </w:tc>
        <w:tc>
          <w:tcPr>
            <w:tcW w:w="6930" w:type="dxa"/>
            <w:tcMar>
              <w:top w:w="75" w:type="dxa"/>
              <w:left w:w="75" w:type="dxa"/>
              <w:bottom w:w="75" w:type="dxa"/>
              <w:right w:w="75" w:type="dxa"/>
            </w:tcMar>
          </w:tcPr>
          <w:p w:rsidR="004A18EB" w:rsidRPr="00941AED" w:rsidRDefault="004A18EB" w:rsidP="00C37B8C">
            <w:pPr>
              <w:rPr>
                <w:rFonts w:cs="Arial"/>
              </w:rPr>
            </w:pPr>
            <w:r w:rsidRPr="00941AED">
              <w:rPr>
                <w:rFonts w:cs="Arial"/>
              </w:rPr>
              <w:t xml:space="preserve">Supplier identifies current Recovery Point Objective their plan is capable of meeting </w:t>
            </w:r>
          </w:p>
        </w:tc>
      </w:tr>
      <w:tr w:rsidR="004A18EB" w:rsidRPr="00560B5D" w:rsidTr="00C37B8C">
        <w:trPr>
          <w:cantSplit/>
        </w:trPr>
        <w:tc>
          <w:tcPr>
            <w:tcW w:w="1890" w:type="dxa"/>
            <w:vMerge/>
            <w:tcMar>
              <w:top w:w="75" w:type="dxa"/>
              <w:left w:w="75" w:type="dxa"/>
              <w:bottom w:w="75" w:type="dxa"/>
              <w:right w:w="75" w:type="dxa"/>
            </w:tcMar>
          </w:tcPr>
          <w:p w:rsidR="004A18EB" w:rsidRPr="00E561AE" w:rsidRDefault="004A18EB" w:rsidP="00C37B8C">
            <w:pPr>
              <w:rPr>
                <w:rFonts w:asciiTheme="minorHAnsi" w:hAnsiTheme="minorHAnsi" w:cs="Arial"/>
                <w:bCs/>
                <w:color w:val="000000"/>
              </w:rPr>
            </w:pPr>
          </w:p>
        </w:tc>
        <w:tc>
          <w:tcPr>
            <w:tcW w:w="6930" w:type="dxa"/>
            <w:tcMar>
              <w:top w:w="75" w:type="dxa"/>
              <w:left w:w="75" w:type="dxa"/>
              <w:bottom w:w="75" w:type="dxa"/>
              <w:right w:w="75" w:type="dxa"/>
            </w:tcMar>
          </w:tcPr>
          <w:p w:rsidR="004A18EB" w:rsidRPr="00941AED" w:rsidRDefault="004A18EB" w:rsidP="00C37B8C">
            <w:pPr>
              <w:rPr>
                <w:rFonts w:cs="Arial"/>
              </w:rPr>
            </w:pPr>
            <w:r w:rsidRPr="00941AED">
              <w:rPr>
                <w:rFonts w:cs="Arial"/>
              </w:rPr>
              <w:t xml:space="preserve">Supplier describes data backup strategy including storage and transportation of data while recovery site is in use </w:t>
            </w:r>
          </w:p>
        </w:tc>
      </w:tr>
      <w:tr w:rsidR="004A18EB" w:rsidRPr="00560B5D" w:rsidTr="00C37B8C">
        <w:trPr>
          <w:cantSplit/>
        </w:trPr>
        <w:tc>
          <w:tcPr>
            <w:tcW w:w="1890" w:type="dxa"/>
            <w:vMerge/>
            <w:tcMar>
              <w:top w:w="75" w:type="dxa"/>
              <w:left w:w="75" w:type="dxa"/>
              <w:bottom w:w="75" w:type="dxa"/>
              <w:right w:w="75" w:type="dxa"/>
            </w:tcMar>
          </w:tcPr>
          <w:p w:rsidR="004A18EB" w:rsidRPr="00E561AE" w:rsidRDefault="004A18EB" w:rsidP="00C37B8C">
            <w:pPr>
              <w:rPr>
                <w:rFonts w:asciiTheme="minorHAnsi" w:hAnsiTheme="minorHAnsi" w:cs="Arial"/>
                <w:bCs/>
                <w:color w:val="000000"/>
              </w:rPr>
            </w:pPr>
          </w:p>
        </w:tc>
        <w:tc>
          <w:tcPr>
            <w:tcW w:w="6930" w:type="dxa"/>
            <w:tcMar>
              <w:top w:w="75" w:type="dxa"/>
              <w:left w:w="75" w:type="dxa"/>
              <w:bottom w:w="75" w:type="dxa"/>
              <w:right w:w="75" w:type="dxa"/>
            </w:tcMar>
          </w:tcPr>
          <w:p w:rsidR="004A18EB" w:rsidRPr="00941AED" w:rsidRDefault="004A18EB" w:rsidP="00C37B8C">
            <w:pPr>
              <w:rPr>
                <w:rFonts w:cs="Arial"/>
              </w:rPr>
            </w:pPr>
            <w:r w:rsidRPr="00941AED">
              <w:rPr>
                <w:rFonts w:cs="Arial"/>
              </w:rPr>
              <w:t xml:space="preserve">Supplier describes Recovery site power sources and telecom connectivity </w:t>
            </w:r>
          </w:p>
        </w:tc>
      </w:tr>
      <w:tr w:rsidR="004A18EB" w:rsidRPr="00560B5D" w:rsidTr="00C37B8C">
        <w:trPr>
          <w:cantSplit/>
        </w:trPr>
        <w:tc>
          <w:tcPr>
            <w:tcW w:w="1890" w:type="dxa"/>
            <w:vMerge/>
            <w:tcMar>
              <w:top w:w="75" w:type="dxa"/>
              <w:left w:w="75" w:type="dxa"/>
              <w:bottom w:w="75" w:type="dxa"/>
              <w:right w:w="75" w:type="dxa"/>
            </w:tcMar>
          </w:tcPr>
          <w:p w:rsidR="004A18EB" w:rsidRPr="00E561AE" w:rsidRDefault="004A18EB" w:rsidP="00C37B8C">
            <w:pPr>
              <w:rPr>
                <w:rFonts w:asciiTheme="minorHAnsi" w:hAnsiTheme="minorHAnsi" w:cs="Arial"/>
                <w:bCs/>
                <w:color w:val="000000"/>
              </w:rPr>
            </w:pPr>
          </w:p>
        </w:tc>
        <w:tc>
          <w:tcPr>
            <w:tcW w:w="6930" w:type="dxa"/>
            <w:tcMar>
              <w:top w:w="75" w:type="dxa"/>
              <w:left w:w="75" w:type="dxa"/>
              <w:bottom w:w="75" w:type="dxa"/>
              <w:right w:w="75" w:type="dxa"/>
            </w:tcMar>
          </w:tcPr>
          <w:p w:rsidR="004A18EB" w:rsidRPr="00941AED" w:rsidRDefault="004A18EB" w:rsidP="00C37B8C">
            <w:pPr>
              <w:rPr>
                <w:rFonts w:cs="Arial"/>
              </w:rPr>
            </w:pPr>
            <w:r w:rsidRPr="00941AED">
              <w:rPr>
                <w:rFonts w:cs="Arial"/>
              </w:rPr>
              <w:t xml:space="preserve">Supplier indicates which  services cannot be provided to </w:t>
            </w:r>
            <w:r>
              <w:rPr>
                <w:rFonts w:cs="Arial"/>
              </w:rPr>
              <w:t>Alight</w:t>
            </w:r>
            <w:r w:rsidRPr="00941AED">
              <w:rPr>
                <w:rFonts w:cs="Arial"/>
              </w:rPr>
              <w:t xml:space="preserve"> or its clients while the Recovery Site is in use</w:t>
            </w:r>
          </w:p>
        </w:tc>
      </w:tr>
      <w:tr w:rsidR="004A18EB" w:rsidRPr="00560B5D" w:rsidTr="00C37B8C">
        <w:trPr>
          <w:cantSplit/>
        </w:trPr>
        <w:tc>
          <w:tcPr>
            <w:tcW w:w="1890" w:type="dxa"/>
            <w:vMerge/>
            <w:tcMar>
              <w:top w:w="75" w:type="dxa"/>
              <w:left w:w="75" w:type="dxa"/>
              <w:bottom w:w="75" w:type="dxa"/>
              <w:right w:w="75" w:type="dxa"/>
            </w:tcMar>
          </w:tcPr>
          <w:p w:rsidR="004A18EB" w:rsidRPr="00E561AE" w:rsidRDefault="004A18EB" w:rsidP="00C37B8C">
            <w:pPr>
              <w:rPr>
                <w:rFonts w:asciiTheme="minorHAnsi" w:hAnsiTheme="minorHAnsi" w:cs="Arial"/>
                <w:bCs/>
                <w:color w:val="000000"/>
              </w:rPr>
            </w:pPr>
          </w:p>
        </w:tc>
        <w:tc>
          <w:tcPr>
            <w:tcW w:w="6930" w:type="dxa"/>
            <w:tcMar>
              <w:top w:w="75" w:type="dxa"/>
              <w:left w:w="75" w:type="dxa"/>
              <w:bottom w:w="75" w:type="dxa"/>
              <w:right w:w="75" w:type="dxa"/>
            </w:tcMar>
          </w:tcPr>
          <w:p w:rsidR="004A18EB" w:rsidRPr="00941AED" w:rsidRDefault="004A18EB" w:rsidP="00C37B8C">
            <w:pPr>
              <w:rPr>
                <w:rFonts w:cs="Arial"/>
              </w:rPr>
            </w:pPr>
            <w:r w:rsidRPr="00941AED">
              <w:rPr>
                <w:rFonts w:cs="Arial"/>
              </w:rPr>
              <w:t>Supplier stipulates annual testing of BC/DR Plans is done and provides evidence of testing</w:t>
            </w:r>
          </w:p>
          <w:p w:rsidR="004A18EB" w:rsidRPr="00941AED" w:rsidRDefault="004A18EB" w:rsidP="00C37B8C">
            <w:pPr>
              <w:rPr>
                <w:rFonts w:cs="Arial"/>
              </w:rPr>
            </w:pPr>
          </w:p>
        </w:tc>
      </w:tr>
      <w:tr w:rsidR="004A18EB" w:rsidRPr="00560B5D" w:rsidTr="00C37B8C">
        <w:trPr>
          <w:cantSplit/>
        </w:trPr>
        <w:tc>
          <w:tcPr>
            <w:tcW w:w="1890" w:type="dxa"/>
            <w:vMerge/>
            <w:tcMar>
              <w:top w:w="75" w:type="dxa"/>
              <w:left w:w="75" w:type="dxa"/>
              <w:bottom w:w="75" w:type="dxa"/>
              <w:right w:w="75" w:type="dxa"/>
            </w:tcMar>
          </w:tcPr>
          <w:p w:rsidR="004A18EB" w:rsidRPr="00E561AE" w:rsidRDefault="004A18EB" w:rsidP="00C37B8C">
            <w:pPr>
              <w:rPr>
                <w:rFonts w:asciiTheme="minorHAnsi" w:hAnsiTheme="minorHAnsi" w:cs="Arial"/>
                <w:bCs/>
                <w:color w:val="000000"/>
              </w:rPr>
            </w:pPr>
          </w:p>
        </w:tc>
        <w:tc>
          <w:tcPr>
            <w:tcW w:w="6930" w:type="dxa"/>
            <w:tcMar>
              <w:top w:w="75" w:type="dxa"/>
              <w:left w:w="75" w:type="dxa"/>
              <w:bottom w:w="75" w:type="dxa"/>
              <w:right w:w="75" w:type="dxa"/>
            </w:tcMar>
          </w:tcPr>
          <w:p w:rsidR="004A18EB" w:rsidRPr="00941AED" w:rsidRDefault="004A18EB" w:rsidP="00C37B8C">
            <w:pPr>
              <w:rPr>
                <w:rFonts w:cs="Arial"/>
              </w:rPr>
            </w:pPr>
            <w:r w:rsidRPr="00941AED">
              <w:rPr>
                <w:rFonts w:cs="Arial"/>
              </w:rPr>
              <w:t>Supplier trains employees, as appropriate, on the DRP/BCP  and communicates any changes to the BC/DR  as changes occur</w:t>
            </w:r>
          </w:p>
        </w:tc>
      </w:tr>
      <w:tr w:rsidR="004A18EB" w:rsidRPr="00560B5D" w:rsidTr="00C37B8C">
        <w:trPr>
          <w:cantSplit/>
        </w:trPr>
        <w:tc>
          <w:tcPr>
            <w:tcW w:w="1890" w:type="dxa"/>
            <w:vMerge/>
            <w:tcMar>
              <w:top w:w="75" w:type="dxa"/>
              <w:left w:w="75" w:type="dxa"/>
              <w:bottom w:w="75" w:type="dxa"/>
              <w:right w:w="75" w:type="dxa"/>
            </w:tcMar>
          </w:tcPr>
          <w:p w:rsidR="004A18EB" w:rsidRPr="00E561AE" w:rsidRDefault="004A18EB" w:rsidP="00C37B8C">
            <w:pPr>
              <w:rPr>
                <w:rFonts w:asciiTheme="minorHAnsi" w:hAnsiTheme="minorHAnsi" w:cs="Arial"/>
                <w:bCs/>
                <w:color w:val="000000"/>
              </w:rPr>
            </w:pPr>
          </w:p>
        </w:tc>
        <w:tc>
          <w:tcPr>
            <w:tcW w:w="6930" w:type="dxa"/>
            <w:tcMar>
              <w:top w:w="75" w:type="dxa"/>
              <w:left w:w="75" w:type="dxa"/>
              <w:bottom w:w="75" w:type="dxa"/>
              <w:right w:w="75" w:type="dxa"/>
            </w:tcMar>
          </w:tcPr>
          <w:p w:rsidR="004A18EB" w:rsidRPr="00941AED" w:rsidRDefault="004A18EB" w:rsidP="00C37B8C">
            <w:pPr>
              <w:rPr>
                <w:rFonts w:cs="Arial"/>
              </w:rPr>
            </w:pPr>
            <w:r w:rsidRPr="00941AED">
              <w:rPr>
                <w:rFonts w:cs="Arial"/>
              </w:rPr>
              <w:t>Supplier maintains current Emergency Contact List</w:t>
            </w:r>
          </w:p>
        </w:tc>
      </w:tr>
      <w:tr w:rsidR="004A18EB" w:rsidRPr="00560B5D" w:rsidTr="00C37B8C">
        <w:trPr>
          <w:cantSplit/>
        </w:trPr>
        <w:tc>
          <w:tcPr>
            <w:tcW w:w="1890" w:type="dxa"/>
            <w:vMerge/>
            <w:tcMar>
              <w:top w:w="75" w:type="dxa"/>
              <w:left w:w="75" w:type="dxa"/>
              <w:bottom w:w="75" w:type="dxa"/>
              <w:right w:w="75" w:type="dxa"/>
            </w:tcMar>
          </w:tcPr>
          <w:p w:rsidR="004A18EB" w:rsidRPr="00E561AE" w:rsidRDefault="004A18EB" w:rsidP="00C37B8C">
            <w:pPr>
              <w:rPr>
                <w:rFonts w:asciiTheme="minorHAnsi" w:hAnsiTheme="minorHAnsi" w:cs="Arial"/>
                <w:bCs/>
                <w:color w:val="000000"/>
              </w:rPr>
            </w:pPr>
          </w:p>
        </w:tc>
        <w:tc>
          <w:tcPr>
            <w:tcW w:w="6930" w:type="dxa"/>
            <w:tcMar>
              <w:top w:w="75" w:type="dxa"/>
              <w:left w:w="75" w:type="dxa"/>
              <w:bottom w:w="75" w:type="dxa"/>
              <w:right w:w="75" w:type="dxa"/>
            </w:tcMar>
          </w:tcPr>
          <w:p w:rsidR="004A18EB" w:rsidRPr="00941AED" w:rsidRDefault="004A18EB" w:rsidP="00C37B8C">
            <w:pPr>
              <w:rPr>
                <w:rFonts w:cs="Arial"/>
              </w:rPr>
            </w:pPr>
            <w:r w:rsidRPr="00941AED">
              <w:rPr>
                <w:rFonts w:cs="Arial"/>
              </w:rPr>
              <w:t xml:space="preserve">Supplier describes the method and frequency in which management communicates the security and privacy policies and standards </w:t>
            </w:r>
          </w:p>
        </w:tc>
      </w:tr>
      <w:tr w:rsidR="004A18EB" w:rsidRPr="00560B5D" w:rsidTr="00C37B8C">
        <w:trPr>
          <w:cantSplit/>
        </w:trPr>
        <w:tc>
          <w:tcPr>
            <w:tcW w:w="1890" w:type="dxa"/>
            <w:vMerge/>
            <w:tcMar>
              <w:top w:w="75" w:type="dxa"/>
              <w:left w:w="75" w:type="dxa"/>
              <w:bottom w:w="75" w:type="dxa"/>
              <w:right w:w="75" w:type="dxa"/>
            </w:tcMar>
          </w:tcPr>
          <w:p w:rsidR="004A18EB" w:rsidRPr="00E561AE" w:rsidRDefault="004A18EB" w:rsidP="00C37B8C">
            <w:pPr>
              <w:rPr>
                <w:rFonts w:asciiTheme="minorHAnsi" w:hAnsiTheme="minorHAnsi" w:cs="Arial"/>
                <w:bCs/>
                <w:color w:val="000000"/>
              </w:rPr>
            </w:pPr>
          </w:p>
        </w:tc>
        <w:tc>
          <w:tcPr>
            <w:tcW w:w="6930" w:type="dxa"/>
            <w:tcMar>
              <w:top w:w="75" w:type="dxa"/>
              <w:left w:w="75" w:type="dxa"/>
              <w:bottom w:w="75" w:type="dxa"/>
              <w:right w:w="75" w:type="dxa"/>
            </w:tcMar>
          </w:tcPr>
          <w:p w:rsidR="004A18EB" w:rsidRPr="00941AED" w:rsidRDefault="004A18EB" w:rsidP="00C37B8C">
            <w:pPr>
              <w:rPr>
                <w:rFonts w:cs="Arial"/>
              </w:rPr>
            </w:pPr>
            <w:r w:rsidRPr="00941AED">
              <w:rPr>
                <w:rFonts w:cs="Arial"/>
              </w:rPr>
              <w:t xml:space="preserve">Supplier indicates whether a third party supplier is utilized and whether they have access to PII/PHI </w:t>
            </w:r>
          </w:p>
        </w:tc>
      </w:tr>
      <w:tr w:rsidR="004A18EB" w:rsidRPr="00560B5D" w:rsidTr="00C37B8C">
        <w:trPr>
          <w:cantSplit/>
        </w:trPr>
        <w:tc>
          <w:tcPr>
            <w:tcW w:w="1890" w:type="dxa"/>
            <w:vMerge/>
            <w:tcMar>
              <w:top w:w="75" w:type="dxa"/>
              <w:left w:w="75" w:type="dxa"/>
              <w:bottom w:w="75" w:type="dxa"/>
              <w:right w:w="75" w:type="dxa"/>
            </w:tcMar>
          </w:tcPr>
          <w:p w:rsidR="004A18EB" w:rsidRPr="00E561AE" w:rsidRDefault="004A18EB" w:rsidP="00C37B8C">
            <w:pPr>
              <w:rPr>
                <w:rFonts w:asciiTheme="minorHAnsi" w:hAnsiTheme="minorHAnsi" w:cs="Arial"/>
                <w:bCs/>
                <w:color w:val="000000"/>
              </w:rPr>
            </w:pPr>
          </w:p>
        </w:tc>
        <w:tc>
          <w:tcPr>
            <w:tcW w:w="6930" w:type="dxa"/>
            <w:tcMar>
              <w:top w:w="75" w:type="dxa"/>
              <w:left w:w="75" w:type="dxa"/>
              <w:bottom w:w="75" w:type="dxa"/>
              <w:right w:w="75" w:type="dxa"/>
            </w:tcMar>
          </w:tcPr>
          <w:p w:rsidR="004A18EB" w:rsidRPr="00941AED" w:rsidRDefault="004A18EB" w:rsidP="00C37B8C">
            <w:pPr>
              <w:rPr>
                <w:rFonts w:cs="Arial"/>
              </w:rPr>
            </w:pPr>
            <w:r w:rsidRPr="00941AED">
              <w:rPr>
                <w:rFonts w:cs="Arial"/>
              </w:rPr>
              <w:t xml:space="preserve">If third party supplier has access to PII or PHI, evidence of a supplier governance program is provided </w:t>
            </w:r>
          </w:p>
        </w:tc>
      </w:tr>
      <w:tr w:rsidR="004A18EB" w:rsidRPr="00560B5D" w:rsidTr="00C37B8C">
        <w:trPr>
          <w:cantSplit/>
        </w:trPr>
        <w:tc>
          <w:tcPr>
            <w:tcW w:w="1890" w:type="dxa"/>
            <w:tcMar>
              <w:top w:w="75" w:type="dxa"/>
              <w:left w:w="75" w:type="dxa"/>
              <w:bottom w:w="75" w:type="dxa"/>
              <w:right w:w="75" w:type="dxa"/>
            </w:tcMar>
          </w:tcPr>
          <w:p w:rsidR="004A18EB" w:rsidRPr="00E561AE" w:rsidRDefault="004A18EB" w:rsidP="00C37B8C">
            <w:pPr>
              <w:pStyle w:val="TableRowHead"/>
              <w:rPr>
                <w:rFonts w:asciiTheme="minorHAnsi" w:hAnsiTheme="minorHAnsi"/>
              </w:rPr>
            </w:pPr>
            <w:r w:rsidRPr="00E561AE">
              <w:rPr>
                <w:rFonts w:asciiTheme="minorHAnsi" w:hAnsiTheme="minorHAnsi"/>
              </w:rPr>
              <w:t>Organizational Security</w:t>
            </w:r>
          </w:p>
        </w:tc>
        <w:tc>
          <w:tcPr>
            <w:tcW w:w="6930" w:type="dxa"/>
            <w:tcMar>
              <w:top w:w="75" w:type="dxa"/>
              <w:left w:w="75" w:type="dxa"/>
              <w:bottom w:w="75" w:type="dxa"/>
              <w:right w:w="75" w:type="dxa"/>
            </w:tcMar>
          </w:tcPr>
          <w:p w:rsidR="004A18EB" w:rsidRPr="00941AED" w:rsidRDefault="004A18EB" w:rsidP="00C37B8C">
            <w:pPr>
              <w:rPr>
                <w:rFonts w:cs="Arial"/>
              </w:rPr>
            </w:pPr>
            <w:r w:rsidRPr="00941AED">
              <w:rPr>
                <w:rFonts w:cs="Arial"/>
              </w:rPr>
              <w:t>Supplier describes service agreements, SLAs, Quality Assurance, security and privacy controls in place with third party providers</w:t>
            </w:r>
          </w:p>
        </w:tc>
      </w:tr>
      <w:tr w:rsidR="004A18EB" w:rsidRPr="00560B5D" w:rsidTr="00C37B8C">
        <w:trPr>
          <w:cantSplit/>
        </w:trPr>
        <w:tc>
          <w:tcPr>
            <w:tcW w:w="1890" w:type="dxa"/>
            <w:tcMar>
              <w:top w:w="75" w:type="dxa"/>
              <w:left w:w="75" w:type="dxa"/>
              <w:bottom w:w="75" w:type="dxa"/>
              <w:right w:w="75" w:type="dxa"/>
            </w:tcMar>
          </w:tcPr>
          <w:p w:rsidR="004A18EB" w:rsidRPr="00E561AE" w:rsidRDefault="004A18EB" w:rsidP="00C37B8C">
            <w:pPr>
              <w:pStyle w:val="TableRowHead"/>
              <w:rPr>
                <w:rFonts w:asciiTheme="minorHAnsi" w:hAnsiTheme="minorHAnsi"/>
              </w:rPr>
            </w:pPr>
            <w:r w:rsidRPr="00E561AE">
              <w:rPr>
                <w:rFonts w:asciiTheme="minorHAnsi" w:hAnsiTheme="minorHAnsi"/>
              </w:rPr>
              <w:t>Third Party Security</w:t>
            </w:r>
          </w:p>
        </w:tc>
        <w:tc>
          <w:tcPr>
            <w:tcW w:w="6930" w:type="dxa"/>
            <w:tcMar>
              <w:top w:w="75" w:type="dxa"/>
              <w:left w:w="75" w:type="dxa"/>
              <w:bottom w:w="75" w:type="dxa"/>
              <w:right w:w="75" w:type="dxa"/>
            </w:tcMar>
          </w:tcPr>
          <w:p w:rsidR="004A18EB" w:rsidRPr="00941AED" w:rsidRDefault="004A18EB" w:rsidP="00C37B8C">
            <w:pPr>
              <w:rPr>
                <w:rFonts w:cs="Arial"/>
              </w:rPr>
            </w:pPr>
            <w:r w:rsidRPr="00941AED">
              <w:rPr>
                <w:rFonts w:cs="Arial"/>
              </w:rPr>
              <w:t xml:space="preserve">Supplier describes controls to protect PII/PHI in various information processing activities </w:t>
            </w:r>
          </w:p>
        </w:tc>
      </w:tr>
      <w:tr w:rsidR="004A18EB" w:rsidRPr="00560B5D" w:rsidTr="00C37B8C">
        <w:trPr>
          <w:cantSplit/>
        </w:trPr>
        <w:tc>
          <w:tcPr>
            <w:tcW w:w="1890" w:type="dxa"/>
            <w:vMerge w:val="restart"/>
            <w:tcMar>
              <w:top w:w="75" w:type="dxa"/>
              <w:left w:w="75" w:type="dxa"/>
              <w:bottom w:w="75" w:type="dxa"/>
              <w:right w:w="75" w:type="dxa"/>
            </w:tcMar>
          </w:tcPr>
          <w:p w:rsidR="004A18EB" w:rsidRPr="00E561AE" w:rsidRDefault="004A18EB" w:rsidP="00C37B8C">
            <w:pPr>
              <w:pStyle w:val="TableRowHead"/>
              <w:rPr>
                <w:rFonts w:asciiTheme="minorHAnsi" w:hAnsiTheme="minorHAnsi"/>
              </w:rPr>
            </w:pPr>
            <w:r w:rsidRPr="00E561AE">
              <w:rPr>
                <w:rFonts w:asciiTheme="minorHAnsi" w:hAnsiTheme="minorHAnsi"/>
              </w:rPr>
              <w:t>Information Asset Classification and Control</w:t>
            </w:r>
          </w:p>
        </w:tc>
        <w:tc>
          <w:tcPr>
            <w:tcW w:w="6930" w:type="dxa"/>
            <w:tcMar>
              <w:top w:w="75" w:type="dxa"/>
              <w:left w:w="75" w:type="dxa"/>
              <w:bottom w:w="75" w:type="dxa"/>
              <w:right w:w="75" w:type="dxa"/>
            </w:tcMar>
          </w:tcPr>
          <w:p w:rsidR="004A18EB" w:rsidRPr="00941AED" w:rsidRDefault="004A18EB" w:rsidP="00C37B8C">
            <w:pPr>
              <w:rPr>
                <w:rFonts w:cs="Arial"/>
              </w:rPr>
            </w:pPr>
            <w:r w:rsidRPr="00941AED">
              <w:rPr>
                <w:rFonts w:cs="Arial"/>
              </w:rPr>
              <w:t xml:space="preserve">Information assets critical to the delivery of service to </w:t>
            </w:r>
            <w:r>
              <w:rPr>
                <w:rFonts w:cs="Arial"/>
              </w:rPr>
              <w:t>Alight</w:t>
            </w:r>
            <w:r w:rsidRPr="00941AED">
              <w:rPr>
                <w:rFonts w:cs="Arial"/>
              </w:rPr>
              <w:t xml:space="preserve"> and </w:t>
            </w:r>
            <w:r>
              <w:rPr>
                <w:rFonts w:cs="Arial"/>
              </w:rPr>
              <w:t>Alight</w:t>
            </w:r>
            <w:r w:rsidRPr="00941AED">
              <w:rPr>
                <w:rFonts w:cs="Arial"/>
              </w:rPr>
              <w:t>’s clients have been identified.</w:t>
            </w:r>
          </w:p>
        </w:tc>
      </w:tr>
      <w:tr w:rsidR="004A18EB" w:rsidRPr="00560B5D" w:rsidTr="00C37B8C">
        <w:trPr>
          <w:cantSplit/>
        </w:trPr>
        <w:tc>
          <w:tcPr>
            <w:tcW w:w="1890" w:type="dxa"/>
            <w:vMerge/>
            <w:tcMar>
              <w:top w:w="75" w:type="dxa"/>
              <w:left w:w="75" w:type="dxa"/>
              <w:bottom w:w="75" w:type="dxa"/>
              <w:right w:w="75" w:type="dxa"/>
            </w:tcMar>
          </w:tcPr>
          <w:p w:rsidR="004A18EB" w:rsidRPr="00E561AE" w:rsidRDefault="004A18EB" w:rsidP="00C37B8C">
            <w:pPr>
              <w:pStyle w:val="TableRowHead"/>
              <w:rPr>
                <w:rFonts w:asciiTheme="minorHAnsi" w:hAnsiTheme="minorHAnsi"/>
              </w:rPr>
            </w:pPr>
          </w:p>
        </w:tc>
        <w:tc>
          <w:tcPr>
            <w:tcW w:w="6930" w:type="dxa"/>
            <w:tcMar>
              <w:top w:w="75" w:type="dxa"/>
              <w:left w:w="75" w:type="dxa"/>
              <w:bottom w:w="75" w:type="dxa"/>
              <w:right w:w="75" w:type="dxa"/>
            </w:tcMar>
          </w:tcPr>
          <w:p w:rsidR="004A18EB" w:rsidRPr="00941AED" w:rsidRDefault="004A18EB" w:rsidP="00C37B8C">
            <w:pPr>
              <w:rPr>
                <w:rFonts w:cs="Arial"/>
              </w:rPr>
            </w:pPr>
            <w:r w:rsidRPr="00941AED">
              <w:rPr>
                <w:rFonts w:cs="Arial"/>
              </w:rPr>
              <w:t>Supplier describes the methodology for classifying identified information assets critical to the delivery of services</w:t>
            </w:r>
          </w:p>
        </w:tc>
      </w:tr>
      <w:tr w:rsidR="004A18EB" w:rsidRPr="00560B5D" w:rsidTr="00C37B8C">
        <w:trPr>
          <w:cantSplit/>
        </w:trPr>
        <w:tc>
          <w:tcPr>
            <w:tcW w:w="1890" w:type="dxa"/>
            <w:vMerge/>
            <w:tcMar>
              <w:top w:w="75" w:type="dxa"/>
              <w:left w:w="75" w:type="dxa"/>
              <w:bottom w:w="75" w:type="dxa"/>
              <w:right w:w="75" w:type="dxa"/>
            </w:tcMar>
          </w:tcPr>
          <w:p w:rsidR="004A18EB" w:rsidRPr="00E561AE" w:rsidRDefault="004A18EB" w:rsidP="00C37B8C">
            <w:pPr>
              <w:pStyle w:val="TableRowHead"/>
              <w:rPr>
                <w:rFonts w:asciiTheme="minorHAnsi" w:hAnsiTheme="minorHAnsi"/>
              </w:rPr>
            </w:pPr>
          </w:p>
        </w:tc>
        <w:tc>
          <w:tcPr>
            <w:tcW w:w="6930" w:type="dxa"/>
            <w:tcMar>
              <w:top w:w="75" w:type="dxa"/>
              <w:left w:w="75" w:type="dxa"/>
              <w:bottom w:w="75" w:type="dxa"/>
              <w:right w:w="75" w:type="dxa"/>
            </w:tcMar>
          </w:tcPr>
          <w:p w:rsidR="004A18EB" w:rsidRPr="00941AED" w:rsidRDefault="004A18EB" w:rsidP="00C37B8C">
            <w:pPr>
              <w:rPr>
                <w:rFonts w:cs="Arial"/>
              </w:rPr>
            </w:pPr>
            <w:r w:rsidRPr="00941AED">
              <w:rPr>
                <w:rFonts w:cs="Arial"/>
              </w:rPr>
              <w:t xml:space="preserve">Supplier identifies software products used to protect the transmission of PII/PHI over public networks </w:t>
            </w:r>
          </w:p>
        </w:tc>
      </w:tr>
      <w:tr w:rsidR="004A18EB" w:rsidRPr="00560B5D" w:rsidTr="00C37B8C">
        <w:trPr>
          <w:cantSplit/>
        </w:trPr>
        <w:tc>
          <w:tcPr>
            <w:tcW w:w="1890" w:type="dxa"/>
            <w:vMerge w:val="restart"/>
            <w:tcMar>
              <w:top w:w="75" w:type="dxa"/>
              <w:left w:w="75" w:type="dxa"/>
              <w:bottom w:w="75" w:type="dxa"/>
              <w:right w:w="75" w:type="dxa"/>
            </w:tcMar>
          </w:tcPr>
          <w:p w:rsidR="004A18EB" w:rsidRPr="00E561AE" w:rsidRDefault="004A18EB" w:rsidP="00C37B8C">
            <w:pPr>
              <w:pStyle w:val="TableRowHead"/>
              <w:rPr>
                <w:rFonts w:asciiTheme="minorHAnsi" w:hAnsiTheme="minorHAnsi"/>
              </w:rPr>
            </w:pPr>
            <w:r w:rsidRPr="00E561AE">
              <w:rPr>
                <w:rFonts w:asciiTheme="minorHAnsi" w:hAnsiTheme="minorHAnsi"/>
              </w:rPr>
              <w:t>Personnel Security</w:t>
            </w:r>
          </w:p>
        </w:tc>
        <w:tc>
          <w:tcPr>
            <w:tcW w:w="6930" w:type="dxa"/>
            <w:tcMar>
              <w:top w:w="75" w:type="dxa"/>
              <w:left w:w="75" w:type="dxa"/>
              <w:bottom w:w="75" w:type="dxa"/>
              <w:right w:w="75" w:type="dxa"/>
            </w:tcMar>
          </w:tcPr>
          <w:p w:rsidR="004A18EB" w:rsidRPr="00941AED" w:rsidRDefault="004A18EB" w:rsidP="00C37B8C">
            <w:pPr>
              <w:rPr>
                <w:rFonts w:cs="Arial"/>
              </w:rPr>
            </w:pPr>
            <w:r w:rsidRPr="00941AED">
              <w:rPr>
                <w:rFonts w:cs="Arial"/>
              </w:rPr>
              <w:t xml:space="preserve">Supplier describes process used to manage transmission of PII/PHI between Suppliers/Partners/Clients </w:t>
            </w:r>
          </w:p>
        </w:tc>
      </w:tr>
      <w:tr w:rsidR="004A18EB" w:rsidRPr="00560B5D" w:rsidTr="00C37B8C">
        <w:trPr>
          <w:cantSplit/>
        </w:trPr>
        <w:tc>
          <w:tcPr>
            <w:tcW w:w="1890" w:type="dxa"/>
            <w:vMerge/>
            <w:tcMar>
              <w:top w:w="75" w:type="dxa"/>
              <w:left w:w="75" w:type="dxa"/>
              <w:bottom w:w="75" w:type="dxa"/>
              <w:right w:w="75" w:type="dxa"/>
            </w:tcMar>
          </w:tcPr>
          <w:p w:rsidR="004A18EB" w:rsidRPr="00E561AE" w:rsidRDefault="004A18EB" w:rsidP="00C37B8C">
            <w:pPr>
              <w:pStyle w:val="TableRowHead"/>
              <w:rPr>
                <w:rFonts w:asciiTheme="minorHAnsi" w:hAnsiTheme="minorHAnsi"/>
              </w:rPr>
            </w:pPr>
          </w:p>
        </w:tc>
        <w:tc>
          <w:tcPr>
            <w:tcW w:w="6930" w:type="dxa"/>
            <w:tcMar>
              <w:top w:w="75" w:type="dxa"/>
              <w:left w:w="75" w:type="dxa"/>
              <w:bottom w:w="75" w:type="dxa"/>
              <w:right w:w="75" w:type="dxa"/>
            </w:tcMar>
          </w:tcPr>
          <w:p w:rsidR="004A18EB" w:rsidRPr="00941AED" w:rsidRDefault="004A18EB" w:rsidP="00C37B8C">
            <w:pPr>
              <w:rPr>
                <w:rFonts w:cs="Arial"/>
              </w:rPr>
            </w:pPr>
            <w:r w:rsidRPr="00941AED">
              <w:rPr>
                <w:rFonts w:cs="Arial"/>
              </w:rPr>
              <w:t>Supplier must encrypt backup tapes</w:t>
            </w:r>
          </w:p>
        </w:tc>
      </w:tr>
      <w:tr w:rsidR="004A18EB" w:rsidRPr="00560B5D" w:rsidTr="00C37B8C">
        <w:trPr>
          <w:cantSplit/>
        </w:trPr>
        <w:tc>
          <w:tcPr>
            <w:tcW w:w="1890" w:type="dxa"/>
            <w:vMerge/>
            <w:tcMar>
              <w:top w:w="75" w:type="dxa"/>
              <w:left w:w="75" w:type="dxa"/>
              <w:bottom w:w="75" w:type="dxa"/>
              <w:right w:w="75" w:type="dxa"/>
            </w:tcMar>
          </w:tcPr>
          <w:p w:rsidR="004A18EB" w:rsidRPr="00E561AE" w:rsidRDefault="004A18EB" w:rsidP="00C37B8C">
            <w:pPr>
              <w:pStyle w:val="TableRowHead"/>
              <w:rPr>
                <w:rFonts w:asciiTheme="minorHAnsi" w:hAnsiTheme="minorHAnsi"/>
              </w:rPr>
            </w:pPr>
          </w:p>
        </w:tc>
        <w:tc>
          <w:tcPr>
            <w:tcW w:w="6930" w:type="dxa"/>
            <w:tcMar>
              <w:top w:w="75" w:type="dxa"/>
              <w:left w:w="75" w:type="dxa"/>
              <w:bottom w:w="75" w:type="dxa"/>
              <w:right w:w="75" w:type="dxa"/>
            </w:tcMar>
          </w:tcPr>
          <w:p w:rsidR="004A18EB" w:rsidRPr="00941AED" w:rsidRDefault="004A18EB" w:rsidP="00C37B8C">
            <w:pPr>
              <w:rPr>
                <w:rFonts w:cs="Arial"/>
              </w:rPr>
            </w:pPr>
            <w:r w:rsidRPr="00941AED">
              <w:rPr>
                <w:rFonts w:cs="Arial"/>
                <w:color w:val="000000"/>
              </w:rPr>
              <w:t xml:space="preserve">Supplier shall cooperate with </w:t>
            </w:r>
            <w:r>
              <w:rPr>
                <w:rFonts w:cs="Arial"/>
                <w:color w:val="000000"/>
              </w:rPr>
              <w:t>Alight</w:t>
            </w:r>
            <w:r w:rsidRPr="00941AED">
              <w:rPr>
                <w:rFonts w:cs="Arial"/>
                <w:color w:val="000000"/>
              </w:rPr>
              <w:t xml:space="preserve"> in administering its retention requirements concerning </w:t>
            </w:r>
            <w:r>
              <w:rPr>
                <w:rFonts w:cs="Arial"/>
                <w:color w:val="000000"/>
              </w:rPr>
              <w:t>Alight</w:t>
            </w:r>
            <w:r w:rsidRPr="00941AED">
              <w:rPr>
                <w:rFonts w:cs="Arial"/>
                <w:color w:val="000000"/>
              </w:rPr>
              <w:t xml:space="preserve"> Information in accordance with </w:t>
            </w:r>
            <w:r>
              <w:rPr>
                <w:rFonts w:cs="Arial"/>
                <w:color w:val="000000"/>
              </w:rPr>
              <w:t>Alight</w:t>
            </w:r>
            <w:r w:rsidRPr="00941AED">
              <w:rPr>
                <w:rFonts w:cs="Arial"/>
                <w:color w:val="000000"/>
              </w:rPr>
              <w:t xml:space="preserve"> Record Management Policies. Supplier must manage return, transfer, or if authorized by </w:t>
            </w:r>
            <w:r>
              <w:rPr>
                <w:rFonts w:cs="Arial"/>
                <w:color w:val="000000"/>
              </w:rPr>
              <w:t>Alight</w:t>
            </w:r>
            <w:r w:rsidRPr="00941AED">
              <w:rPr>
                <w:rFonts w:cs="Arial"/>
                <w:color w:val="000000"/>
              </w:rPr>
              <w:t xml:space="preserve">, dispose of </w:t>
            </w:r>
            <w:r>
              <w:rPr>
                <w:rFonts w:cs="Arial"/>
                <w:color w:val="000000"/>
              </w:rPr>
              <w:t>Alight</w:t>
            </w:r>
            <w:r w:rsidRPr="00941AED">
              <w:rPr>
                <w:rFonts w:cs="Arial"/>
                <w:color w:val="000000"/>
              </w:rPr>
              <w:t xml:space="preserve"> Information in a secure manner in accordance with </w:t>
            </w:r>
            <w:r>
              <w:rPr>
                <w:rFonts w:cs="Arial"/>
                <w:color w:val="000000"/>
              </w:rPr>
              <w:t>Alight</w:t>
            </w:r>
            <w:r w:rsidRPr="00941AED">
              <w:rPr>
                <w:rFonts w:cs="Arial"/>
                <w:color w:val="000000"/>
              </w:rPr>
              <w:t>’s Information Governance Policy.</w:t>
            </w:r>
          </w:p>
        </w:tc>
      </w:tr>
      <w:tr w:rsidR="004A18EB" w:rsidRPr="00560B5D" w:rsidTr="00C37B8C">
        <w:trPr>
          <w:cantSplit/>
        </w:trPr>
        <w:tc>
          <w:tcPr>
            <w:tcW w:w="1890" w:type="dxa"/>
            <w:vMerge/>
            <w:tcMar>
              <w:top w:w="75" w:type="dxa"/>
              <w:left w:w="75" w:type="dxa"/>
              <w:bottom w:w="75" w:type="dxa"/>
              <w:right w:w="75" w:type="dxa"/>
            </w:tcMar>
          </w:tcPr>
          <w:p w:rsidR="004A18EB" w:rsidRPr="00E561AE" w:rsidRDefault="004A18EB" w:rsidP="00C37B8C">
            <w:pPr>
              <w:pStyle w:val="TableRowHead"/>
              <w:rPr>
                <w:rFonts w:asciiTheme="minorHAnsi" w:hAnsiTheme="minorHAnsi"/>
              </w:rPr>
            </w:pPr>
          </w:p>
        </w:tc>
        <w:tc>
          <w:tcPr>
            <w:tcW w:w="6930" w:type="dxa"/>
            <w:tcMar>
              <w:top w:w="75" w:type="dxa"/>
              <w:left w:w="75" w:type="dxa"/>
              <w:bottom w:w="75" w:type="dxa"/>
              <w:right w:w="75" w:type="dxa"/>
            </w:tcMar>
          </w:tcPr>
          <w:p w:rsidR="004A18EB" w:rsidRPr="00941AED" w:rsidRDefault="004A18EB" w:rsidP="00C37B8C">
            <w:pPr>
              <w:rPr>
                <w:rFonts w:cs="Arial"/>
              </w:rPr>
            </w:pPr>
            <w:r w:rsidRPr="00941AED">
              <w:rPr>
                <w:rFonts w:cs="Arial"/>
              </w:rPr>
              <w:t xml:space="preserve">Supplier indicates pre-employment screening is performed on hiring candidates for specific employee classification, including the type of screen </w:t>
            </w:r>
          </w:p>
        </w:tc>
      </w:tr>
      <w:tr w:rsidR="004A18EB" w:rsidRPr="00560B5D" w:rsidTr="00C37B8C">
        <w:trPr>
          <w:cantSplit/>
        </w:trPr>
        <w:tc>
          <w:tcPr>
            <w:tcW w:w="1890" w:type="dxa"/>
            <w:vMerge/>
            <w:tcMar>
              <w:top w:w="75" w:type="dxa"/>
              <w:left w:w="75" w:type="dxa"/>
              <w:bottom w:w="75" w:type="dxa"/>
              <w:right w:w="75" w:type="dxa"/>
            </w:tcMar>
          </w:tcPr>
          <w:p w:rsidR="004A18EB" w:rsidRPr="00E561AE" w:rsidRDefault="004A18EB" w:rsidP="00C37B8C">
            <w:pPr>
              <w:pStyle w:val="TableRowHead"/>
              <w:rPr>
                <w:rFonts w:asciiTheme="minorHAnsi" w:hAnsiTheme="minorHAnsi"/>
              </w:rPr>
            </w:pPr>
          </w:p>
        </w:tc>
        <w:tc>
          <w:tcPr>
            <w:tcW w:w="6930" w:type="dxa"/>
            <w:tcMar>
              <w:top w:w="75" w:type="dxa"/>
              <w:left w:w="75" w:type="dxa"/>
              <w:bottom w:w="75" w:type="dxa"/>
              <w:right w:w="75" w:type="dxa"/>
            </w:tcMar>
          </w:tcPr>
          <w:p w:rsidR="004A18EB" w:rsidRPr="00941AED" w:rsidRDefault="004A18EB" w:rsidP="00C37B8C">
            <w:pPr>
              <w:rPr>
                <w:rFonts w:cs="Arial"/>
              </w:rPr>
            </w:pPr>
            <w:r w:rsidRPr="00941AED">
              <w:rPr>
                <w:rFonts w:cs="Arial"/>
              </w:rPr>
              <w:t>Supplier identifies whether or not foreign nationals are  employed and describes international background checks performed</w:t>
            </w:r>
          </w:p>
        </w:tc>
      </w:tr>
      <w:tr w:rsidR="004A18EB" w:rsidRPr="00560B5D" w:rsidTr="00C37B8C">
        <w:trPr>
          <w:cantSplit/>
        </w:trPr>
        <w:tc>
          <w:tcPr>
            <w:tcW w:w="1890" w:type="dxa"/>
            <w:vMerge/>
            <w:tcMar>
              <w:top w:w="75" w:type="dxa"/>
              <w:left w:w="75" w:type="dxa"/>
              <w:bottom w:w="75" w:type="dxa"/>
              <w:right w:w="75" w:type="dxa"/>
            </w:tcMar>
          </w:tcPr>
          <w:p w:rsidR="004A18EB" w:rsidRPr="00E561AE" w:rsidRDefault="004A18EB" w:rsidP="00C37B8C">
            <w:pPr>
              <w:pStyle w:val="TableRowHead"/>
              <w:rPr>
                <w:rFonts w:asciiTheme="minorHAnsi" w:hAnsiTheme="minorHAnsi"/>
              </w:rPr>
            </w:pPr>
          </w:p>
        </w:tc>
        <w:tc>
          <w:tcPr>
            <w:tcW w:w="6930" w:type="dxa"/>
            <w:tcMar>
              <w:top w:w="75" w:type="dxa"/>
              <w:left w:w="75" w:type="dxa"/>
              <w:bottom w:w="75" w:type="dxa"/>
              <w:right w:w="75" w:type="dxa"/>
            </w:tcMar>
          </w:tcPr>
          <w:p w:rsidR="004A18EB" w:rsidRPr="00941AED" w:rsidRDefault="004A18EB" w:rsidP="00C37B8C">
            <w:pPr>
              <w:rPr>
                <w:rFonts w:cs="Arial"/>
              </w:rPr>
            </w:pPr>
            <w:r w:rsidRPr="00941AED">
              <w:rPr>
                <w:rFonts w:cs="Arial"/>
              </w:rPr>
              <w:t xml:space="preserve">Supplier indicates non-disclosure and/or confidentiality agreements are  signed as a condition of employment </w:t>
            </w:r>
          </w:p>
        </w:tc>
      </w:tr>
      <w:tr w:rsidR="004A18EB" w:rsidRPr="00560B5D" w:rsidTr="00C37B8C">
        <w:trPr>
          <w:cantSplit/>
        </w:trPr>
        <w:tc>
          <w:tcPr>
            <w:tcW w:w="1890" w:type="dxa"/>
            <w:vMerge/>
            <w:tcMar>
              <w:top w:w="75" w:type="dxa"/>
              <w:left w:w="75" w:type="dxa"/>
              <w:bottom w:w="75" w:type="dxa"/>
              <w:right w:w="75" w:type="dxa"/>
            </w:tcMar>
          </w:tcPr>
          <w:p w:rsidR="004A18EB" w:rsidRPr="00E561AE" w:rsidRDefault="004A18EB" w:rsidP="00C37B8C">
            <w:pPr>
              <w:pStyle w:val="TableRowHead"/>
              <w:rPr>
                <w:rFonts w:asciiTheme="minorHAnsi" w:hAnsiTheme="minorHAnsi"/>
              </w:rPr>
            </w:pPr>
          </w:p>
        </w:tc>
        <w:tc>
          <w:tcPr>
            <w:tcW w:w="6930" w:type="dxa"/>
            <w:tcMar>
              <w:top w:w="75" w:type="dxa"/>
              <w:left w:w="75" w:type="dxa"/>
              <w:bottom w:w="75" w:type="dxa"/>
              <w:right w:w="75" w:type="dxa"/>
            </w:tcMar>
          </w:tcPr>
          <w:p w:rsidR="004A18EB" w:rsidRPr="00941AED" w:rsidRDefault="004A18EB" w:rsidP="00C37B8C">
            <w:pPr>
              <w:rPr>
                <w:rFonts w:cs="Arial"/>
              </w:rPr>
            </w:pPr>
            <w:r w:rsidRPr="00941AED">
              <w:rPr>
                <w:rFonts w:cs="Arial"/>
              </w:rPr>
              <w:t xml:space="preserve">Supplier describes process for employee terminations, including time frame for revocation of physical and logical access </w:t>
            </w:r>
          </w:p>
        </w:tc>
      </w:tr>
      <w:tr w:rsidR="004A18EB" w:rsidRPr="00560B5D" w:rsidTr="00C37B8C">
        <w:trPr>
          <w:cantSplit/>
        </w:trPr>
        <w:tc>
          <w:tcPr>
            <w:tcW w:w="1890" w:type="dxa"/>
            <w:vMerge w:val="restart"/>
            <w:tcMar>
              <w:top w:w="75" w:type="dxa"/>
              <w:left w:w="75" w:type="dxa"/>
              <w:bottom w:w="75" w:type="dxa"/>
              <w:right w:w="75" w:type="dxa"/>
            </w:tcMar>
          </w:tcPr>
          <w:p w:rsidR="004A18EB" w:rsidRPr="00E561AE" w:rsidRDefault="004A18EB" w:rsidP="00C37B8C">
            <w:pPr>
              <w:pStyle w:val="TableRowHead"/>
              <w:rPr>
                <w:rFonts w:asciiTheme="minorHAnsi" w:hAnsiTheme="minorHAnsi"/>
              </w:rPr>
            </w:pPr>
            <w:r w:rsidRPr="00E561AE">
              <w:rPr>
                <w:rFonts w:asciiTheme="minorHAnsi" w:hAnsiTheme="minorHAnsi"/>
              </w:rPr>
              <w:t>Physical and Environmental Security</w:t>
            </w:r>
          </w:p>
        </w:tc>
        <w:tc>
          <w:tcPr>
            <w:tcW w:w="6930" w:type="dxa"/>
            <w:tcMar>
              <w:top w:w="75" w:type="dxa"/>
              <w:left w:w="75" w:type="dxa"/>
              <w:bottom w:w="75" w:type="dxa"/>
              <w:right w:w="75" w:type="dxa"/>
            </w:tcMar>
          </w:tcPr>
          <w:p w:rsidR="004A18EB" w:rsidRPr="00941AED" w:rsidRDefault="004A18EB" w:rsidP="00C37B8C">
            <w:pPr>
              <w:rPr>
                <w:rFonts w:cs="Arial"/>
              </w:rPr>
            </w:pPr>
            <w:r w:rsidRPr="00941AED">
              <w:rPr>
                <w:rFonts w:cs="Arial"/>
              </w:rPr>
              <w:t xml:space="preserve">Security and privacy training include an awareness of the risk associated with misappropriation of user identification and password (i.e. social engineering tactics) </w:t>
            </w:r>
          </w:p>
        </w:tc>
      </w:tr>
      <w:tr w:rsidR="004A18EB" w:rsidRPr="00560B5D" w:rsidTr="00C37B8C">
        <w:trPr>
          <w:cantSplit/>
        </w:trPr>
        <w:tc>
          <w:tcPr>
            <w:tcW w:w="1890" w:type="dxa"/>
            <w:vMerge/>
            <w:tcMar>
              <w:top w:w="75" w:type="dxa"/>
              <w:left w:w="75" w:type="dxa"/>
              <w:bottom w:w="75" w:type="dxa"/>
              <w:right w:w="75" w:type="dxa"/>
            </w:tcMar>
          </w:tcPr>
          <w:p w:rsidR="004A18EB" w:rsidRPr="00E561AE" w:rsidRDefault="004A18EB" w:rsidP="00C37B8C">
            <w:pPr>
              <w:pStyle w:val="TableRowHead"/>
              <w:rPr>
                <w:rFonts w:asciiTheme="minorHAnsi" w:hAnsiTheme="minorHAnsi"/>
              </w:rPr>
            </w:pPr>
          </w:p>
        </w:tc>
        <w:tc>
          <w:tcPr>
            <w:tcW w:w="6930" w:type="dxa"/>
            <w:tcMar>
              <w:top w:w="75" w:type="dxa"/>
              <w:left w:w="75" w:type="dxa"/>
              <w:bottom w:w="75" w:type="dxa"/>
              <w:right w:w="75" w:type="dxa"/>
            </w:tcMar>
          </w:tcPr>
          <w:p w:rsidR="004A18EB" w:rsidRPr="00941AED" w:rsidRDefault="004A18EB" w:rsidP="00C37B8C">
            <w:pPr>
              <w:rPr>
                <w:rFonts w:cs="Arial"/>
              </w:rPr>
            </w:pPr>
            <w:r w:rsidRPr="00941AED">
              <w:rPr>
                <w:rFonts w:cs="Arial"/>
              </w:rPr>
              <w:t xml:space="preserve">Supplier maintains records indicating that employees have been adequately trained on security and privacy policies and procedure </w:t>
            </w:r>
          </w:p>
        </w:tc>
      </w:tr>
      <w:tr w:rsidR="004A18EB" w:rsidRPr="00560B5D" w:rsidTr="00C37B8C">
        <w:trPr>
          <w:cantSplit/>
        </w:trPr>
        <w:tc>
          <w:tcPr>
            <w:tcW w:w="1890" w:type="dxa"/>
            <w:vMerge/>
            <w:tcMar>
              <w:top w:w="75" w:type="dxa"/>
              <w:left w:w="75" w:type="dxa"/>
              <w:bottom w:w="75" w:type="dxa"/>
              <w:right w:w="75" w:type="dxa"/>
            </w:tcMar>
          </w:tcPr>
          <w:p w:rsidR="004A18EB" w:rsidRPr="00E561AE" w:rsidRDefault="004A18EB" w:rsidP="00C37B8C">
            <w:pPr>
              <w:pStyle w:val="TableRowHead"/>
              <w:rPr>
                <w:rFonts w:asciiTheme="minorHAnsi" w:hAnsiTheme="minorHAnsi"/>
              </w:rPr>
            </w:pPr>
          </w:p>
        </w:tc>
        <w:tc>
          <w:tcPr>
            <w:tcW w:w="6930" w:type="dxa"/>
            <w:tcMar>
              <w:top w:w="75" w:type="dxa"/>
              <w:left w:w="75" w:type="dxa"/>
              <w:bottom w:w="75" w:type="dxa"/>
              <w:right w:w="75" w:type="dxa"/>
            </w:tcMar>
          </w:tcPr>
          <w:p w:rsidR="004A18EB" w:rsidRPr="00941AED" w:rsidRDefault="004A18EB" w:rsidP="00C37B8C">
            <w:pPr>
              <w:rPr>
                <w:rFonts w:cs="Arial"/>
              </w:rPr>
            </w:pPr>
            <w:r w:rsidRPr="00941AED">
              <w:rPr>
                <w:rFonts w:cs="Arial"/>
              </w:rPr>
              <w:t xml:space="preserve">Supplier describes their company’s policies and procedures to report, analyze and resolve security violations both during and outside of normal business hours. </w:t>
            </w:r>
          </w:p>
        </w:tc>
      </w:tr>
      <w:tr w:rsidR="004A18EB" w:rsidRPr="00560B5D" w:rsidTr="00C37B8C">
        <w:trPr>
          <w:cantSplit/>
        </w:trPr>
        <w:tc>
          <w:tcPr>
            <w:tcW w:w="1890" w:type="dxa"/>
            <w:vMerge/>
            <w:tcMar>
              <w:top w:w="75" w:type="dxa"/>
              <w:left w:w="75" w:type="dxa"/>
              <w:bottom w:w="75" w:type="dxa"/>
              <w:right w:w="75" w:type="dxa"/>
            </w:tcMar>
          </w:tcPr>
          <w:p w:rsidR="004A18EB" w:rsidRPr="00E561AE" w:rsidRDefault="004A18EB" w:rsidP="00C37B8C">
            <w:pPr>
              <w:pStyle w:val="TableRowHead"/>
              <w:rPr>
                <w:rFonts w:asciiTheme="minorHAnsi" w:hAnsiTheme="minorHAnsi"/>
              </w:rPr>
            </w:pPr>
          </w:p>
        </w:tc>
        <w:tc>
          <w:tcPr>
            <w:tcW w:w="6930" w:type="dxa"/>
            <w:tcMar>
              <w:top w:w="75" w:type="dxa"/>
              <w:left w:w="75" w:type="dxa"/>
              <w:bottom w:w="75" w:type="dxa"/>
              <w:right w:w="75" w:type="dxa"/>
            </w:tcMar>
          </w:tcPr>
          <w:p w:rsidR="004A18EB" w:rsidRPr="00941AED" w:rsidRDefault="004A18EB" w:rsidP="00C37B8C">
            <w:pPr>
              <w:rPr>
                <w:rFonts w:cs="Arial"/>
              </w:rPr>
            </w:pPr>
            <w:r w:rsidRPr="00941AED">
              <w:rPr>
                <w:rFonts w:cs="Arial"/>
              </w:rPr>
              <w:t xml:space="preserve">Supplier uses separation of duties to ensure no critical task is wholly dependent upon a single person or resource </w:t>
            </w:r>
          </w:p>
        </w:tc>
      </w:tr>
      <w:tr w:rsidR="004A18EB" w:rsidRPr="00560B5D" w:rsidTr="00C37B8C">
        <w:trPr>
          <w:cantSplit/>
        </w:trPr>
        <w:tc>
          <w:tcPr>
            <w:tcW w:w="1890" w:type="dxa"/>
            <w:vMerge/>
            <w:tcMar>
              <w:top w:w="75" w:type="dxa"/>
              <w:left w:w="75" w:type="dxa"/>
              <w:bottom w:w="75" w:type="dxa"/>
              <w:right w:w="75" w:type="dxa"/>
            </w:tcMar>
          </w:tcPr>
          <w:p w:rsidR="004A18EB" w:rsidRPr="00E561AE" w:rsidRDefault="004A18EB" w:rsidP="00C37B8C">
            <w:pPr>
              <w:pStyle w:val="TableRowHead"/>
              <w:rPr>
                <w:rFonts w:asciiTheme="minorHAnsi" w:hAnsiTheme="minorHAnsi"/>
              </w:rPr>
            </w:pPr>
          </w:p>
        </w:tc>
        <w:tc>
          <w:tcPr>
            <w:tcW w:w="6930" w:type="dxa"/>
            <w:tcMar>
              <w:top w:w="75" w:type="dxa"/>
              <w:left w:w="75" w:type="dxa"/>
              <w:bottom w:w="75" w:type="dxa"/>
              <w:right w:w="75" w:type="dxa"/>
            </w:tcMar>
          </w:tcPr>
          <w:p w:rsidR="004A18EB" w:rsidRPr="00941AED" w:rsidRDefault="004A18EB" w:rsidP="00C37B8C">
            <w:pPr>
              <w:rPr>
                <w:rFonts w:cs="Arial"/>
              </w:rPr>
            </w:pPr>
            <w:r w:rsidRPr="00941AED">
              <w:rPr>
                <w:rFonts w:cs="Arial"/>
              </w:rPr>
              <w:t xml:space="preserve">Supplier describes process for revocation of system access for both forced terminations and planned employee separations </w:t>
            </w:r>
          </w:p>
        </w:tc>
      </w:tr>
      <w:tr w:rsidR="004A18EB" w:rsidRPr="00560B5D" w:rsidTr="00C37B8C">
        <w:trPr>
          <w:cantSplit/>
        </w:trPr>
        <w:tc>
          <w:tcPr>
            <w:tcW w:w="1890" w:type="dxa"/>
            <w:vMerge/>
            <w:tcMar>
              <w:top w:w="75" w:type="dxa"/>
              <w:left w:w="75" w:type="dxa"/>
              <w:bottom w:w="75" w:type="dxa"/>
              <w:right w:w="75" w:type="dxa"/>
            </w:tcMar>
          </w:tcPr>
          <w:p w:rsidR="004A18EB" w:rsidRPr="00E561AE" w:rsidRDefault="004A18EB" w:rsidP="00C37B8C">
            <w:pPr>
              <w:pStyle w:val="TableRowHead"/>
              <w:rPr>
                <w:rFonts w:asciiTheme="minorHAnsi" w:hAnsiTheme="minorHAnsi"/>
              </w:rPr>
            </w:pPr>
          </w:p>
        </w:tc>
        <w:tc>
          <w:tcPr>
            <w:tcW w:w="6930" w:type="dxa"/>
            <w:tcMar>
              <w:top w:w="75" w:type="dxa"/>
              <w:left w:w="75" w:type="dxa"/>
              <w:bottom w:w="75" w:type="dxa"/>
              <w:right w:w="75" w:type="dxa"/>
            </w:tcMar>
          </w:tcPr>
          <w:p w:rsidR="004A18EB" w:rsidRPr="00941AED" w:rsidRDefault="004A18EB" w:rsidP="00C37B8C">
            <w:pPr>
              <w:rPr>
                <w:rFonts w:cs="Arial"/>
              </w:rPr>
            </w:pPr>
            <w:r w:rsidRPr="00941AED">
              <w:rPr>
                <w:rFonts w:cs="Arial"/>
              </w:rPr>
              <w:t xml:space="preserve">Supplier outlines acceptable physical security measures to safeguard and adequately protect their business locations </w:t>
            </w:r>
          </w:p>
        </w:tc>
      </w:tr>
      <w:tr w:rsidR="004A18EB" w:rsidRPr="00560B5D" w:rsidTr="00C37B8C">
        <w:trPr>
          <w:cantSplit/>
        </w:trPr>
        <w:tc>
          <w:tcPr>
            <w:tcW w:w="1890" w:type="dxa"/>
            <w:vMerge/>
            <w:tcMar>
              <w:top w:w="75" w:type="dxa"/>
              <w:left w:w="75" w:type="dxa"/>
              <w:bottom w:w="75" w:type="dxa"/>
              <w:right w:w="75" w:type="dxa"/>
            </w:tcMar>
          </w:tcPr>
          <w:p w:rsidR="004A18EB" w:rsidRPr="00E561AE" w:rsidRDefault="004A18EB" w:rsidP="00C37B8C">
            <w:pPr>
              <w:pStyle w:val="TableRowHead"/>
              <w:rPr>
                <w:rFonts w:asciiTheme="minorHAnsi" w:hAnsiTheme="minorHAnsi"/>
              </w:rPr>
            </w:pPr>
          </w:p>
        </w:tc>
        <w:tc>
          <w:tcPr>
            <w:tcW w:w="6930" w:type="dxa"/>
            <w:tcMar>
              <w:top w:w="75" w:type="dxa"/>
              <w:left w:w="75" w:type="dxa"/>
              <w:bottom w:w="75" w:type="dxa"/>
              <w:right w:w="75" w:type="dxa"/>
            </w:tcMar>
          </w:tcPr>
          <w:p w:rsidR="004A18EB" w:rsidRPr="00941AED" w:rsidRDefault="004A18EB" w:rsidP="00C37B8C">
            <w:pPr>
              <w:rPr>
                <w:rFonts w:cs="Arial"/>
              </w:rPr>
            </w:pPr>
            <w:r w:rsidRPr="00941AED">
              <w:rPr>
                <w:rFonts w:cs="Arial"/>
              </w:rPr>
              <w:t>Supplier describes what environmental security controls are in place to protect the location from hazards such as heat/fire, water, humidity, etc…</w:t>
            </w:r>
          </w:p>
          <w:p w:rsidR="004A18EB" w:rsidRPr="00941AED" w:rsidRDefault="004A18EB" w:rsidP="00C37B8C">
            <w:pPr>
              <w:rPr>
                <w:rFonts w:cs="Arial"/>
              </w:rPr>
            </w:pPr>
          </w:p>
        </w:tc>
      </w:tr>
      <w:tr w:rsidR="004A18EB" w:rsidRPr="00560B5D" w:rsidTr="00C37B8C">
        <w:trPr>
          <w:cantSplit/>
        </w:trPr>
        <w:tc>
          <w:tcPr>
            <w:tcW w:w="1890" w:type="dxa"/>
            <w:vMerge/>
            <w:tcMar>
              <w:top w:w="75" w:type="dxa"/>
              <w:left w:w="75" w:type="dxa"/>
              <w:bottom w:w="75" w:type="dxa"/>
              <w:right w:w="75" w:type="dxa"/>
            </w:tcMar>
          </w:tcPr>
          <w:p w:rsidR="004A18EB" w:rsidRPr="00E561AE" w:rsidRDefault="004A18EB" w:rsidP="00C37B8C">
            <w:pPr>
              <w:pStyle w:val="TableRowHead"/>
              <w:rPr>
                <w:rFonts w:asciiTheme="minorHAnsi" w:hAnsiTheme="minorHAnsi"/>
              </w:rPr>
            </w:pPr>
          </w:p>
        </w:tc>
        <w:tc>
          <w:tcPr>
            <w:tcW w:w="6930" w:type="dxa"/>
            <w:tcMar>
              <w:top w:w="75" w:type="dxa"/>
              <w:left w:w="75" w:type="dxa"/>
              <w:bottom w:w="75" w:type="dxa"/>
              <w:right w:w="75" w:type="dxa"/>
            </w:tcMar>
          </w:tcPr>
          <w:p w:rsidR="004A18EB" w:rsidRPr="00941AED" w:rsidRDefault="004A18EB" w:rsidP="00C37B8C">
            <w:pPr>
              <w:rPr>
                <w:rFonts w:cs="Arial"/>
              </w:rPr>
            </w:pPr>
            <w:r w:rsidRPr="00941AED">
              <w:rPr>
                <w:rFonts w:cs="Arial"/>
              </w:rPr>
              <w:t>Supplier maintains a current access list of all authorized persons who can enter server rooms or other restricted areas and provides same to appropriate security personnel and other individuals with a need-to-know in order to control access to this restricted space at all times.</w:t>
            </w:r>
          </w:p>
        </w:tc>
      </w:tr>
      <w:tr w:rsidR="004A18EB" w:rsidRPr="00560B5D" w:rsidTr="00C37B8C">
        <w:trPr>
          <w:cantSplit/>
        </w:trPr>
        <w:tc>
          <w:tcPr>
            <w:tcW w:w="1890" w:type="dxa"/>
            <w:vMerge/>
            <w:tcMar>
              <w:top w:w="75" w:type="dxa"/>
              <w:left w:w="75" w:type="dxa"/>
              <w:bottom w:w="75" w:type="dxa"/>
              <w:right w:w="75" w:type="dxa"/>
            </w:tcMar>
          </w:tcPr>
          <w:p w:rsidR="004A18EB" w:rsidRPr="00E561AE" w:rsidRDefault="004A18EB" w:rsidP="00C37B8C">
            <w:pPr>
              <w:pStyle w:val="TableRowHead"/>
              <w:rPr>
                <w:rFonts w:asciiTheme="minorHAnsi" w:hAnsiTheme="minorHAnsi"/>
              </w:rPr>
            </w:pPr>
          </w:p>
        </w:tc>
        <w:tc>
          <w:tcPr>
            <w:tcW w:w="6930" w:type="dxa"/>
            <w:tcMar>
              <w:top w:w="75" w:type="dxa"/>
              <w:left w:w="75" w:type="dxa"/>
              <w:bottom w:w="75" w:type="dxa"/>
              <w:right w:w="75" w:type="dxa"/>
            </w:tcMar>
          </w:tcPr>
          <w:p w:rsidR="004A18EB" w:rsidRPr="00941AED" w:rsidRDefault="004A18EB" w:rsidP="00C37B8C">
            <w:pPr>
              <w:rPr>
                <w:rFonts w:cs="Arial"/>
              </w:rPr>
            </w:pPr>
            <w:r w:rsidRPr="00941AED">
              <w:rPr>
                <w:rFonts w:cs="Arial"/>
              </w:rPr>
              <w:t xml:space="preserve">Supplier understands and uses separation of duties </w:t>
            </w:r>
          </w:p>
        </w:tc>
      </w:tr>
      <w:tr w:rsidR="004A18EB" w:rsidRPr="00560B5D" w:rsidTr="00C37B8C">
        <w:trPr>
          <w:cantSplit/>
        </w:trPr>
        <w:tc>
          <w:tcPr>
            <w:tcW w:w="1890" w:type="dxa"/>
            <w:vMerge w:val="restart"/>
            <w:tcMar>
              <w:top w:w="75" w:type="dxa"/>
              <w:left w:w="75" w:type="dxa"/>
              <w:bottom w:w="75" w:type="dxa"/>
              <w:right w:w="75" w:type="dxa"/>
            </w:tcMar>
          </w:tcPr>
          <w:p w:rsidR="004A18EB" w:rsidRPr="00E561AE" w:rsidRDefault="004A18EB" w:rsidP="00C37B8C">
            <w:pPr>
              <w:pStyle w:val="TableRowHead"/>
              <w:rPr>
                <w:rFonts w:asciiTheme="minorHAnsi" w:hAnsiTheme="minorHAnsi"/>
              </w:rPr>
            </w:pPr>
            <w:r w:rsidRPr="00E561AE">
              <w:rPr>
                <w:rFonts w:asciiTheme="minorHAnsi" w:hAnsiTheme="minorHAnsi"/>
              </w:rPr>
              <w:t>Information Security Operations Management</w:t>
            </w:r>
          </w:p>
        </w:tc>
        <w:tc>
          <w:tcPr>
            <w:tcW w:w="6930" w:type="dxa"/>
            <w:tcMar>
              <w:top w:w="75" w:type="dxa"/>
              <w:left w:w="75" w:type="dxa"/>
              <w:bottom w:w="75" w:type="dxa"/>
              <w:right w:w="75" w:type="dxa"/>
            </w:tcMar>
          </w:tcPr>
          <w:p w:rsidR="004A18EB" w:rsidRPr="00941AED" w:rsidRDefault="004A18EB" w:rsidP="00C37B8C">
            <w:pPr>
              <w:rPr>
                <w:rFonts w:cs="Arial"/>
              </w:rPr>
            </w:pPr>
            <w:r w:rsidRPr="00941AED">
              <w:rPr>
                <w:rFonts w:cs="Arial"/>
              </w:rPr>
              <w:t>Supplier takes reasonable measures to stop viruses and protect data and networks from malware including reasonably up-to-date versions of system security agent software which must include malware protection and reasonably up-to-date patches and virus definitions, or a version of such software that can still be supported with up-to-date patches and virus definitions, and is set to receive the most current security updates on a regular basis.</w:t>
            </w:r>
          </w:p>
        </w:tc>
      </w:tr>
      <w:tr w:rsidR="004A18EB" w:rsidRPr="00560B5D" w:rsidTr="00C37B8C">
        <w:trPr>
          <w:cantSplit/>
        </w:trPr>
        <w:tc>
          <w:tcPr>
            <w:tcW w:w="1890" w:type="dxa"/>
            <w:vMerge/>
            <w:tcMar>
              <w:top w:w="75" w:type="dxa"/>
              <w:left w:w="75" w:type="dxa"/>
              <w:bottom w:w="75" w:type="dxa"/>
              <w:right w:w="75" w:type="dxa"/>
            </w:tcMar>
          </w:tcPr>
          <w:p w:rsidR="004A18EB" w:rsidRPr="00E561AE" w:rsidRDefault="004A18EB" w:rsidP="00C37B8C">
            <w:pPr>
              <w:pStyle w:val="TableRowHead"/>
              <w:rPr>
                <w:rFonts w:asciiTheme="minorHAnsi" w:hAnsiTheme="minorHAnsi"/>
              </w:rPr>
            </w:pPr>
          </w:p>
        </w:tc>
        <w:tc>
          <w:tcPr>
            <w:tcW w:w="6930" w:type="dxa"/>
            <w:tcMar>
              <w:top w:w="75" w:type="dxa"/>
              <w:left w:w="75" w:type="dxa"/>
              <w:bottom w:w="75" w:type="dxa"/>
              <w:right w:w="75" w:type="dxa"/>
            </w:tcMar>
          </w:tcPr>
          <w:p w:rsidR="004A18EB" w:rsidRPr="00941AED" w:rsidRDefault="004A18EB" w:rsidP="00C37B8C">
            <w:pPr>
              <w:rPr>
                <w:rFonts w:cs="Arial"/>
              </w:rPr>
            </w:pPr>
            <w:r w:rsidRPr="00941AED">
              <w:rPr>
                <w:rFonts w:cs="Arial"/>
              </w:rPr>
              <w:t xml:space="preserve">Policies and controls protecting e-commerce are used </w:t>
            </w:r>
          </w:p>
        </w:tc>
      </w:tr>
      <w:tr w:rsidR="004A18EB" w:rsidRPr="00560B5D" w:rsidTr="00C37B8C">
        <w:trPr>
          <w:cantSplit/>
        </w:trPr>
        <w:tc>
          <w:tcPr>
            <w:tcW w:w="1890" w:type="dxa"/>
            <w:vMerge/>
            <w:tcMar>
              <w:top w:w="75" w:type="dxa"/>
              <w:left w:w="75" w:type="dxa"/>
              <w:bottom w:w="75" w:type="dxa"/>
              <w:right w:w="75" w:type="dxa"/>
            </w:tcMar>
          </w:tcPr>
          <w:p w:rsidR="004A18EB" w:rsidRPr="00E561AE" w:rsidRDefault="004A18EB" w:rsidP="00C37B8C">
            <w:pPr>
              <w:pStyle w:val="TableRowHead"/>
              <w:rPr>
                <w:rFonts w:asciiTheme="minorHAnsi" w:hAnsiTheme="minorHAnsi"/>
              </w:rPr>
            </w:pPr>
          </w:p>
        </w:tc>
        <w:tc>
          <w:tcPr>
            <w:tcW w:w="6930" w:type="dxa"/>
            <w:tcMar>
              <w:top w:w="75" w:type="dxa"/>
              <w:left w:w="75" w:type="dxa"/>
              <w:bottom w:w="75" w:type="dxa"/>
              <w:right w:w="75" w:type="dxa"/>
            </w:tcMar>
          </w:tcPr>
          <w:p w:rsidR="004A18EB" w:rsidRPr="00941AED" w:rsidRDefault="004A18EB" w:rsidP="00C37B8C">
            <w:pPr>
              <w:rPr>
                <w:rFonts w:cs="Arial"/>
              </w:rPr>
            </w:pPr>
            <w:r w:rsidRPr="00941AED">
              <w:rPr>
                <w:rFonts w:cs="Arial"/>
              </w:rPr>
              <w:t xml:space="preserve">Web servers and software are hardened to protect against attacks </w:t>
            </w:r>
          </w:p>
        </w:tc>
      </w:tr>
      <w:tr w:rsidR="004A18EB" w:rsidRPr="00560B5D" w:rsidTr="00C37B8C">
        <w:trPr>
          <w:cantSplit/>
        </w:trPr>
        <w:tc>
          <w:tcPr>
            <w:tcW w:w="1890" w:type="dxa"/>
            <w:vMerge w:val="restart"/>
            <w:tcMar>
              <w:top w:w="75" w:type="dxa"/>
              <w:left w:w="75" w:type="dxa"/>
              <w:bottom w:w="75" w:type="dxa"/>
              <w:right w:w="75" w:type="dxa"/>
            </w:tcMar>
          </w:tcPr>
          <w:p w:rsidR="004A18EB" w:rsidRPr="00E561AE" w:rsidRDefault="004A18EB" w:rsidP="00C37B8C">
            <w:pPr>
              <w:pStyle w:val="TableRowHead"/>
              <w:rPr>
                <w:rFonts w:asciiTheme="minorHAnsi" w:hAnsiTheme="minorHAnsi"/>
              </w:rPr>
            </w:pPr>
            <w:r w:rsidRPr="00E561AE">
              <w:rPr>
                <w:rFonts w:asciiTheme="minorHAnsi" w:hAnsiTheme="minorHAnsi"/>
              </w:rPr>
              <w:t>Access Controls</w:t>
            </w:r>
          </w:p>
        </w:tc>
        <w:tc>
          <w:tcPr>
            <w:tcW w:w="6930" w:type="dxa"/>
            <w:tcMar>
              <w:top w:w="75" w:type="dxa"/>
              <w:left w:w="75" w:type="dxa"/>
              <w:bottom w:w="75" w:type="dxa"/>
              <w:right w:w="75" w:type="dxa"/>
            </w:tcMar>
          </w:tcPr>
          <w:p w:rsidR="004A18EB" w:rsidRPr="00941AED" w:rsidRDefault="004A18EB" w:rsidP="00C37B8C">
            <w:pPr>
              <w:rPr>
                <w:rFonts w:cs="Arial"/>
              </w:rPr>
            </w:pPr>
            <w:r w:rsidRPr="00941AED">
              <w:rPr>
                <w:rFonts w:cs="Arial"/>
              </w:rPr>
              <w:t xml:space="preserve">Non-essential services and daemons are disabled </w:t>
            </w:r>
          </w:p>
        </w:tc>
      </w:tr>
      <w:tr w:rsidR="004A18EB" w:rsidRPr="00560B5D" w:rsidTr="00C37B8C">
        <w:trPr>
          <w:cantSplit/>
        </w:trPr>
        <w:tc>
          <w:tcPr>
            <w:tcW w:w="1890" w:type="dxa"/>
            <w:vMerge/>
            <w:tcMar>
              <w:top w:w="75" w:type="dxa"/>
              <w:left w:w="75" w:type="dxa"/>
              <w:bottom w:w="75" w:type="dxa"/>
              <w:right w:w="75" w:type="dxa"/>
            </w:tcMar>
          </w:tcPr>
          <w:p w:rsidR="004A18EB" w:rsidRPr="00E561AE" w:rsidRDefault="004A18EB" w:rsidP="00C37B8C">
            <w:pPr>
              <w:pStyle w:val="TableRowHead"/>
              <w:rPr>
                <w:rFonts w:asciiTheme="minorHAnsi" w:hAnsiTheme="minorHAnsi"/>
              </w:rPr>
            </w:pPr>
          </w:p>
        </w:tc>
        <w:tc>
          <w:tcPr>
            <w:tcW w:w="6930" w:type="dxa"/>
            <w:tcMar>
              <w:top w:w="75" w:type="dxa"/>
              <w:left w:w="75" w:type="dxa"/>
              <w:bottom w:w="75" w:type="dxa"/>
              <w:right w:w="75" w:type="dxa"/>
            </w:tcMar>
          </w:tcPr>
          <w:p w:rsidR="004A18EB" w:rsidRPr="00941AED" w:rsidRDefault="004A18EB" w:rsidP="00C37B8C">
            <w:pPr>
              <w:rPr>
                <w:rFonts w:cs="Arial"/>
              </w:rPr>
            </w:pPr>
            <w:r w:rsidRPr="00941AED">
              <w:rPr>
                <w:rFonts w:cs="Arial"/>
              </w:rPr>
              <w:t>Supplier periodically reviews network security and application logs</w:t>
            </w:r>
          </w:p>
        </w:tc>
      </w:tr>
      <w:tr w:rsidR="004A18EB" w:rsidRPr="00560B5D" w:rsidTr="00C37B8C">
        <w:trPr>
          <w:cantSplit/>
        </w:trPr>
        <w:tc>
          <w:tcPr>
            <w:tcW w:w="1890" w:type="dxa"/>
            <w:vMerge/>
            <w:tcMar>
              <w:top w:w="75" w:type="dxa"/>
              <w:left w:w="75" w:type="dxa"/>
              <w:bottom w:w="75" w:type="dxa"/>
              <w:right w:w="75" w:type="dxa"/>
            </w:tcMar>
          </w:tcPr>
          <w:p w:rsidR="004A18EB" w:rsidRPr="00E561AE" w:rsidRDefault="004A18EB" w:rsidP="00C37B8C">
            <w:pPr>
              <w:pStyle w:val="TableRowHead"/>
              <w:rPr>
                <w:rFonts w:asciiTheme="minorHAnsi" w:hAnsiTheme="minorHAnsi"/>
              </w:rPr>
            </w:pPr>
          </w:p>
        </w:tc>
        <w:tc>
          <w:tcPr>
            <w:tcW w:w="6930" w:type="dxa"/>
            <w:tcMar>
              <w:top w:w="75" w:type="dxa"/>
              <w:left w:w="75" w:type="dxa"/>
              <w:bottom w:w="75" w:type="dxa"/>
              <w:right w:w="75" w:type="dxa"/>
            </w:tcMar>
          </w:tcPr>
          <w:p w:rsidR="004A18EB" w:rsidRPr="00941AED" w:rsidRDefault="004A18EB" w:rsidP="00C37B8C">
            <w:pPr>
              <w:rPr>
                <w:rFonts w:cs="Arial"/>
              </w:rPr>
            </w:pPr>
            <w:r w:rsidRPr="00941AED">
              <w:rPr>
                <w:rFonts w:cs="Arial"/>
              </w:rPr>
              <w:t>Supplier has a process for securely disposing of media containing PII/PHI</w:t>
            </w:r>
          </w:p>
        </w:tc>
      </w:tr>
      <w:tr w:rsidR="004A18EB" w:rsidRPr="00560B5D" w:rsidTr="00C37B8C">
        <w:trPr>
          <w:cantSplit/>
        </w:trPr>
        <w:tc>
          <w:tcPr>
            <w:tcW w:w="1890" w:type="dxa"/>
            <w:vMerge/>
            <w:tcMar>
              <w:top w:w="75" w:type="dxa"/>
              <w:left w:w="75" w:type="dxa"/>
              <w:bottom w:w="75" w:type="dxa"/>
              <w:right w:w="75" w:type="dxa"/>
            </w:tcMar>
          </w:tcPr>
          <w:p w:rsidR="004A18EB" w:rsidRPr="00E561AE" w:rsidRDefault="004A18EB" w:rsidP="00C37B8C">
            <w:pPr>
              <w:pStyle w:val="TableRowHead"/>
              <w:rPr>
                <w:rFonts w:asciiTheme="minorHAnsi" w:hAnsiTheme="minorHAnsi"/>
              </w:rPr>
            </w:pPr>
          </w:p>
        </w:tc>
        <w:tc>
          <w:tcPr>
            <w:tcW w:w="6930" w:type="dxa"/>
            <w:tcMar>
              <w:top w:w="75" w:type="dxa"/>
              <w:left w:w="75" w:type="dxa"/>
              <w:bottom w:w="75" w:type="dxa"/>
              <w:right w:w="75" w:type="dxa"/>
            </w:tcMar>
          </w:tcPr>
          <w:p w:rsidR="004A18EB" w:rsidRPr="00941AED" w:rsidRDefault="004A18EB" w:rsidP="00C37B8C">
            <w:pPr>
              <w:rPr>
                <w:rFonts w:cs="Arial"/>
              </w:rPr>
            </w:pPr>
            <w:r w:rsidRPr="00941AED">
              <w:rPr>
                <w:rFonts w:cs="Arial"/>
              </w:rPr>
              <w:t>Supplier employs dedicated staff to install, configure, test, and monitor network and computing environment security</w:t>
            </w:r>
          </w:p>
        </w:tc>
      </w:tr>
      <w:tr w:rsidR="004A18EB" w:rsidRPr="00560B5D" w:rsidTr="00C37B8C">
        <w:trPr>
          <w:cantSplit/>
        </w:trPr>
        <w:tc>
          <w:tcPr>
            <w:tcW w:w="1890" w:type="dxa"/>
            <w:vMerge/>
            <w:tcMar>
              <w:top w:w="75" w:type="dxa"/>
              <w:left w:w="75" w:type="dxa"/>
              <w:bottom w:w="75" w:type="dxa"/>
              <w:right w:w="75" w:type="dxa"/>
            </w:tcMar>
          </w:tcPr>
          <w:p w:rsidR="004A18EB" w:rsidRPr="00E561AE" w:rsidRDefault="004A18EB" w:rsidP="00C37B8C">
            <w:pPr>
              <w:pStyle w:val="TableRowHead"/>
              <w:rPr>
                <w:rFonts w:asciiTheme="minorHAnsi" w:hAnsiTheme="minorHAnsi"/>
              </w:rPr>
            </w:pPr>
          </w:p>
        </w:tc>
        <w:tc>
          <w:tcPr>
            <w:tcW w:w="6930" w:type="dxa"/>
            <w:tcMar>
              <w:top w:w="75" w:type="dxa"/>
              <w:left w:w="75" w:type="dxa"/>
              <w:bottom w:w="75" w:type="dxa"/>
              <w:right w:w="75" w:type="dxa"/>
            </w:tcMar>
          </w:tcPr>
          <w:p w:rsidR="004A18EB" w:rsidRPr="00941AED" w:rsidRDefault="004A18EB" w:rsidP="00C37B8C">
            <w:pPr>
              <w:rPr>
                <w:rFonts w:cs="Arial"/>
              </w:rPr>
            </w:pPr>
            <w:r w:rsidRPr="00941AED">
              <w:rPr>
                <w:rFonts w:cs="Arial"/>
              </w:rPr>
              <w:t>Firewalls are used on all connections to internet</w:t>
            </w:r>
          </w:p>
        </w:tc>
      </w:tr>
      <w:tr w:rsidR="004A18EB" w:rsidRPr="00560B5D" w:rsidTr="00C37B8C">
        <w:trPr>
          <w:cantSplit/>
        </w:trPr>
        <w:tc>
          <w:tcPr>
            <w:tcW w:w="1890" w:type="dxa"/>
            <w:vMerge/>
            <w:tcMar>
              <w:top w:w="75" w:type="dxa"/>
              <w:left w:w="75" w:type="dxa"/>
              <w:bottom w:w="75" w:type="dxa"/>
              <w:right w:w="75" w:type="dxa"/>
            </w:tcMar>
          </w:tcPr>
          <w:p w:rsidR="004A18EB" w:rsidRPr="00E561AE" w:rsidRDefault="004A18EB" w:rsidP="00C37B8C">
            <w:pPr>
              <w:pStyle w:val="TableRowHead"/>
              <w:rPr>
                <w:rFonts w:asciiTheme="minorHAnsi" w:hAnsiTheme="minorHAnsi"/>
              </w:rPr>
            </w:pPr>
          </w:p>
        </w:tc>
        <w:tc>
          <w:tcPr>
            <w:tcW w:w="6930" w:type="dxa"/>
            <w:tcMar>
              <w:top w:w="75" w:type="dxa"/>
              <w:left w:w="75" w:type="dxa"/>
              <w:bottom w:w="75" w:type="dxa"/>
              <w:right w:w="75" w:type="dxa"/>
            </w:tcMar>
          </w:tcPr>
          <w:p w:rsidR="004A18EB" w:rsidRPr="00941AED" w:rsidRDefault="004A18EB" w:rsidP="00C37B8C">
            <w:pPr>
              <w:rPr>
                <w:rFonts w:cs="Arial"/>
              </w:rPr>
            </w:pPr>
            <w:r w:rsidRPr="00941AED">
              <w:rPr>
                <w:rFonts w:cs="Arial"/>
              </w:rPr>
              <w:t>Supplier indicates use of a DMZ</w:t>
            </w:r>
          </w:p>
        </w:tc>
      </w:tr>
      <w:tr w:rsidR="004A18EB" w:rsidRPr="00560B5D" w:rsidTr="00C37B8C">
        <w:trPr>
          <w:cantSplit/>
        </w:trPr>
        <w:tc>
          <w:tcPr>
            <w:tcW w:w="1890" w:type="dxa"/>
            <w:vMerge/>
            <w:tcMar>
              <w:top w:w="75" w:type="dxa"/>
              <w:left w:w="75" w:type="dxa"/>
              <w:bottom w:w="75" w:type="dxa"/>
              <w:right w:w="75" w:type="dxa"/>
            </w:tcMar>
          </w:tcPr>
          <w:p w:rsidR="004A18EB" w:rsidRPr="00E561AE" w:rsidRDefault="004A18EB" w:rsidP="00C37B8C">
            <w:pPr>
              <w:pStyle w:val="TableRowHead"/>
              <w:rPr>
                <w:rFonts w:asciiTheme="minorHAnsi" w:hAnsiTheme="minorHAnsi"/>
              </w:rPr>
            </w:pPr>
          </w:p>
        </w:tc>
        <w:tc>
          <w:tcPr>
            <w:tcW w:w="6930" w:type="dxa"/>
            <w:tcMar>
              <w:top w:w="75" w:type="dxa"/>
              <w:left w:w="75" w:type="dxa"/>
              <w:bottom w:w="75" w:type="dxa"/>
              <w:right w:w="75" w:type="dxa"/>
            </w:tcMar>
          </w:tcPr>
          <w:p w:rsidR="004A18EB" w:rsidRPr="00941AED" w:rsidRDefault="004A18EB" w:rsidP="00C37B8C">
            <w:pPr>
              <w:rPr>
                <w:rFonts w:cs="Arial"/>
              </w:rPr>
            </w:pPr>
            <w:r w:rsidRPr="00941AED">
              <w:rPr>
                <w:rFonts w:cs="Arial"/>
              </w:rPr>
              <w:t>Suppliers will define roles and responsibilities for application access</w:t>
            </w:r>
          </w:p>
        </w:tc>
      </w:tr>
      <w:tr w:rsidR="004A18EB" w:rsidRPr="00560B5D" w:rsidTr="00C37B8C">
        <w:trPr>
          <w:cantSplit/>
        </w:trPr>
        <w:tc>
          <w:tcPr>
            <w:tcW w:w="1890" w:type="dxa"/>
            <w:vMerge/>
            <w:tcMar>
              <w:top w:w="75" w:type="dxa"/>
              <w:left w:w="75" w:type="dxa"/>
              <w:bottom w:w="75" w:type="dxa"/>
              <w:right w:w="75" w:type="dxa"/>
            </w:tcMar>
          </w:tcPr>
          <w:p w:rsidR="004A18EB" w:rsidRPr="00E561AE" w:rsidRDefault="004A18EB" w:rsidP="00C37B8C">
            <w:pPr>
              <w:pStyle w:val="TableRowHead"/>
              <w:rPr>
                <w:rFonts w:asciiTheme="minorHAnsi" w:hAnsiTheme="minorHAnsi"/>
              </w:rPr>
            </w:pPr>
          </w:p>
        </w:tc>
        <w:tc>
          <w:tcPr>
            <w:tcW w:w="6930" w:type="dxa"/>
            <w:tcMar>
              <w:top w:w="75" w:type="dxa"/>
              <w:left w:w="75" w:type="dxa"/>
              <w:bottom w:w="75" w:type="dxa"/>
              <w:right w:w="75" w:type="dxa"/>
            </w:tcMar>
          </w:tcPr>
          <w:p w:rsidR="004A18EB" w:rsidRPr="00941AED" w:rsidRDefault="004A18EB" w:rsidP="00C37B8C">
            <w:pPr>
              <w:rPr>
                <w:rFonts w:cs="Arial"/>
              </w:rPr>
            </w:pPr>
            <w:r w:rsidRPr="00941AED">
              <w:rPr>
                <w:rFonts w:cs="Arial"/>
              </w:rPr>
              <w:t>Supplier describes formal procedures in place to control the allocation of access rights to information systems and services.</w:t>
            </w:r>
          </w:p>
        </w:tc>
      </w:tr>
      <w:tr w:rsidR="004A18EB" w:rsidRPr="00560B5D" w:rsidTr="00C37B8C">
        <w:trPr>
          <w:cantSplit/>
        </w:trPr>
        <w:tc>
          <w:tcPr>
            <w:tcW w:w="1890" w:type="dxa"/>
            <w:vMerge/>
            <w:tcMar>
              <w:top w:w="75" w:type="dxa"/>
              <w:left w:w="75" w:type="dxa"/>
              <w:bottom w:w="75" w:type="dxa"/>
              <w:right w:w="75" w:type="dxa"/>
            </w:tcMar>
          </w:tcPr>
          <w:p w:rsidR="004A18EB" w:rsidRPr="00E561AE" w:rsidRDefault="004A18EB" w:rsidP="00C37B8C">
            <w:pPr>
              <w:pStyle w:val="TableRowHead"/>
              <w:rPr>
                <w:rFonts w:asciiTheme="minorHAnsi" w:hAnsiTheme="minorHAnsi"/>
              </w:rPr>
            </w:pPr>
          </w:p>
        </w:tc>
        <w:tc>
          <w:tcPr>
            <w:tcW w:w="6930" w:type="dxa"/>
            <w:tcMar>
              <w:top w:w="75" w:type="dxa"/>
              <w:left w:w="75" w:type="dxa"/>
              <w:bottom w:w="75" w:type="dxa"/>
              <w:right w:w="75" w:type="dxa"/>
            </w:tcMar>
          </w:tcPr>
          <w:p w:rsidR="004A18EB" w:rsidRPr="00941AED" w:rsidRDefault="004A18EB" w:rsidP="00C37B8C">
            <w:pPr>
              <w:rPr>
                <w:rFonts w:cs="Arial"/>
              </w:rPr>
            </w:pPr>
            <w:r w:rsidRPr="00941AED">
              <w:rPr>
                <w:rFonts w:cs="Arial"/>
              </w:rPr>
              <w:t>Supplier environment uses unique IDs for users and utilizes them for access to applications and data</w:t>
            </w:r>
          </w:p>
        </w:tc>
      </w:tr>
      <w:tr w:rsidR="004A18EB" w:rsidRPr="00560B5D" w:rsidTr="00C37B8C">
        <w:trPr>
          <w:cantSplit/>
        </w:trPr>
        <w:tc>
          <w:tcPr>
            <w:tcW w:w="1890" w:type="dxa"/>
            <w:vMerge/>
            <w:tcMar>
              <w:top w:w="75" w:type="dxa"/>
              <w:left w:w="75" w:type="dxa"/>
              <w:bottom w:w="75" w:type="dxa"/>
              <w:right w:w="75" w:type="dxa"/>
            </w:tcMar>
          </w:tcPr>
          <w:p w:rsidR="004A18EB" w:rsidRPr="00E561AE" w:rsidRDefault="004A18EB" w:rsidP="00C37B8C">
            <w:pPr>
              <w:pStyle w:val="TableRowHead"/>
              <w:rPr>
                <w:rFonts w:asciiTheme="minorHAnsi" w:hAnsiTheme="minorHAnsi"/>
              </w:rPr>
            </w:pPr>
          </w:p>
        </w:tc>
        <w:tc>
          <w:tcPr>
            <w:tcW w:w="6930" w:type="dxa"/>
            <w:tcMar>
              <w:top w:w="75" w:type="dxa"/>
              <w:left w:w="75" w:type="dxa"/>
              <w:bottom w:w="75" w:type="dxa"/>
              <w:right w:w="75" w:type="dxa"/>
            </w:tcMar>
          </w:tcPr>
          <w:p w:rsidR="004A18EB" w:rsidRPr="00941AED" w:rsidRDefault="004A18EB" w:rsidP="00C37B8C">
            <w:pPr>
              <w:rPr>
                <w:rFonts w:cs="Arial"/>
              </w:rPr>
            </w:pPr>
            <w:r w:rsidRPr="00941AED">
              <w:rPr>
                <w:rFonts w:cs="Arial"/>
              </w:rPr>
              <w:t>Supplier utilizes a formal and documented SDLC.</w:t>
            </w:r>
          </w:p>
        </w:tc>
      </w:tr>
      <w:tr w:rsidR="004A18EB" w:rsidRPr="00560B5D" w:rsidTr="00C37B8C">
        <w:trPr>
          <w:cantSplit/>
        </w:trPr>
        <w:tc>
          <w:tcPr>
            <w:tcW w:w="1890" w:type="dxa"/>
            <w:vMerge/>
            <w:tcMar>
              <w:top w:w="75" w:type="dxa"/>
              <w:left w:w="75" w:type="dxa"/>
              <w:bottom w:w="75" w:type="dxa"/>
              <w:right w:w="75" w:type="dxa"/>
            </w:tcMar>
          </w:tcPr>
          <w:p w:rsidR="004A18EB" w:rsidRPr="00E561AE" w:rsidRDefault="004A18EB" w:rsidP="00C37B8C">
            <w:pPr>
              <w:pStyle w:val="TableRowHead"/>
              <w:rPr>
                <w:rFonts w:asciiTheme="minorHAnsi" w:hAnsiTheme="minorHAnsi"/>
              </w:rPr>
            </w:pPr>
          </w:p>
        </w:tc>
        <w:tc>
          <w:tcPr>
            <w:tcW w:w="6930" w:type="dxa"/>
            <w:tcMar>
              <w:top w:w="75" w:type="dxa"/>
              <w:left w:w="75" w:type="dxa"/>
              <w:bottom w:w="75" w:type="dxa"/>
              <w:right w:w="75" w:type="dxa"/>
            </w:tcMar>
          </w:tcPr>
          <w:p w:rsidR="004A18EB" w:rsidRPr="00941AED" w:rsidRDefault="004A18EB" w:rsidP="00C37B8C">
            <w:pPr>
              <w:rPr>
                <w:rFonts w:cs="Arial"/>
              </w:rPr>
            </w:pPr>
            <w:r w:rsidRPr="00941AED">
              <w:rPr>
                <w:rFonts w:cs="Arial"/>
              </w:rPr>
              <w:t>Suppliers will comply with applicable laws and regulations</w:t>
            </w:r>
          </w:p>
        </w:tc>
      </w:tr>
      <w:tr w:rsidR="004A18EB" w:rsidRPr="00560B5D" w:rsidTr="00C37B8C">
        <w:trPr>
          <w:cantSplit/>
        </w:trPr>
        <w:tc>
          <w:tcPr>
            <w:tcW w:w="1890" w:type="dxa"/>
            <w:vMerge/>
            <w:tcMar>
              <w:top w:w="75" w:type="dxa"/>
              <w:left w:w="75" w:type="dxa"/>
              <w:bottom w:w="75" w:type="dxa"/>
              <w:right w:w="75" w:type="dxa"/>
            </w:tcMar>
          </w:tcPr>
          <w:p w:rsidR="004A18EB" w:rsidRPr="00E561AE" w:rsidRDefault="004A18EB" w:rsidP="00C37B8C">
            <w:pPr>
              <w:pStyle w:val="TableRowHead"/>
              <w:rPr>
                <w:rFonts w:asciiTheme="minorHAnsi" w:hAnsiTheme="minorHAnsi"/>
              </w:rPr>
            </w:pPr>
          </w:p>
        </w:tc>
        <w:tc>
          <w:tcPr>
            <w:tcW w:w="6930" w:type="dxa"/>
            <w:tcMar>
              <w:top w:w="75" w:type="dxa"/>
              <w:left w:w="75" w:type="dxa"/>
              <w:bottom w:w="75" w:type="dxa"/>
              <w:right w:w="75" w:type="dxa"/>
            </w:tcMar>
          </w:tcPr>
          <w:p w:rsidR="004A18EB" w:rsidRPr="00941AED" w:rsidRDefault="004A18EB" w:rsidP="00C37B8C">
            <w:pPr>
              <w:rPr>
                <w:rFonts w:cs="Arial"/>
              </w:rPr>
            </w:pPr>
            <w:r w:rsidRPr="00941AED">
              <w:rPr>
                <w:rFonts w:cs="Arial"/>
              </w:rPr>
              <w:t>Supplier has identified a person responsible for compliance with applicable laws and regulations</w:t>
            </w:r>
          </w:p>
        </w:tc>
      </w:tr>
      <w:tr w:rsidR="004A18EB" w:rsidRPr="00560B5D" w:rsidTr="00C37B8C">
        <w:trPr>
          <w:cantSplit/>
        </w:trPr>
        <w:tc>
          <w:tcPr>
            <w:tcW w:w="1890" w:type="dxa"/>
            <w:vMerge w:val="restart"/>
            <w:tcMar>
              <w:top w:w="75" w:type="dxa"/>
              <w:left w:w="75" w:type="dxa"/>
              <w:bottom w:w="75" w:type="dxa"/>
              <w:right w:w="75" w:type="dxa"/>
            </w:tcMar>
          </w:tcPr>
          <w:p w:rsidR="004A18EB" w:rsidRPr="00E561AE" w:rsidRDefault="004A18EB" w:rsidP="00C37B8C">
            <w:pPr>
              <w:pStyle w:val="TableRowHead"/>
              <w:rPr>
                <w:rFonts w:asciiTheme="minorHAnsi" w:hAnsiTheme="minorHAnsi"/>
              </w:rPr>
            </w:pPr>
            <w:r w:rsidRPr="00E561AE">
              <w:rPr>
                <w:rFonts w:asciiTheme="minorHAnsi" w:hAnsiTheme="minorHAnsi"/>
              </w:rPr>
              <w:lastRenderedPageBreak/>
              <w:t>System Development and Maintenance</w:t>
            </w:r>
          </w:p>
        </w:tc>
        <w:tc>
          <w:tcPr>
            <w:tcW w:w="6930" w:type="dxa"/>
            <w:tcMar>
              <w:top w:w="75" w:type="dxa"/>
              <w:left w:w="75" w:type="dxa"/>
              <w:bottom w:w="75" w:type="dxa"/>
              <w:right w:w="75" w:type="dxa"/>
            </w:tcMar>
          </w:tcPr>
          <w:p w:rsidR="004A18EB" w:rsidRPr="00941AED" w:rsidRDefault="004A18EB" w:rsidP="00C37B8C">
            <w:pPr>
              <w:rPr>
                <w:rFonts w:cs="Arial"/>
              </w:rPr>
            </w:pPr>
            <w:r w:rsidRPr="00941AED">
              <w:rPr>
                <w:rFonts w:cs="Arial"/>
              </w:rPr>
              <w:t xml:space="preserve">Supplier maintains list of risks as identified through audits and corresponding mitigation strategies and actions or statements acknowledging and accepting risk </w:t>
            </w:r>
          </w:p>
        </w:tc>
      </w:tr>
      <w:tr w:rsidR="004A18EB" w:rsidRPr="00560B5D" w:rsidTr="00C37B8C">
        <w:trPr>
          <w:cantSplit/>
        </w:trPr>
        <w:tc>
          <w:tcPr>
            <w:tcW w:w="1890" w:type="dxa"/>
            <w:vMerge/>
            <w:tcMar>
              <w:top w:w="75" w:type="dxa"/>
              <w:left w:w="75" w:type="dxa"/>
              <w:bottom w:w="75" w:type="dxa"/>
              <w:right w:w="75" w:type="dxa"/>
            </w:tcMar>
          </w:tcPr>
          <w:p w:rsidR="004A18EB" w:rsidRPr="00E561AE" w:rsidRDefault="004A18EB" w:rsidP="00C37B8C">
            <w:pPr>
              <w:pStyle w:val="TableRowHead"/>
              <w:rPr>
                <w:rFonts w:asciiTheme="minorHAnsi" w:hAnsiTheme="minorHAnsi"/>
              </w:rPr>
            </w:pPr>
          </w:p>
        </w:tc>
        <w:tc>
          <w:tcPr>
            <w:tcW w:w="6930" w:type="dxa"/>
            <w:tcMar>
              <w:top w:w="75" w:type="dxa"/>
              <w:left w:w="75" w:type="dxa"/>
              <w:bottom w:w="75" w:type="dxa"/>
              <w:right w:w="75" w:type="dxa"/>
            </w:tcMar>
          </w:tcPr>
          <w:p w:rsidR="004A18EB" w:rsidRPr="00941AED" w:rsidRDefault="004A18EB" w:rsidP="00C37B8C">
            <w:pPr>
              <w:rPr>
                <w:rFonts w:cs="Arial"/>
              </w:rPr>
            </w:pPr>
            <w:r w:rsidRPr="00941AED">
              <w:rPr>
                <w:rFonts w:cs="Arial"/>
              </w:rPr>
              <w:t xml:space="preserve">Items rated as High Risk or Medium Risk in Survey requires a risk mitigation plan. </w:t>
            </w:r>
          </w:p>
        </w:tc>
      </w:tr>
      <w:tr w:rsidR="004A18EB" w:rsidRPr="00560B5D" w:rsidTr="00C37B8C">
        <w:trPr>
          <w:cantSplit/>
        </w:trPr>
        <w:tc>
          <w:tcPr>
            <w:tcW w:w="1890" w:type="dxa"/>
            <w:vMerge/>
            <w:tcMar>
              <w:top w:w="75" w:type="dxa"/>
              <w:left w:w="75" w:type="dxa"/>
              <w:bottom w:w="75" w:type="dxa"/>
              <w:right w:w="75" w:type="dxa"/>
            </w:tcMar>
          </w:tcPr>
          <w:p w:rsidR="004A18EB" w:rsidRPr="00E561AE" w:rsidRDefault="004A18EB" w:rsidP="00C37B8C">
            <w:pPr>
              <w:pStyle w:val="TableRowHead"/>
              <w:rPr>
                <w:rFonts w:asciiTheme="minorHAnsi" w:hAnsiTheme="minorHAnsi"/>
              </w:rPr>
            </w:pPr>
          </w:p>
        </w:tc>
        <w:tc>
          <w:tcPr>
            <w:tcW w:w="6930" w:type="dxa"/>
            <w:tcMar>
              <w:top w:w="75" w:type="dxa"/>
              <w:left w:w="75" w:type="dxa"/>
              <w:bottom w:w="75" w:type="dxa"/>
              <w:right w:w="75" w:type="dxa"/>
            </w:tcMar>
          </w:tcPr>
          <w:p w:rsidR="004A18EB" w:rsidRPr="00941AED" w:rsidRDefault="004A18EB" w:rsidP="00C37B8C">
            <w:pPr>
              <w:rPr>
                <w:rFonts w:cs="Arial"/>
              </w:rPr>
            </w:pPr>
            <w:r w:rsidRPr="00941AED">
              <w:rPr>
                <w:rFonts w:cs="Arial"/>
              </w:rPr>
              <w:t xml:space="preserve">Supplier must comply with </w:t>
            </w:r>
            <w:r>
              <w:rPr>
                <w:rFonts w:cs="Arial"/>
              </w:rPr>
              <w:t>Alight</w:t>
            </w:r>
            <w:r w:rsidRPr="00941AED">
              <w:rPr>
                <w:rFonts w:cs="Arial"/>
              </w:rPr>
              <w:t xml:space="preserve">’s Infrastructure and Application Security Standards. </w:t>
            </w:r>
          </w:p>
        </w:tc>
      </w:tr>
    </w:tbl>
    <w:p w:rsidR="004A18EB" w:rsidRPr="00EE255B" w:rsidRDefault="004A18EB" w:rsidP="004A18EB">
      <w:pPr>
        <w:pStyle w:val="Heading2"/>
      </w:pPr>
      <w:bookmarkStart w:id="17" w:name="_Toc318373180"/>
      <w:bookmarkStart w:id="18" w:name="_Toc289842764"/>
      <w:bookmarkStart w:id="19" w:name="_Toc296524976"/>
      <w:bookmarkStart w:id="20" w:name="_Toc63227083"/>
      <w:r w:rsidRPr="007E6914">
        <w:t>Legal Conflicts</w:t>
      </w:r>
      <w:bookmarkEnd w:id="17"/>
      <w:r w:rsidRPr="00EE255B">
        <w:t xml:space="preserve"> </w:t>
      </w:r>
    </w:p>
    <w:p w:rsidR="004A18EB" w:rsidRPr="00941AED" w:rsidRDefault="004A18EB" w:rsidP="004A18EB">
      <w:pPr>
        <w:pStyle w:val="NormalDS"/>
      </w:pPr>
      <w:bookmarkStart w:id="21" w:name="_Toc300658447"/>
      <w:bookmarkStart w:id="22" w:name="_Toc304990099"/>
      <w:bookmarkStart w:id="23" w:name="_Toc318373181"/>
      <w:r>
        <w:t>Alight</w:t>
      </w:r>
      <w:r w:rsidRPr="00941AED">
        <w:t xml:space="preserve"> </w:t>
      </w:r>
      <w:r>
        <w:t xml:space="preserve">Security </w:t>
      </w:r>
      <w:r w:rsidRPr="00941AED">
        <w:t>Policies and Standards were drafted to address the protections found in existing laws and regulations and may be amended as necessary due to law, regulation, or business requirements.  There is no intent to conflict with relevant local laws or regulations.  In the event of any conflict with relevant local laws or regulations, they will control.</w:t>
      </w:r>
    </w:p>
    <w:p w:rsidR="004A18EB" w:rsidRDefault="004A18EB" w:rsidP="004A18EB">
      <w:pPr>
        <w:pStyle w:val="NormalDS"/>
      </w:pPr>
      <w:r>
        <w:t>Alight</w:t>
      </w:r>
      <w:r w:rsidRPr="00941AED">
        <w:t xml:space="preserve"> </w:t>
      </w:r>
      <w:r>
        <w:t xml:space="preserve">Security </w:t>
      </w:r>
      <w:r w:rsidRPr="00941AED">
        <w:t xml:space="preserve">Policies and Standards may be supplemented by other policies or standards of </w:t>
      </w:r>
      <w:r>
        <w:t>Alight</w:t>
      </w:r>
      <w:r w:rsidRPr="00941AED">
        <w:t xml:space="preserve">.  In the case of a conflict or ambiguity, the more specific provisions of any such policy or standard of </w:t>
      </w:r>
      <w:r>
        <w:t>Alight</w:t>
      </w:r>
      <w:r w:rsidRPr="00941AED">
        <w:t xml:space="preserve"> shall take precedence over the more general provisions contained in </w:t>
      </w:r>
      <w:r>
        <w:t xml:space="preserve">Alight’s  Security </w:t>
      </w:r>
      <w:r w:rsidRPr="00941AED">
        <w:t>Policies and Standards.</w:t>
      </w:r>
    </w:p>
    <w:p w:rsidR="004A18EB" w:rsidRPr="002311A6" w:rsidRDefault="004A18EB" w:rsidP="004A18EB">
      <w:pPr>
        <w:pStyle w:val="Heading2"/>
      </w:pPr>
      <w:r w:rsidRPr="002311A6">
        <w:t>Exceptions</w:t>
      </w:r>
      <w:bookmarkEnd w:id="21"/>
      <w:bookmarkEnd w:id="22"/>
      <w:bookmarkEnd w:id="23"/>
    </w:p>
    <w:p w:rsidR="004A18EB" w:rsidRDefault="004A18EB" w:rsidP="004A18EB">
      <w:pPr>
        <w:pStyle w:val="NormalDS"/>
      </w:pPr>
      <w:r w:rsidRPr="00E561AE">
        <w:t xml:space="preserve">Exceptional circumstances occur from time to time.  In these situations, contact </w:t>
      </w:r>
      <w:r>
        <w:t>Alight</w:t>
      </w:r>
      <w:r w:rsidRPr="00E561AE">
        <w:t xml:space="preserve"> Global Security Services at </w:t>
      </w:r>
      <w:hyperlink r:id="rId9" w:history="1">
        <w:r w:rsidRPr="00E561AE">
          <w:rPr>
            <w:rStyle w:val="Hyperlink"/>
            <w:color w:val="auto"/>
            <w:u w:val="none"/>
          </w:rPr>
          <w:t>global.security.services@aon.com</w:t>
        </w:r>
      </w:hyperlink>
      <w:r w:rsidRPr="00E561AE">
        <w:t xml:space="preserve"> for further guidance.</w:t>
      </w:r>
      <w:r>
        <w:t xml:space="preserve">  </w:t>
      </w:r>
      <w:bookmarkStart w:id="24" w:name="_Toc289842765"/>
      <w:bookmarkStart w:id="25" w:name="_Toc296524977"/>
      <w:bookmarkStart w:id="26" w:name="_Toc318373182"/>
      <w:bookmarkEnd w:id="18"/>
      <w:bookmarkEnd w:id="19"/>
    </w:p>
    <w:p w:rsidR="004A18EB" w:rsidRPr="00E561AE" w:rsidRDefault="004A18EB" w:rsidP="004A18EB">
      <w:pPr>
        <w:pStyle w:val="Heading2"/>
      </w:pPr>
      <w:r w:rsidRPr="00E561AE">
        <w:t>Related Documents</w:t>
      </w:r>
      <w:bookmarkEnd w:id="24"/>
      <w:bookmarkEnd w:id="25"/>
      <w:bookmarkEnd w:id="26"/>
    </w:p>
    <w:p w:rsidR="004A18EB" w:rsidRDefault="004A18EB" w:rsidP="004A18EB">
      <w:pPr>
        <w:pStyle w:val="NormalDS"/>
        <w:numPr>
          <w:ilvl w:val="0"/>
          <w:numId w:val="14"/>
        </w:numPr>
      </w:pPr>
      <w:r w:rsidRPr="00E561AE">
        <w:t>Supplier Security Governance Policy</w:t>
      </w:r>
      <w:bookmarkStart w:id="27" w:name="_Toc158805972"/>
      <w:bookmarkStart w:id="28" w:name="_Toc289842767"/>
      <w:bookmarkStart w:id="29" w:name="_Toc296524978"/>
      <w:bookmarkStart w:id="30" w:name="_Toc318373183"/>
      <w:bookmarkEnd w:id="20"/>
    </w:p>
    <w:p w:rsidR="004A18EB" w:rsidRPr="00E561AE" w:rsidRDefault="004A18EB" w:rsidP="004A18EB">
      <w:pPr>
        <w:pStyle w:val="Heading2"/>
      </w:pPr>
      <w:r w:rsidRPr="00E561AE">
        <w:t>References &amp; Mandates</w:t>
      </w:r>
      <w:bookmarkEnd w:id="27"/>
      <w:bookmarkEnd w:id="28"/>
      <w:bookmarkEnd w:id="29"/>
      <w:bookmarkEnd w:id="30"/>
    </w:p>
    <w:p w:rsidR="004A18EB" w:rsidRPr="00E561AE" w:rsidRDefault="004A18EB" w:rsidP="004A18EB">
      <w:pPr>
        <w:pStyle w:val="NormalDS"/>
        <w:numPr>
          <w:ilvl w:val="0"/>
          <w:numId w:val="14"/>
        </w:numPr>
      </w:pPr>
      <w:r w:rsidRPr="00E561AE">
        <w:t>None</w:t>
      </w:r>
    </w:p>
    <w:p w:rsidR="004A18EB" w:rsidRPr="002311A6" w:rsidRDefault="004A18EB" w:rsidP="004A18EB">
      <w:pPr>
        <w:pStyle w:val="Heading1"/>
        <w:spacing w:before="0" w:after="240"/>
      </w:pPr>
      <w:bookmarkStart w:id="31" w:name="_Toc289842768"/>
      <w:r w:rsidRPr="002311A6">
        <w:lastRenderedPageBreak/>
        <w:t>Document Control Information</w:t>
      </w:r>
      <w:bookmarkEnd w:id="31"/>
    </w:p>
    <w:p w:rsidR="004A18EB" w:rsidRPr="00274338" w:rsidRDefault="004A18EB" w:rsidP="004A18EB">
      <w:pPr>
        <w:pStyle w:val="TableTitle"/>
      </w:pPr>
      <w:r>
        <w:t xml:space="preserve">Document Control Information </w:t>
      </w:r>
    </w:p>
    <w:tbl>
      <w:tblPr>
        <w:tblW w:w="4987" w:type="pct"/>
        <w:tblBorders>
          <w:insideH w:val="single" w:sz="4" w:space="0" w:color="000000" w:themeColor="text1"/>
        </w:tblBorders>
        <w:tblLayout w:type="fixed"/>
        <w:tblCellMar>
          <w:left w:w="115" w:type="dxa"/>
          <w:right w:w="115" w:type="dxa"/>
        </w:tblCellMar>
        <w:tblLook w:val="0000" w:firstRow="0" w:lastRow="0" w:firstColumn="0" w:lastColumn="0" w:noHBand="0" w:noVBand="0"/>
      </w:tblPr>
      <w:tblGrid>
        <w:gridCol w:w="3355"/>
        <w:gridCol w:w="6210"/>
      </w:tblGrid>
      <w:tr w:rsidR="004A18EB" w:rsidRPr="00274338" w:rsidTr="00C37B8C">
        <w:trPr>
          <w:cantSplit/>
        </w:trPr>
        <w:tc>
          <w:tcPr>
            <w:tcW w:w="3355" w:type="dxa"/>
            <w:tcBorders>
              <w:top w:val="nil"/>
              <w:bottom w:val="single" w:sz="12" w:space="0" w:color="808080" w:themeColor="background1" w:themeShade="80"/>
            </w:tcBorders>
            <w:shd w:val="clear" w:color="auto" w:fill="auto"/>
            <w:vAlign w:val="bottom"/>
          </w:tcPr>
          <w:p w:rsidR="004A18EB" w:rsidRPr="00274338" w:rsidRDefault="004A18EB" w:rsidP="00C37B8C">
            <w:pPr>
              <w:pStyle w:val="TableColumnHead"/>
            </w:pPr>
          </w:p>
        </w:tc>
        <w:tc>
          <w:tcPr>
            <w:tcW w:w="6210" w:type="dxa"/>
            <w:tcBorders>
              <w:top w:val="nil"/>
              <w:bottom w:val="single" w:sz="12" w:space="0" w:color="808080" w:themeColor="background1" w:themeShade="80"/>
            </w:tcBorders>
            <w:shd w:val="clear" w:color="auto" w:fill="auto"/>
            <w:vAlign w:val="bottom"/>
          </w:tcPr>
          <w:p w:rsidR="004A18EB" w:rsidRPr="00274338" w:rsidRDefault="004A18EB" w:rsidP="00C37B8C">
            <w:pPr>
              <w:pStyle w:val="TableColumnHead"/>
            </w:pPr>
          </w:p>
        </w:tc>
      </w:tr>
      <w:tr w:rsidR="004A18EB" w:rsidRPr="00274338" w:rsidTr="00C37B8C">
        <w:trPr>
          <w:cantSplit/>
          <w:trHeight w:val="483"/>
        </w:trPr>
        <w:tc>
          <w:tcPr>
            <w:tcW w:w="3355" w:type="dxa"/>
            <w:tcBorders>
              <w:top w:val="single" w:sz="12" w:space="0" w:color="808080" w:themeColor="background1" w:themeShade="80"/>
              <w:bottom w:val="single" w:sz="4" w:space="0" w:color="808080" w:themeColor="background1" w:themeShade="80"/>
            </w:tcBorders>
            <w:shd w:val="clear" w:color="auto" w:fill="auto"/>
          </w:tcPr>
          <w:p w:rsidR="004A18EB" w:rsidRPr="00274338" w:rsidRDefault="004A18EB" w:rsidP="00C37B8C">
            <w:pPr>
              <w:pStyle w:val="TableCopy"/>
            </w:pPr>
            <w:r>
              <w:t>Primary Contact</w:t>
            </w:r>
          </w:p>
        </w:tc>
        <w:tc>
          <w:tcPr>
            <w:tcW w:w="6210" w:type="dxa"/>
            <w:tcBorders>
              <w:top w:val="single" w:sz="12" w:space="0" w:color="808080" w:themeColor="background1" w:themeShade="80"/>
              <w:bottom w:val="single" w:sz="4" w:space="0" w:color="808080" w:themeColor="background1" w:themeShade="80"/>
            </w:tcBorders>
            <w:shd w:val="clear" w:color="auto" w:fill="auto"/>
          </w:tcPr>
          <w:p w:rsidR="004A18EB" w:rsidRPr="00274338" w:rsidRDefault="004A18EB" w:rsidP="00C37B8C">
            <w:pPr>
              <w:pStyle w:val="Bullet4Table"/>
              <w:numPr>
                <w:ilvl w:val="0"/>
                <w:numId w:val="0"/>
              </w:numPr>
            </w:pPr>
            <w:r>
              <w:t>Alight</w:t>
            </w:r>
            <w:r w:rsidRPr="009B6065">
              <w:t xml:space="preserve"> Global Security Services | </w:t>
            </w:r>
            <w:hyperlink r:id="rId10" w:history="1">
              <w:r w:rsidRPr="009B6065">
                <w:rPr>
                  <w:rStyle w:val="Hyperlink"/>
                  <w:color w:val="auto"/>
                  <w:u w:val="none"/>
                </w:rPr>
                <w:t>global.security.services@aon.com</w:t>
              </w:r>
            </w:hyperlink>
          </w:p>
        </w:tc>
      </w:tr>
      <w:tr w:rsidR="004A18EB" w:rsidRPr="00274338" w:rsidTr="00C37B8C">
        <w:trPr>
          <w:cantSplit/>
        </w:trPr>
        <w:tc>
          <w:tcPr>
            <w:tcW w:w="3355" w:type="dxa"/>
            <w:tcBorders>
              <w:top w:val="single" w:sz="4" w:space="0" w:color="808080" w:themeColor="background1" w:themeShade="80"/>
              <w:bottom w:val="single" w:sz="4" w:space="0" w:color="808080" w:themeColor="background1" w:themeShade="80"/>
            </w:tcBorders>
            <w:shd w:val="clear" w:color="auto" w:fill="auto"/>
          </w:tcPr>
          <w:p w:rsidR="004A18EB" w:rsidRPr="00274338" w:rsidRDefault="004A18EB" w:rsidP="00C37B8C">
            <w:pPr>
              <w:pStyle w:val="TableCopy"/>
            </w:pPr>
            <w:r>
              <w:t>Version Number</w:t>
            </w:r>
          </w:p>
        </w:tc>
        <w:tc>
          <w:tcPr>
            <w:tcW w:w="6210" w:type="dxa"/>
            <w:tcBorders>
              <w:top w:val="single" w:sz="4" w:space="0" w:color="808080" w:themeColor="background1" w:themeShade="80"/>
              <w:bottom w:val="single" w:sz="4" w:space="0" w:color="808080" w:themeColor="background1" w:themeShade="80"/>
            </w:tcBorders>
            <w:shd w:val="clear" w:color="auto" w:fill="auto"/>
          </w:tcPr>
          <w:p w:rsidR="004A18EB" w:rsidRPr="00274338" w:rsidRDefault="004A18EB" w:rsidP="00C37B8C">
            <w:pPr>
              <w:pStyle w:val="TableCopy"/>
            </w:pPr>
            <w:r>
              <w:t>1.5</w:t>
            </w:r>
          </w:p>
        </w:tc>
      </w:tr>
      <w:tr w:rsidR="004A18EB" w:rsidRPr="00274338" w:rsidTr="00C37B8C">
        <w:trPr>
          <w:cantSplit/>
        </w:trPr>
        <w:tc>
          <w:tcPr>
            <w:tcW w:w="3355" w:type="dxa"/>
            <w:tcBorders>
              <w:top w:val="single" w:sz="4" w:space="0" w:color="808080" w:themeColor="background1" w:themeShade="80"/>
              <w:bottom w:val="single" w:sz="4" w:space="0" w:color="808080" w:themeColor="background1" w:themeShade="80"/>
            </w:tcBorders>
            <w:shd w:val="clear" w:color="auto" w:fill="auto"/>
          </w:tcPr>
          <w:p w:rsidR="004A18EB" w:rsidRPr="00274338" w:rsidRDefault="004A18EB" w:rsidP="00C37B8C">
            <w:pPr>
              <w:pStyle w:val="TableCopy"/>
            </w:pPr>
            <w:r>
              <w:t>Owner</w:t>
            </w:r>
          </w:p>
        </w:tc>
        <w:tc>
          <w:tcPr>
            <w:tcW w:w="6210" w:type="dxa"/>
            <w:tcBorders>
              <w:top w:val="single" w:sz="4" w:space="0" w:color="808080" w:themeColor="background1" w:themeShade="80"/>
              <w:bottom w:val="single" w:sz="4" w:space="0" w:color="808080" w:themeColor="background1" w:themeShade="80"/>
            </w:tcBorders>
            <w:shd w:val="clear" w:color="auto" w:fill="auto"/>
          </w:tcPr>
          <w:p w:rsidR="004A18EB" w:rsidRPr="00274338" w:rsidRDefault="004A18EB" w:rsidP="00C37B8C">
            <w:pPr>
              <w:pStyle w:val="TableCopy"/>
            </w:pPr>
            <w:r>
              <w:t>Alight</w:t>
            </w:r>
            <w:r w:rsidRPr="009B6065">
              <w:t xml:space="preserve"> Global Security Services | </w:t>
            </w:r>
            <w:r>
              <w:t>Risk Controls and Assessments</w:t>
            </w:r>
          </w:p>
        </w:tc>
      </w:tr>
      <w:tr w:rsidR="004A18EB" w:rsidRPr="00274338" w:rsidTr="00C37B8C">
        <w:trPr>
          <w:cantSplit/>
        </w:trPr>
        <w:tc>
          <w:tcPr>
            <w:tcW w:w="3355" w:type="dxa"/>
            <w:tcBorders>
              <w:top w:val="single" w:sz="4" w:space="0" w:color="808080" w:themeColor="background1" w:themeShade="80"/>
              <w:bottom w:val="single" w:sz="4" w:space="0" w:color="808080" w:themeColor="background1" w:themeShade="80"/>
            </w:tcBorders>
            <w:shd w:val="clear" w:color="auto" w:fill="auto"/>
          </w:tcPr>
          <w:p w:rsidR="004A18EB" w:rsidRPr="00274338" w:rsidRDefault="004A18EB" w:rsidP="00C37B8C">
            <w:pPr>
              <w:pStyle w:val="TableCopy"/>
            </w:pPr>
            <w:r>
              <w:t>Author(s)</w:t>
            </w:r>
          </w:p>
        </w:tc>
        <w:tc>
          <w:tcPr>
            <w:tcW w:w="6210" w:type="dxa"/>
            <w:tcBorders>
              <w:top w:val="single" w:sz="4" w:space="0" w:color="808080" w:themeColor="background1" w:themeShade="80"/>
              <w:bottom w:val="single" w:sz="4" w:space="0" w:color="808080" w:themeColor="background1" w:themeShade="80"/>
            </w:tcBorders>
            <w:shd w:val="clear" w:color="auto" w:fill="auto"/>
          </w:tcPr>
          <w:p w:rsidR="004A18EB" w:rsidRPr="00274338" w:rsidRDefault="004A18EB" w:rsidP="00C37B8C">
            <w:pPr>
              <w:pStyle w:val="TableCopy"/>
            </w:pPr>
            <w:r>
              <w:t>Alight</w:t>
            </w:r>
            <w:r w:rsidRPr="009B6065">
              <w:t xml:space="preserve"> Global Security Services | </w:t>
            </w:r>
            <w:r>
              <w:t>Risk Controls and Assessments</w:t>
            </w:r>
          </w:p>
        </w:tc>
      </w:tr>
      <w:tr w:rsidR="004A18EB" w:rsidRPr="00274338" w:rsidTr="00C37B8C">
        <w:trPr>
          <w:cantSplit/>
        </w:trPr>
        <w:tc>
          <w:tcPr>
            <w:tcW w:w="3355" w:type="dxa"/>
            <w:tcBorders>
              <w:top w:val="single" w:sz="4" w:space="0" w:color="808080" w:themeColor="background1" w:themeShade="80"/>
              <w:bottom w:val="single" w:sz="4" w:space="0" w:color="808080" w:themeColor="background1" w:themeShade="80"/>
            </w:tcBorders>
            <w:shd w:val="clear" w:color="auto" w:fill="auto"/>
          </w:tcPr>
          <w:p w:rsidR="004A18EB" w:rsidRDefault="004A18EB" w:rsidP="00C37B8C">
            <w:pPr>
              <w:pStyle w:val="TableCopy"/>
            </w:pPr>
            <w:r>
              <w:t>Approved By</w:t>
            </w:r>
          </w:p>
        </w:tc>
        <w:tc>
          <w:tcPr>
            <w:tcW w:w="6210" w:type="dxa"/>
            <w:tcBorders>
              <w:top w:val="single" w:sz="4" w:space="0" w:color="808080" w:themeColor="background1" w:themeShade="80"/>
              <w:bottom w:val="single" w:sz="4" w:space="0" w:color="808080" w:themeColor="background1" w:themeShade="80"/>
            </w:tcBorders>
            <w:shd w:val="clear" w:color="auto" w:fill="auto"/>
          </w:tcPr>
          <w:p w:rsidR="004A18EB" w:rsidRDefault="004A18EB" w:rsidP="00C37B8C">
            <w:pPr>
              <w:pStyle w:val="TableCopy"/>
            </w:pPr>
            <w:r>
              <w:t>Jim Hartley</w:t>
            </w:r>
            <w:r w:rsidRPr="009B6065">
              <w:t xml:space="preserve">, Chief </w:t>
            </w:r>
            <w:r>
              <w:t xml:space="preserve">Information </w:t>
            </w:r>
            <w:r w:rsidRPr="009B6065">
              <w:t>Security Officer</w:t>
            </w:r>
          </w:p>
        </w:tc>
      </w:tr>
      <w:tr w:rsidR="004A18EB" w:rsidRPr="00274338" w:rsidTr="00C37B8C">
        <w:trPr>
          <w:cantSplit/>
        </w:trPr>
        <w:tc>
          <w:tcPr>
            <w:tcW w:w="3355" w:type="dxa"/>
            <w:tcBorders>
              <w:top w:val="single" w:sz="4" w:space="0" w:color="808080" w:themeColor="background1" w:themeShade="80"/>
              <w:bottom w:val="single" w:sz="4" w:space="0" w:color="808080" w:themeColor="background1" w:themeShade="80"/>
            </w:tcBorders>
            <w:shd w:val="clear" w:color="auto" w:fill="auto"/>
          </w:tcPr>
          <w:p w:rsidR="004A18EB" w:rsidRDefault="004A18EB" w:rsidP="00C37B8C">
            <w:pPr>
              <w:pStyle w:val="TableCopy"/>
            </w:pPr>
            <w:r>
              <w:t>Approval Date</w:t>
            </w:r>
          </w:p>
        </w:tc>
        <w:tc>
          <w:tcPr>
            <w:tcW w:w="6210" w:type="dxa"/>
            <w:tcBorders>
              <w:top w:val="single" w:sz="4" w:space="0" w:color="808080" w:themeColor="background1" w:themeShade="80"/>
              <w:bottom w:val="single" w:sz="4" w:space="0" w:color="808080" w:themeColor="background1" w:themeShade="80"/>
            </w:tcBorders>
            <w:shd w:val="clear" w:color="auto" w:fill="auto"/>
          </w:tcPr>
          <w:p w:rsidR="004A18EB" w:rsidRDefault="004A18EB" w:rsidP="00C37B8C">
            <w:pPr>
              <w:pStyle w:val="TableCopy"/>
            </w:pPr>
            <w:r>
              <w:t>May 1, 2017</w:t>
            </w:r>
          </w:p>
        </w:tc>
      </w:tr>
      <w:tr w:rsidR="004A18EB" w:rsidRPr="00274338" w:rsidTr="00C37B8C">
        <w:trPr>
          <w:cantSplit/>
        </w:trPr>
        <w:tc>
          <w:tcPr>
            <w:tcW w:w="3355" w:type="dxa"/>
            <w:tcBorders>
              <w:top w:val="single" w:sz="4" w:space="0" w:color="808080" w:themeColor="background1" w:themeShade="80"/>
              <w:bottom w:val="single" w:sz="4" w:space="0" w:color="808080" w:themeColor="background1" w:themeShade="80"/>
            </w:tcBorders>
            <w:shd w:val="clear" w:color="auto" w:fill="auto"/>
          </w:tcPr>
          <w:p w:rsidR="004A18EB" w:rsidRDefault="004A18EB" w:rsidP="00C37B8C">
            <w:pPr>
              <w:pStyle w:val="TableCopy"/>
            </w:pPr>
            <w:r>
              <w:t>Effective Date</w:t>
            </w:r>
          </w:p>
        </w:tc>
        <w:tc>
          <w:tcPr>
            <w:tcW w:w="6210" w:type="dxa"/>
            <w:tcBorders>
              <w:top w:val="single" w:sz="4" w:space="0" w:color="808080" w:themeColor="background1" w:themeShade="80"/>
              <w:bottom w:val="single" w:sz="4" w:space="0" w:color="808080" w:themeColor="background1" w:themeShade="80"/>
            </w:tcBorders>
            <w:shd w:val="clear" w:color="auto" w:fill="auto"/>
          </w:tcPr>
          <w:p w:rsidR="004A18EB" w:rsidRDefault="004A18EB" w:rsidP="00C37B8C">
            <w:pPr>
              <w:pStyle w:val="TableCopy"/>
            </w:pPr>
            <w:r>
              <w:t>May 1, 2017</w:t>
            </w:r>
          </w:p>
        </w:tc>
      </w:tr>
      <w:tr w:rsidR="004A18EB" w:rsidRPr="00274338" w:rsidTr="00C37B8C">
        <w:trPr>
          <w:cantSplit/>
        </w:trPr>
        <w:tc>
          <w:tcPr>
            <w:tcW w:w="3355" w:type="dxa"/>
            <w:tcBorders>
              <w:top w:val="single" w:sz="4" w:space="0" w:color="808080" w:themeColor="background1" w:themeShade="80"/>
              <w:bottom w:val="single" w:sz="4" w:space="0" w:color="808080" w:themeColor="background1" w:themeShade="80"/>
            </w:tcBorders>
            <w:shd w:val="clear" w:color="auto" w:fill="auto"/>
          </w:tcPr>
          <w:p w:rsidR="004A18EB" w:rsidRDefault="004A18EB" w:rsidP="00C37B8C">
            <w:pPr>
              <w:pStyle w:val="TableCopy"/>
            </w:pPr>
            <w:r>
              <w:t>Creation Date</w:t>
            </w:r>
          </w:p>
        </w:tc>
        <w:tc>
          <w:tcPr>
            <w:tcW w:w="6210" w:type="dxa"/>
            <w:tcBorders>
              <w:top w:val="single" w:sz="4" w:space="0" w:color="808080" w:themeColor="background1" w:themeShade="80"/>
              <w:bottom w:val="single" w:sz="4" w:space="0" w:color="808080" w:themeColor="background1" w:themeShade="80"/>
            </w:tcBorders>
            <w:shd w:val="clear" w:color="auto" w:fill="auto"/>
          </w:tcPr>
          <w:p w:rsidR="004A18EB" w:rsidRDefault="004A18EB" w:rsidP="00C37B8C">
            <w:pPr>
              <w:pStyle w:val="TableCopy"/>
            </w:pPr>
            <w:r>
              <w:t>May 2, 2011</w:t>
            </w:r>
          </w:p>
        </w:tc>
      </w:tr>
      <w:tr w:rsidR="004A18EB" w:rsidRPr="00274338" w:rsidTr="00C37B8C">
        <w:trPr>
          <w:cantSplit/>
        </w:trPr>
        <w:tc>
          <w:tcPr>
            <w:tcW w:w="3355" w:type="dxa"/>
            <w:tcBorders>
              <w:top w:val="single" w:sz="4" w:space="0" w:color="808080" w:themeColor="background1" w:themeShade="80"/>
              <w:bottom w:val="single" w:sz="4" w:space="0" w:color="808080" w:themeColor="background1" w:themeShade="80"/>
            </w:tcBorders>
            <w:shd w:val="clear" w:color="auto" w:fill="auto"/>
          </w:tcPr>
          <w:p w:rsidR="004A18EB" w:rsidRDefault="004A18EB" w:rsidP="00C37B8C">
            <w:pPr>
              <w:pStyle w:val="TableCopy"/>
            </w:pPr>
            <w:r>
              <w:t>Information Classification</w:t>
            </w:r>
          </w:p>
        </w:tc>
        <w:tc>
          <w:tcPr>
            <w:tcW w:w="6210" w:type="dxa"/>
            <w:tcBorders>
              <w:top w:val="single" w:sz="4" w:space="0" w:color="808080" w:themeColor="background1" w:themeShade="80"/>
              <w:bottom w:val="single" w:sz="4" w:space="0" w:color="808080" w:themeColor="background1" w:themeShade="80"/>
            </w:tcBorders>
            <w:shd w:val="clear" w:color="auto" w:fill="auto"/>
          </w:tcPr>
          <w:p w:rsidR="004A18EB" w:rsidRDefault="004A18EB" w:rsidP="00C37B8C">
            <w:pPr>
              <w:pStyle w:val="TableCopy"/>
            </w:pPr>
            <w:r w:rsidRPr="009B6065">
              <w:t>General Internal – Low Business Impact (Green)</w:t>
            </w:r>
          </w:p>
        </w:tc>
      </w:tr>
    </w:tbl>
    <w:p w:rsidR="004A18EB" w:rsidRDefault="004A18EB" w:rsidP="004A18EB"/>
    <w:p w:rsidR="004A18EB" w:rsidRPr="002311A6" w:rsidRDefault="004A18EB" w:rsidP="004A18EB">
      <w:pPr>
        <w:pStyle w:val="Heading1"/>
        <w:spacing w:after="240"/>
      </w:pPr>
      <w:r w:rsidRPr="002311A6">
        <w:lastRenderedPageBreak/>
        <w:t>Revision History</w:t>
      </w:r>
    </w:p>
    <w:p w:rsidR="004A18EB" w:rsidRPr="00274338" w:rsidRDefault="004A18EB" w:rsidP="004A18EB">
      <w:pPr>
        <w:pStyle w:val="TableTitle"/>
      </w:pPr>
      <w:r>
        <w:t>Revision History</w:t>
      </w:r>
    </w:p>
    <w:tbl>
      <w:tblPr>
        <w:tblW w:w="4175" w:type="pct"/>
        <w:tblBorders>
          <w:insideH w:val="single" w:sz="4" w:space="0" w:color="000000" w:themeColor="text1"/>
        </w:tblBorders>
        <w:tblLayout w:type="fixed"/>
        <w:tblCellMar>
          <w:left w:w="115" w:type="dxa"/>
          <w:right w:w="115" w:type="dxa"/>
        </w:tblCellMar>
        <w:tblLook w:val="0000" w:firstRow="0" w:lastRow="0" w:firstColumn="0" w:lastColumn="0" w:noHBand="0" w:noVBand="0"/>
      </w:tblPr>
      <w:tblGrid>
        <w:gridCol w:w="1646"/>
        <w:gridCol w:w="1441"/>
        <w:gridCol w:w="1979"/>
        <w:gridCol w:w="2942"/>
      </w:tblGrid>
      <w:tr w:rsidR="004A18EB" w:rsidRPr="00274338" w:rsidTr="00C37B8C">
        <w:trPr>
          <w:cantSplit/>
        </w:trPr>
        <w:tc>
          <w:tcPr>
            <w:tcW w:w="1646" w:type="dxa"/>
            <w:tcBorders>
              <w:top w:val="nil"/>
              <w:bottom w:val="single" w:sz="12" w:space="0" w:color="808080" w:themeColor="background1" w:themeShade="80"/>
            </w:tcBorders>
            <w:shd w:val="clear" w:color="auto" w:fill="auto"/>
            <w:vAlign w:val="bottom"/>
          </w:tcPr>
          <w:p w:rsidR="004A18EB" w:rsidRPr="00274338" w:rsidRDefault="004A18EB" w:rsidP="00C37B8C">
            <w:pPr>
              <w:pStyle w:val="TableColumnHead"/>
            </w:pPr>
            <w:r>
              <w:t>Revision Level</w:t>
            </w:r>
          </w:p>
        </w:tc>
        <w:tc>
          <w:tcPr>
            <w:tcW w:w="1441" w:type="dxa"/>
            <w:tcBorders>
              <w:top w:val="nil"/>
              <w:bottom w:val="single" w:sz="12" w:space="0" w:color="808080" w:themeColor="background1" w:themeShade="80"/>
            </w:tcBorders>
            <w:shd w:val="clear" w:color="auto" w:fill="auto"/>
            <w:vAlign w:val="bottom"/>
          </w:tcPr>
          <w:p w:rsidR="004A18EB" w:rsidRPr="00274338" w:rsidRDefault="004A18EB" w:rsidP="00C37B8C">
            <w:pPr>
              <w:pStyle w:val="TableColumnHead"/>
            </w:pPr>
            <w:r>
              <w:t>Date</w:t>
            </w:r>
          </w:p>
        </w:tc>
        <w:tc>
          <w:tcPr>
            <w:tcW w:w="1979" w:type="dxa"/>
            <w:tcBorders>
              <w:top w:val="nil"/>
              <w:bottom w:val="single" w:sz="12" w:space="0" w:color="808080" w:themeColor="background1" w:themeShade="80"/>
            </w:tcBorders>
            <w:shd w:val="clear" w:color="auto" w:fill="auto"/>
            <w:vAlign w:val="bottom"/>
          </w:tcPr>
          <w:p w:rsidR="004A18EB" w:rsidRPr="00274338" w:rsidRDefault="004A18EB" w:rsidP="00C37B8C">
            <w:pPr>
              <w:pStyle w:val="TableColumnHead"/>
            </w:pPr>
            <w:r>
              <w:t>Description</w:t>
            </w:r>
            <w:r w:rsidRPr="00274338">
              <w:t xml:space="preserve"> </w:t>
            </w:r>
          </w:p>
        </w:tc>
        <w:tc>
          <w:tcPr>
            <w:tcW w:w="2942" w:type="dxa"/>
            <w:tcBorders>
              <w:top w:val="nil"/>
              <w:bottom w:val="single" w:sz="12" w:space="0" w:color="808080" w:themeColor="background1" w:themeShade="80"/>
            </w:tcBorders>
          </w:tcPr>
          <w:p w:rsidR="004A18EB" w:rsidRDefault="004A18EB" w:rsidP="00C37B8C">
            <w:pPr>
              <w:pStyle w:val="TableColumnHead"/>
            </w:pPr>
            <w:r>
              <w:t>Change Summary</w:t>
            </w:r>
          </w:p>
        </w:tc>
      </w:tr>
      <w:tr w:rsidR="004A18EB" w:rsidRPr="00274338" w:rsidTr="00C37B8C">
        <w:trPr>
          <w:cantSplit/>
          <w:trHeight w:val="573"/>
        </w:trPr>
        <w:tc>
          <w:tcPr>
            <w:tcW w:w="1646" w:type="dxa"/>
            <w:tcBorders>
              <w:top w:val="single" w:sz="12" w:space="0" w:color="808080" w:themeColor="background1" w:themeShade="80"/>
              <w:bottom w:val="single" w:sz="4" w:space="0" w:color="808080" w:themeColor="background1" w:themeShade="80"/>
            </w:tcBorders>
            <w:shd w:val="clear" w:color="auto" w:fill="auto"/>
          </w:tcPr>
          <w:p w:rsidR="004A18EB" w:rsidRPr="00A92C1C" w:rsidRDefault="004A18EB" w:rsidP="00C37B8C">
            <w:pPr>
              <w:rPr>
                <w:sz w:val="18"/>
                <w:szCs w:val="18"/>
              </w:rPr>
            </w:pPr>
            <w:r w:rsidRPr="00A92C1C">
              <w:rPr>
                <w:sz w:val="18"/>
                <w:szCs w:val="18"/>
              </w:rPr>
              <w:t>1.0</w:t>
            </w:r>
          </w:p>
        </w:tc>
        <w:tc>
          <w:tcPr>
            <w:tcW w:w="1441" w:type="dxa"/>
            <w:tcBorders>
              <w:top w:val="single" w:sz="12" w:space="0" w:color="808080" w:themeColor="background1" w:themeShade="80"/>
              <w:bottom w:val="single" w:sz="4" w:space="0" w:color="808080" w:themeColor="background1" w:themeShade="80"/>
            </w:tcBorders>
            <w:shd w:val="clear" w:color="auto" w:fill="auto"/>
          </w:tcPr>
          <w:p w:rsidR="004A18EB" w:rsidRPr="00A92C1C" w:rsidRDefault="004A18EB" w:rsidP="00C37B8C">
            <w:pPr>
              <w:rPr>
                <w:sz w:val="18"/>
                <w:szCs w:val="18"/>
              </w:rPr>
            </w:pPr>
            <w:r w:rsidRPr="00A92C1C">
              <w:rPr>
                <w:sz w:val="18"/>
                <w:szCs w:val="18"/>
              </w:rPr>
              <w:t>2012 March</w:t>
            </w:r>
          </w:p>
        </w:tc>
        <w:tc>
          <w:tcPr>
            <w:tcW w:w="1979" w:type="dxa"/>
            <w:tcBorders>
              <w:top w:val="single" w:sz="12" w:space="0" w:color="808080" w:themeColor="background1" w:themeShade="80"/>
              <w:bottom w:val="single" w:sz="4" w:space="0" w:color="808080" w:themeColor="background1" w:themeShade="80"/>
            </w:tcBorders>
            <w:shd w:val="clear" w:color="auto" w:fill="auto"/>
          </w:tcPr>
          <w:p w:rsidR="004A18EB" w:rsidRPr="00A92C1C" w:rsidRDefault="004A18EB" w:rsidP="00C37B8C">
            <w:pPr>
              <w:rPr>
                <w:sz w:val="18"/>
                <w:szCs w:val="18"/>
              </w:rPr>
            </w:pPr>
            <w:r w:rsidRPr="00A92C1C">
              <w:rPr>
                <w:sz w:val="18"/>
                <w:szCs w:val="18"/>
              </w:rPr>
              <w:t>Original</w:t>
            </w:r>
          </w:p>
        </w:tc>
        <w:tc>
          <w:tcPr>
            <w:tcW w:w="2942" w:type="dxa"/>
            <w:tcBorders>
              <w:top w:val="single" w:sz="12" w:space="0" w:color="808080" w:themeColor="background1" w:themeShade="80"/>
              <w:bottom w:val="single" w:sz="4" w:space="0" w:color="808080" w:themeColor="background1" w:themeShade="80"/>
            </w:tcBorders>
          </w:tcPr>
          <w:p w:rsidR="004A18EB" w:rsidRPr="009960D6" w:rsidRDefault="004A18EB" w:rsidP="00C37B8C">
            <w:pPr>
              <w:pStyle w:val="NormalDS"/>
              <w:rPr>
                <w:sz w:val="18"/>
                <w:szCs w:val="18"/>
              </w:rPr>
            </w:pPr>
            <w:r w:rsidRPr="009960D6">
              <w:rPr>
                <w:rFonts w:cs="Arial"/>
                <w:color w:val="000000"/>
                <w:sz w:val="18"/>
                <w:szCs w:val="18"/>
              </w:rPr>
              <w:t>Restructured policy due to Aon Hewitt acquisition</w:t>
            </w:r>
          </w:p>
        </w:tc>
      </w:tr>
      <w:tr w:rsidR="004A18EB" w:rsidRPr="00274338" w:rsidTr="00C37B8C">
        <w:trPr>
          <w:cantSplit/>
        </w:trPr>
        <w:tc>
          <w:tcPr>
            <w:tcW w:w="1646" w:type="dxa"/>
            <w:tcBorders>
              <w:top w:val="single" w:sz="4" w:space="0" w:color="808080" w:themeColor="background1" w:themeShade="80"/>
              <w:bottom w:val="single" w:sz="4" w:space="0" w:color="808080" w:themeColor="background1" w:themeShade="80"/>
            </w:tcBorders>
            <w:shd w:val="clear" w:color="auto" w:fill="auto"/>
          </w:tcPr>
          <w:p w:rsidR="004A18EB" w:rsidRPr="00A92C1C" w:rsidRDefault="004A18EB" w:rsidP="00C37B8C">
            <w:pPr>
              <w:rPr>
                <w:sz w:val="18"/>
                <w:szCs w:val="18"/>
              </w:rPr>
            </w:pPr>
            <w:r w:rsidRPr="00A92C1C">
              <w:rPr>
                <w:sz w:val="18"/>
                <w:szCs w:val="18"/>
              </w:rPr>
              <w:t>1.1</w:t>
            </w:r>
          </w:p>
        </w:tc>
        <w:tc>
          <w:tcPr>
            <w:tcW w:w="1441" w:type="dxa"/>
            <w:tcBorders>
              <w:top w:val="single" w:sz="4" w:space="0" w:color="808080" w:themeColor="background1" w:themeShade="80"/>
              <w:bottom w:val="single" w:sz="4" w:space="0" w:color="808080" w:themeColor="background1" w:themeShade="80"/>
            </w:tcBorders>
            <w:shd w:val="clear" w:color="auto" w:fill="auto"/>
          </w:tcPr>
          <w:p w:rsidR="004A18EB" w:rsidRPr="00A92C1C" w:rsidRDefault="004A18EB" w:rsidP="00C37B8C">
            <w:pPr>
              <w:rPr>
                <w:sz w:val="18"/>
                <w:szCs w:val="18"/>
              </w:rPr>
            </w:pPr>
            <w:r>
              <w:rPr>
                <w:sz w:val="18"/>
                <w:szCs w:val="18"/>
              </w:rPr>
              <w:t>2013 June</w:t>
            </w:r>
          </w:p>
        </w:tc>
        <w:tc>
          <w:tcPr>
            <w:tcW w:w="1979" w:type="dxa"/>
            <w:tcBorders>
              <w:top w:val="single" w:sz="4" w:space="0" w:color="808080" w:themeColor="background1" w:themeShade="80"/>
              <w:bottom w:val="single" w:sz="4" w:space="0" w:color="808080" w:themeColor="background1" w:themeShade="80"/>
            </w:tcBorders>
            <w:shd w:val="clear" w:color="auto" w:fill="auto"/>
          </w:tcPr>
          <w:p w:rsidR="004A18EB" w:rsidRPr="00A92C1C" w:rsidRDefault="004A18EB" w:rsidP="00C37B8C">
            <w:pPr>
              <w:rPr>
                <w:sz w:val="18"/>
                <w:szCs w:val="18"/>
              </w:rPr>
            </w:pPr>
            <w:r w:rsidRPr="00A92C1C">
              <w:rPr>
                <w:sz w:val="18"/>
                <w:szCs w:val="18"/>
              </w:rPr>
              <w:t>2013 Annual Review</w:t>
            </w:r>
          </w:p>
        </w:tc>
        <w:tc>
          <w:tcPr>
            <w:tcW w:w="2942" w:type="dxa"/>
            <w:tcBorders>
              <w:top w:val="single" w:sz="4" w:space="0" w:color="808080" w:themeColor="background1" w:themeShade="80"/>
              <w:bottom w:val="single" w:sz="4" w:space="0" w:color="808080" w:themeColor="background1" w:themeShade="80"/>
            </w:tcBorders>
          </w:tcPr>
          <w:p w:rsidR="004A18EB" w:rsidRPr="009960D6" w:rsidRDefault="004A18EB" w:rsidP="00C37B8C">
            <w:pPr>
              <w:pStyle w:val="NormalDS"/>
              <w:rPr>
                <w:sz w:val="18"/>
                <w:szCs w:val="18"/>
              </w:rPr>
            </w:pPr>
            <w:r w:rsidRPr="009960D6">
              <w:rPr>
                <w:rFonts w:cs="Arial"/>
                <w:color w:val="000000"/>
                <w:sz w:val="18"/>
                <w:szCs w:val="18"/>
              </w:rPr>
              <w:t>Reviewed and validated</w:t>
            </w:r>
          </w:p>
        </w:tc>
      </w:tr>
      <w:tr w:rsidR="004A18EB" w:rsidRPr="00274338" w:rsidTr="00C37B8C">
        <w:trPr>
          <w:cantSplit/>
        </w:trPr>
        <w:tc>
          <w:tcPr>
            <w:tcW w:w="1646" w:type="dxa"/>
            <w:tcBorders>
              <w:top w:val="single" w:sz="4" w:space="0" w:color="808080" w:themeColor="background1" w:themeShade="80"/>
              <w:bottom w:val="single" w:sz="4" w:space="0" w:color="808080" w:themeColor="background1" w:themeShade="80"/>
            </w:tcBorders>
            <w:shd w:val="clear" w:color="auto" w:fill="auto"/>
          </w:tcPr>
          <w:p w:rsidR="004A18EB" w:rsidRPr="00A92C1C" w:rsidRDefault="004A18EB" w:rsidP="00C37B8C">
            <w:pPr>
              <w:rPr>
                <w:sz w:val="18"/>
                <w:szCs w:val="18"/>
              </w:rPr>
            </w:pPr>
            <w:r w:rsidRPr="00A92C1C">
              <w:rPr>
                <w:sz w:val="18"/>
                <w:szCs w:val="18"/>
              </w:rPr>
              <w:t>1.2</w:t>
            </w:r>
          </w:p>
        </w:tc>
        <w:tc>
          <w:tcPr>
            <w:tcW w:w="1441" w:type="dxa"/>
            <w:tcBorders>
              <w:top w:val="single" w:sz="4" w:space="0" w:color="808080" w:themeColor="background1" w:themeShade="80"/>
              <w:bottom w:val="single" w:sz="4" w:space="0" w:color="808080" w:themeColor="background1" w:themeShade="80"/>
            </w:tcBorders>
            <w:shd w:val="clear" w:color="auto" w:fill="auto"/>
          </w:tcPr>
          <w:p w:rsidR="004A18EB" w:rsidRPr="00A92C1C" w:rsidRDefault="004A18EB" w:rsidP="00C37B8C">
            <w:pPr>
              <w:rPr>
                <w:sz w:val="18"/>
                <w:szCs w:val="18"/>
              </w:rPr>
            </w:pPr>
            <w:r>
              <w:rPr>
                <w:sz w:val="18"/>
                <w:szCs w:val="18"/>
              </w:rPr>
              <w:t>2014 June</w:t>
            </w:r>
          </w:p>
        </w:tc>
        <w:tc>
          <w:tcPr>
            <w:tcW w:w="1979" w:type="dxa"/>
            <w:tcBorders>
              <w:top w:val="single" w:sz="4" w:space="0" w:color="808080" w:themeColor="background1" w:themeShade="80"/>
              <w:bottom w:val="single" w:sz="4" w:space="0" w:color="808080" w:themeColor="background1" w:themeShade="80"/>
            </w:tcBorders>
            <w:shd w:val="clear" w:color="auto" w:fill="auto"/>
          </w:tcPr>
          <w:p w:rsidR="004A18EB" w:rsidRPr="00A92C1C" w:rsidRDefault="004A18EB" w:rsidP="00C37B8C">
            <w:pPr>
              <w:rPr>
                <w:sz w:val="18"/>
                <w:szCs w:val="18"/>
              </w:rPr>
            </w:pPr>
            <w:r w:rsidRPr="00A92C1C">
              <w:rPr>
                <w:sz w:val="18"/>
                <w:szCs w:val="18"/>
              </w:rPr>
              <w:t>2014 Annual Review</w:t>
            </w:r>
          </w:p>
        </w:tc>
        <w:tc>
          <w:tcPr>
            <w:tcW w:w="2942" w:type="dxa"/>
            <w:tcBorders>
              <w:top w:val="single" w:sz="4" w:space="0" w:color="808080" w:themeColor="background1" w:themeShade="80"/>
              <w:bottom w:val="single" w:sz="4" w:space="0" w:color="808080" w:themeColor="background1" w:themeShade="80"/>
            </w:tcBorders>
          </w:tcPr>
          <w:p w:rsidR="004A18EB" w:rsidRPr="009960D6" w:rsidRDefault="004A18EB" w:rsidP="00C37B8C">
            <w:pPr>
              <w:pStyle w:val="NormalDS"/>
              <w:rPr>
                <w:rFonts w:cs="Arial"/>
                <w:color w:val="000000"/>
                <w:sz w:val="18"/>
                <w:szCs w:val="18"/>
              </w:rPr>
            </w:pPr>
            <w:r w:rsidRPr="009960D6">
              <w:rPr>
                <w:rFonts w:cs="Arial"/>
                <w:color w:val="000000"/>
                <w:sz w:val="18"/>
                <w:szCs w:val="18"/>
              </w:rPr>
              <w:t>Reviewed and validated</w:t>
            </w:r>
          </w:p>
        </w:tc>
      </w:tr>
      <w:tr w:rsidR="004A18EB" w:rsidRPr="00274338" w:rsidTr="00C37B8C">
        <w:trPr>
          <w:cantSplit/>
        </w:trPr>
        <w:tc>
          <w:tcPr>
            <w:tcW w:w="1646" w:type="dxa"/>
            <w:tcBorders>
              <w:top w:val="single" w:sz="4" w:space="0" w:color="808080" w:themeColor="background1" w:themeShade="80"/>
              <w:bottom w:val="single" w:sz="4" w:space="0" w:color="808080" w:themeColor="background1" w:themeShade="80"/>
            </w:tcBorders>
            <w:shd w:val="clear" w:color="auto" w:fill="auto"/>
          </w:tcPr>
          <w:p w:rsidR="004A18EB" w:rsidRPr="00A92C1C" w:rsidRDefault="004A18EB" w:rsidP="00C37B8C">
            <w:pPr>
              <w:rPr>
                <w:sz w:val="18"/>
                <w:szCs w:val="18"/>
              </w:rPr>
            </w:pPr>
            <w:r w:rsidRPr="00A92C1C">
              <w:rPr>
                <w:sz w:val="18"/>
                <w:szCs w:val="18"/>
              </w:rPr>
              <w:t>1.3</w:t>
            </w:r>
          </w:p>
        </w:tc>
        <w:tc>
          <w:tcPr>
            <w:tcW w:w="1441" w:type="dxa"/>
            <w:tcBorders>
              <w:top w:val="single" w:sz="4" w:space="0" w:color="808080" w:themeColor="background1" w:themeShade="80"/>
              <w:bottom w:val="single" w:sz="4" w:space="0" w:color="808080" w:themeColor="background1" w:themeShade="80"/>
            </w:tcBorders>
            <w:shd w:val="clear" w:color="auto" w:fill="auto"/>
          </w:tcPr>
          <w:p w:rsidR="004A18EB" w:rsidRPr="00A92C1C" w:rsidRDefault="004A18EB" w:rsidP="00C37B8C">
            <w:pPr>
              <w:rPr>
                <w:sz w:val="18"/>
                <w:szCs w:val="18"/>
              </w:rPr>
            </w:pPr>
            <w:r>
              <w:rPr>
                <w:sz w:val="18"/>
                <w:szCs w:val="18"/>
              </w:rPr>
              <w:t>2015 June</w:t>
            </w:r>
          </w:p>
        </w:tc>
        <w:tc>
          <w:tcPr>
            <w:tcW w:w="1979" w:type="dxa"/>
            <w:tcBorders>
              <w:top w:val="single" w:sz="4" w:space="0" w:color="808080" w:themeColor="background1" w:themeShade="80"/>
              <w:bottom w:val="single" w:sz="4" w:space="0" w:color="808080" w:themeColor="background1" w:themeShade="80"/>
            </w:tcBorders>
            <w:shd w:val="clear" w:color="auto" w:fill="auto"/>
          </w:tcPr>
          <w:p w:rsidR="004A18EB" w:rsidRPr="00A92C1C" w:rsidRDefault="004A18EB" w:rsidP="00C37B8C">
            <w:pPr>
              <w:rPr>
                <w:sz w:val="18"/>
                <w:szCs w:val="18"/>
              </w:rPr>
            </w:pPr>
            <w:r w:rsidRPr="00A92C1C">
              <w:rPr>
                <w:sz w:val="18"/>
                <w:szCs w:val="18"/>
              </w:rPr>
              <w:t>2015 Annual Review</w:t>
            </w:r>
          </w:p>
        </w:tc>
        <w:tc>
          <w:tcPr>
            <w:tcW w:w="2942" w:type="dxa"/>
            <w:tcBorders>
              <w:top w:val="single" w:sz="4" w:space="0" w:color="808080" w:themeColor="background1" w:themeShade="80"/>
              <w:bottom w:val="single" w:sz="4" w:space="0" w:color="808080" w:themeColor="background1" w:themeShade="80"/>
            </w:tcBorders>
          </w:tcPr>
          <w:p w:rsidR="004A18EB" w:rsidRPr="009960D6" w:rsidRDefault="004A18EB" w:rsidP="00C37B8C">
            <w:pPr>
              <w:pStyle w:val="NormalDS"/>
              <w:rPr>
                <w:rFonts w:cs="Arial"/>
                <w:color w:val="000000"/>
                <w:sz w:val="18"/>
                <w:szCs w:val="18"/>
              </w:rPr>
            </w:pPr>
            <w:r w:rsidRPr="009960D6">
              <w:rPr>
                <w:rFonts w:cs="Arial"/>
                <w:color w:val="000000"/>
                <w:sz w:val="18"/>
                <w:szCs w:val="18"/>
              </w:rPr>
              <w:t>Reviewed and validated</w:t>
            </w:r>
          </w:p>
        </w:tc>
      </w:tr>
      <w:tr w:rsidR="004A18EB" w:rsidRPr="009960D6" w:rsidTr="00C37B8C">
        <w:trPr>
          <w:cantSplit/>
        </w:trPr>
        <w:tc>
          <w:tcPr>
            <w:tcW w:w="1646" w:type="dxa"/>
            <w:tcBorders>
              <w:top w:val="single" w:sz="4" w:space="0" w:color="808080" w:themeColor="background1" w:themeShade="80"/>
              <w:bottom w:val="single" w:sz="4" w:space="0" w:color="808080" w:themeColor="background1" w:themeShade="80"/>
            </w:tcBorders>
            <w:shd w:val="clear" w:color="auto" w:fill="auto"/>
          </w:tcPr>
          <w:p w:rsidR="004A18EB" w:rsidRPr="00A92C1C" w:rsidRDefault="004A18EB" w:rsidP="00C37B8C">
            <w:pPr>
              <w:rPr>
                <w:sz w:val="18"/>
                <w:szCs w:val="18"/>
              </w:rPr>
            </w:pPr>
            <w:r w:rsidRPr="00A92C1C">
              <w:rPr>
                <w:sz w:val="18"/>
                <w:szCs w:val="18"/>
              </w:rPr>
              <w:t>1.4</w:t>
            </w:r>
          </w:p>
        </w:tc>
        <w:tc>
          <w:tcPr>
            <w:tcW w:w="1441" w:type="dxa"/>
            <w:tcBorders>
              <w:top w:val="single" w:sz="4" w:space="0" w:color="808080" w:themeColor="background1" w:themeShade="80"/>
              <w:bottom w:val="single" w:sz="4" w:space="0" w:color="808080" w:themeColor="background1" w:themeShade="80"/>
            </w:tcBorders>
            <w:shd w:val="clear" w:color="auto" w:fill="auto"/>
          </w:tcPr>
          <w:p w:rsidR="004A18EB" w:rsidRPr="00A92C1C" w:rsidRDefault="004A18EB" w:rsidP="00C37B8C">
            <w:pPr>
              <w:rPr>
                <w:sz w:val="18"/>
                <w:szCs w:val="18"/>
              </w:rPr>
            </w:pPr>
            <w:r>
              <w:rPr>
                <w:sz w:val="18"/>
                <w:szCs w:val="18"/>
              </w:rPr>
              <w:t>2016 July</w:t>
            </w:r>
          </w:p>
        </w:tc>
        <w:tc>
          <w:tcPr>
            <w:tcW w:w="1979" w:type="dxa"/>
            <w:tcBorders>
              <w:top w:val="single" w:sz="4" w:space="0" w:color="808080" w:themeColor="background1" w:themeShade="80"/>
              <w:bottom w:val="single" w:sz="4" w:space="0" w:color="808080" w:themeColor="background1" w:themeShade="80"/>
            </w:tcBorders>
            <w:shd w:val="clear" w:color="auto" w:fill="auto"/>
          </w:tcPr>
          <w:p w:rsidR="004A18EB" w:rsidRPr="00A92C1C" w:rsidRDefault="004A18EB" w:rsidP="00C37B8C">
            <w:pPr>
              <w:rPr>
                <w:sz w:val="18"/>
                <w:szCs w:val="18"/>
              </w:rPr>
            </w:pPr>
            <w:r w:rsidRPr="00A92C1C">
              <w:rPr>
                <w:sz w:val="18"/>
                <w:szCs w:val="18"/>
              </w:rPr>
              <w:t>2016 Annual Review</w:t>
            </w:r>
          </w:p>
        </w:tc>
        <w:tc>
          <w:tcPr>
            <w:tcW w:w="2942" w:type="dxa"/>
            <w:tcBorders>
              <w:top w:val="single" w:sz="4" w:space="0" w:color="808080" w:themeColor="background1" w:themeShade="80"/>
              <w:bottom w:val="single" w:sz="4" w:space="0" w:color="808080" w:themeColor="background1" w:themeShade="80"/>
            </w:tcBorders>
          </w:tcPr>
          <w:p w:rsidR="004A18EB" w:rsidRPr="009960D6" w:rsidRDefault="004A18EB" w:rsidP="00C37B8C">
            <w:pPr>
              <w:pStyle w:val="NormalDS"/>
              <w:rPr>
                <w:rFonts w:cs="Arial"/>
                <w:color w:val="000000"/>
                <w:sz w:val="18"/>
                <w:szCs w:val="18"/>
              </w:rPr>
            </w:pPr>
            <w:r w:rsidRPr="00F1006F">
              <w:rPr>
                <w:rFonts w:asciiTheme="minorHAnsi" w:hAnsiTheme="minorHAnsi" w:cs="Arial"/>
                <w:color w:val="000000"/>
                <w:sz w:val="18"/>
                <w:szCs w:val="18"/>
              </w:rPr>
              <w:t>Clarified wording, replaced all instances of Security Risk Management (SRM) with Global Security Services (GSS) to reflect new organization name and replaced all instances of Security Assessment Services (SAS) with Global Risk Assessments (GRA)</w:t>
            </w:r>
          </w:p>
        </w:tc>
      </w:tr>
      <w:tr w:rsidR="004A18EB" w:rsidRPr="00274338" w:rsidTr="00C37B8C">
        <w:trPr>
          <w:cantSplit/>
        </w:trPr>
        <w:tc>
          <w:tcPr>
            <w:tcW w:w="1646" w:type="dxa"/>
            <w:tcBorders>
              <w:top w:val="single" w:sz="4" w:space="0" w:color="808080" w:themeColor="background1" w:themeShade="80"/>
              <w:bottom w:val="single" w:sz="4" w:space="0" w:color="808080" w:themeColor="background1" w:themeShade="80"/>
            </w:tcBorders>
            <w:shd w:val="clear" w:color="auto" w:fill="auto"/>
          </w:tcPr>
          <w:p w:rsidR="004A18EB" w:rsidRPr="00A92C1C" w:rsidRDefault="004A18EB" w:rsidP="00C37B8C">
            <w:pPr>
              <w:rPr>
                <w:sz w:val="18"/>
                <w:szCs w:val="18"/>
              </w:rPr>
            </w:pPr>
            <w:r w:rsidRPr="00A92C1C">
              <w:rPr>
                <w:sz w:val="18"/>
                <w:szCs w:val="18"/>
              </w:rPr>
              <w:t>1.5</w:t>
            </w:r>
          </w:p>
        </w:tc>
        <w:tc>
          <w:tcPr>
            <w:tcW w:w="1441" w:type="dxa"/>
            <w:tcBorders>
              <w:top w:val="single" w:sz="4" w:space="0" w:color="808080" w:themeColor="background1" w:themeShade="80"/>
              <w:bottom w:val="single" w:sz="4" w:space="0" w:color="808080" w:themeColor="background1" w:themeShade="80"/>
            </w:tcBorders>
            <w:shd w:val="clear" w:color="auto" w:fill="auto"/>
          </w:tcPr>
          <w:p w:rsidR="004A18EB" w:rsidRPr="00A92C1C" w:rsidRDefault="004A18EB" w:rsidP="00C37B8C">
            <w:pPr>
              <w:rPr>
                <w:sz w:val="18"/>
                <w:szCs w:val="18"/>
              </w:rPr>
            </w:pPr>
            <w:r w:rsidRPr="00A92C1C">
              <w:rPr>
                <w:sz w:val="18"/>
                <w:szCs w:val="18"/>
              </w:rPr>
              <w:t>2017 May</w:t>
            </w:r>
          </w:p>
        </w:tc>
        <w:tc>
          <w:tcPr>
            <w:tcW w:w="1979" w:type="dxa"/>
            <w:tcBorders>
              <w:top w:val="single" w:sz="4" w:space="0" w:color="808080" w:themeColor="background1" w:themeShade="80"/>
              <w:bottom w:val="single" w:sz="4" w:space="0" w:color="808080" w:themeColor="background1" w:themeShade="80"/>
            </w:tcBorders>
            <w:shd w:val="clear" w:color="auto" w:fill="auto"/>
          </w:tcPr>
          <w:p w:rsidR="004A18EB" w:rsidRPr="00A92C1C" w:rsidRDefault="004A18EB" w:rsidP="00C37B8C">
            <w:pPr>
              <w:rPr>
                <w:sz w:val="18"/>
                <w:szCs w:val="18"/>
              </w:rPr>
            </w:pPr>
            <w:r w:rsidRPr="00A92C1C">
              <w:rPr>
                <w:sz w:val="18"/>
                <w:szCs w:val="18"/>
              </w:rPr>
              <w:t>2017 Rebranding</w:t>
            </w:r>
          </w:p>
        </w:tc>
        <w:tc>
          <w:tcPr>
            <w:tcW w:w="2942" w:type="dxa"/>
            <w:tcBorders>
              <w:top w:val="single" w:sz="4" w:space="0" w:color="808080" w:themeColor="background1" w:themeShade="80"/>
              <w:bottom w:val="single" w:sz="4" w:space="0" w:color="808080" w:themeColor="background1" w:themeShade="80"/>
            </w:tcBorders>
          </w:tcPr>
          <w:p w:rsidR="004A18EB" w:rsidRPr="009960D6" w:rsidRDefault="004A18EB" w:rsidP="00C37B8C">
            <w:pPr>
              <w:pStyle w:val="NormalDS"/>
              <w:rPr>
                <w:sz w:val="18"/>
                <w:szCs w:val="18"/>
              </w:rPr>
            </w:pPr>
            <w:r w:rsidRPr="009960D6">
              <w:rPr>
                <w:sz w:val="18"/>
                <w:szCs w:val="18"/>
              </w:rPr>
              <w:t>Rebranded policy due to Aon Hewitt divestiture</w:t>
            </w:r>
          </w:p>
        </w:tc>
      </w:tr>
      <w:tr w:rsidR="004A18EB" w:rsidRPr="00274338" w:rsidTr="00C37B8C">
        <w:trPr>
          <w:cantSplit/>
        </w:trPr>
        <w:tc>
          <w:tcPr>
            <w:tcW w:w="1646" w:type="dxa"/>
            <w:tcBorders>
              <w:top w:val="single" w:sz="4" w:space="0" w:color="808080" w:themeColor="background1" w:themeShade="80"/>
              <w:bottom w:val="nil"/>
            </w:tcBorders>
            <w:shd w:val="clear" w:color="auto" w:fill="auto"/>
          </w:tcPr>
          <w:p w:rsidR="004A18EB" w:rsidRDefault="004A18EB" w:rsidP="00C37B8C">
            <w:pPr>
              <w:pStyle w:val="TableCopy"/>
            </w:pPr>
          </w:p>
        </w:tc>
        <w:tc>
          <w:tcPr>
            <w:tcW w:w="1441" w:type="dxa"/>
            <w:tcBorders>
              <w:top w:val="single" w:sz="4" w:space="0" w:color="808080" w:themeColor="background1" w:themeShade="80"/>
              <w:bottom w:val="nil"/>
            </w:tcBorders>
            <w:shd w:val="clear" w:color="auto" w:fill="auto"/>
          </w:tcPr>
          <w:p w:rsidR="004A18EB" w:rsidRPr="009B6065" w:rsidRDefault="004A18EB" w:rsidP="00C37B8C">
            <w:pPr>
              <w:pStyle w:val="NormalDS"/>
            </w:pPr>
          </w:p>
        </w:tc>
        <w:tc>
          <w:tcPr>
            <w:tcW w:w="1979" w:type="dxa"/>
            <w:tcBorders>
              <w:top w:val="single" w:sz="4" w:space="0" w:color="808080" w:themeColor="background1" w:themeShade="80"/>
              <w:bottom w:val="nil"/>
            </w:tcBorders>
            <w:shd w:val="clear" w:color="auto" w:fill="auto"/>
          </w:tcPr>
          <w:p w:rsidR="004A18EB" w:rsidRPr="00274338" w:rsidRDefault="004A18EB" w:rsidP="00C37B8C">
            <w:pPr>
              <w:pStyle w:val="TableCopy"/>
            </w:pPr>
          </w:p>
        </w:tc>
        <w:tc>
          <w:tcPr>
            <w:tcW w:w="2942" w:type="dxa"/>
            <w:tcBorders>
              <w:top w:val="single" w:sz="4" w:space="0" w:color="808080" w:themeColor="background1" w:themeShade="80"/>
              <w:bottom w:val="nil"/>
            </w:tcBorders>
          </w:tcPr>
          <w:p w:rsidR="004A18EB" w:rsidRPr="00274338" w:rsidRDefault="004A18EB" w:rsidP="00C37B8C">
            <w:pPr>
              <w:pStyle w:val="TableCopy"/>
            </w:pPr>
          </w:p>
        </w:tc>
      </w:tr>
      <w:bookmarkEnd w:id="0"/>
      <w:bookmarkEnd w:id="1"/>
      <w:bookmarkEnd w:id="2"/>
      <w:bookmarkEnd w:id="3"/>
      <w:bookmarkEnd w:id="4"/>
      <w:bookmarkEnd w:id="5"/>
      <w:bookmarkEnd w:id="6"/>
      <w:bookmarkEnd w:id="7"/>
      <w:bookmarkEnd w:id="8"/>
      <w:bookmarkEnd w:id="9"/>
    </w:tbl>
    <w:p w:rsidR="004A18EB" w:rsidRPr="00E561AE" w:rsidRDefault="004A18EB" w:rsidP="004A18EB"/>
    <w:sectPr w:rsidR="004A18EB" w:rsidRPr="00E561AE" w:rsidSect="00075357">
      <w:footerReference w:type="default" r:id="rId11"/>
      <w:footerReference w:type="first" r:id="rId12"/>
      <w:pgSz w:w="12240" w:h="15840" w:code="1"/>
      <w:pgMar w:top="1260" w:right="1440" w:bottom="1440" w:left="1440" w:header="720" w:footer="84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52B1C" w:rsidRDefault="00A52B1C" w:rsidP="005B402B">
      <w:r>
        <w:separator/>
      </w:r>
    </w:p>
  </w:endnote>
  <w:endnote w:type="continuationSeparator" w:id="0">
    <w:p w:rsidR="00A52B1C" w:rsidRDefault="00A52B1C" w:rsidP="005B40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ebdings">
    <w:panose1 w:val="05030102010509060703"/>
    <w:charset w:val="02"/>
    <w:family w:val="roman"/>
    <w:pitch w:val="variable"/>
    <w:sig w:usb0="00000000" w:usb1="10000000" w:usb2="00000000" w:usb3="00000000" w:csb0="80000000" w:csb1="00000000"/>
  </w:font>
  <w:font w:name="FS Thrive Elliot">
    <w:panose1 w:val="02060403030202020204"/>
    <w:charset w:val="00"/>
    <w:family w:val="roman"/>
    <w:notTrueType/>
    <w:pitch w:val="variable"/>
    <w:sig w:usb0="A000006F" w:usb1="4000207A" w:usb2="00000000" w:usb3="00000000" w:csb0="00000093" w:csb1="00000000"/>
  </w:font>
  <w:font w:name="FS Thrive Elliot Heavy">
    <w:panose1 w:val="02060403030202020204"/>
    <w:charset w:val="00"/>
    <w:family w:val="roman"/>
    <w:notTrueType/>
    <w:pitch w:val="variable"/>
    <w:sig w:usb0="A000006F" w:usb1="4000207A" w:usb2="00000000" w:usb3="00000000" w:csb0="00000093" w:csb1="00000000"/>
  </w:font>
  <w:font w:name="FS Elliot Pro Thin">
    <w:altName w:val="Arial"/>
    <w:panose1 w:val="00000000000000000000"/>
    <w:charset w:val="00"/>
    <w:family w:val="modern"/>
    <w:notTrueType/>
    <w:pitch w:val="variable"/>
    <w:sig w:usb0="00000001" w:usb1="5000207B"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FS Elliot Pro Heavy">
    <w:altName w:val="Arial"/>
    <w:panose1 w:val="00000000000000000000"/>
    <w:charset w:val="00"/>
    <w:family w:val="modern"/>
    <w:notTrueType/>
    <w:pitch w:val="variable"/>
    <w:sig w:usb0="00000001" w:usb1="5000207B" w:usb2="00000000" w:usb3="00000000" w:csb0="0000009F" w:csb1="00000000"/>
  </w:font>
  <w:font w:name="Times">
    <w:panose1 w:val="02020603050405020304"/>
    <w:charset w:val="00"/>
    <w:family w:val="roman"/>
    <w:pitch w:val="variable"/>
    <w:sig w:usb0="E0002AFF" w:usb1="C0007841" w:usb2="00000009" w:usb3="00000000" w:csb0="000001FF" w:csb1="00000000"/>
  </w:font>
  <w:font w:name="FS Elliot Pro">
    <w:altName w:val="Arial"/>
    <w:panose1 w:val="00000000000000000000"/>
    <w:charset w:val="00"/>
    <w:family w:val="modern"/>
    <w:notTrueType/>
    <w:pitch w:val="variable"/>
    <w:sig w:usb0="00000001" w:usb1="5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4445" w:rsidRDefault="003B4445" w:rsidP="003B4445">
    <w:pPr>
      <w:pStyle w:val="Footer"/>
      <w:tabs>
        <w:tab w:val="clear" w:pos="4680"/>
      </w:tabs>
    </w:pPr>
    <w:r>
      <w:br/>
    </w:r>
    <w:r w:rsidR="0092671D">
      <w:t xml:space="preserve">600.01 </w:t>
    </w:r>
    <w:r w:rsidR="004A18EB">
      <w:t xml:space="preserve">Supplier Security Governance </w:t>
    </w:r>
    <w:r>
      <w:tab/>
    </w:r>
    <w:r>
      <w:fldChar w:fldCharType="begin"/>
    </w:r>
    <w:r>
      <w:instrText xml:space="preserve"> PAGE   \* MERGEFORMAT </w:instrText>
    </w:r>
    <w:r>
      <w:fldChar w:fldCharType="separate"/>
    </w:r>
    <w:r w:rsidR="0092671D">
      <w:rPr>
        <w:noProof/>
      </w:rPr>
      <w:t>8</w:t>
    </w:r>
    <w:r>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5357" w:rsidRDefault="00075357">
    <w:pPr>
      <w:pStyle w:val="Footer"/>
    </w:pPr>
    <w:r>
      <w:rPr>
        <w:noProof/>
      </w:rPr>
      <w:drawing>
        <wp:anchor distT="0" distB="0" distL="114300" distR="114300" simplePos="0" relativeHeight="251659264" behindDoc="1" locked="0" layoutInCell="1" allowOverlap="1" wp14:anchorId="47D22D3E" wp14:editId="651E78A4">
          <wp:simplePos x="0" y="0"/>
          <wp:positionH relativeFrom="column">
            <wp:posOffset>4792980</wp:posOffset>
          </wp:positionH>
          <wp:positionV relativeFrom="paragraph">
            <wp:posOffset>-135890</wp:posOffset>
          </wp:positionV>
          <wp:extent cx="1380490" cy="642620"/>
          <wp:effectExtent l="0" t="0" r="0" b="0"/>
          <wp:wrapTight wrapText="bothSides">
            <wp:wrapPolygon edited="0">
              <wp:start x="7750" y="640"/>
              <wp:lineTo x="3875" y="2561"/>
              <wp:lineTo x="298" y="7043"/>
              <wp:lineTo x="596" y="13447"/>
              <wp:lineTo x="10134" y="19850"/>
              <wp:lineTo x="12817" y="19850"/>
              <wp:lineTo x="20567" y="13447"/>
              <wp:lineTo x="21163" y="4482"/>
              <wp:lineTo x="18778" y="2561"/>
              <wp:lineTo x="8942" y="640"/>
              <wp:lineTo x="7750" y="64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ight_Logo_NEW.wmf"/>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80490" cy="642620"/>
                  </a:xfrm>
                  <a:prstGeom prst="rect">
                    <a:avLst/>
                  </a:prstGeom>
                </pic:spPr>
              </pic:pic>
            </a:graphicData>
          </a:graphic>
          <wp14:sizeRelH relativeFrom="page">
            <wp14:pctWidth>0</wp14:pctWidth>
          </wp14:sizeRelH>
          <wp14:sizeRelV relativeFrom="page">
            <wp14:pctHeight>0</wp14:pctHeight>
          </wp14:sizeRelV>
        </wp:anchor>
      </w:drawing>
    </w:r>
    <w:r w:rsidR="007372A8" w:rsidRPr="007372A8">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52B1C" w:rsidRDefault="00A52B1C" w:rsidP="005B402B">
      <w:r>
        <w:separator/>
      </w:r>
    </w:p>
  </w:footnote>
  <w:footnote w:type="continuationSeparator" w:id="0">
    <w:p w:rsidR="00A52B1C" w:rsidRDefault="00A52B1C" w:rsidP="005B402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F81F1A"/>
    <w:multiLevelType w:val="multilevel"/>
    <w:tmpl w:val="B3C4D8B2"/>
    <w:styleLink w:val="AonList"/>
    <w:lvl w:ilvl="0">
      <w:start w:val="1"/>
      <w:numFmt w:val="bullet"/>
      <w:pStyle w:val="AonBullet1"/>
      <w:lvlText w:val=""/>
      <w:lvlJc w:val="left"/>
      <w:pPr>
        <w:tabs>
          <w:tab w:val="num" w:pos="360"/>
        </w:tabs>
        <w:ind w:left="360" w:hanging="360"/>
      </w:pPr>
      <w:rPr>
        <w:rFonts w:ascii="Wingdings" w:hAnsi="Wingdings" w:cs="Times New Roman" w:hint="default"/>
        <w:color w:val="auto"/>
        <w:sz w:val="20"/>
        <w:szCs w:val="20"/>
      </w:rPr>
    </w:lvl>
    <w:lvl w:ilvl="1">
      <w:start w:val="1"/>
      <w:numFmt w:val="bullet"/>
      <w:pStyle w:val="AonBullet2"/>
      <w:lvlText w:val="–"/>
      <w:lvlJc w:val="left"/>
      <w:pPr>
        <w:tabs>
          <w:tab w:val="num" w:pos="720"/>
        </w:tabs>
        <w:ind w:left="720" w:hanging="360"/>
      </w:pPr>
      <w:rPr>
        <w:rFonts w:ascii="Arial" w:hAnsi="Arial" w:cs="Times New Roman" w:hint="default"/>
        <w:b/>
        <w:i w:val="0"/>
        <w:color w:val="auto"/>
      </w:rPr>
    </w:lvl>
    <w:lvl w:ilvl="2">
      <w:start w:val="1"/>
      <w:numFmt w:val="bullet"/>
      <w:pStyle w:val="AonBullet3"/>
      <w:lvlText w:val="•"/>
      <w:lvlJc w:val="left"/>
      <w:pPr>
        <w:tabs>
          <w:tab w:val="num" w:pos="1080"/>
        </w:tabs>
        <w:ind w:left="1080" w:hanging="360"/>
      </w:pPr>
      <w:rPr>
        <w:rFonts w:ascii="Arial" w:hAnsi="Arial" w:cs="Times New Roman" w:hint="default"/>
        <w:szCs w:val="20"/>
      </w:rPr>
    </w:lvl>
    <w:lvl w:ilvl="3">
      <w:start w:val="1"/>
      <w:numFmt w:val="bullet"/>
      <w:pStyle w:val="AonBullet4"/>
      <w:lvlText w:val=""/>
      <w:lvlJc w:val="left"/>
      <w:pPr>
        <w:tabs>
          <w:tab w:val="num" w:pos="1440"/>
        </w:tabs>
        <w:ind w:left="1440" w:hanging="360"/>
      </w:pPr>
      <w:rPr>
        <w:rFonts w:ascii="Symbol" w:hAnsi="Symbol" w:cs="Times New Roman" w:hint="default"/>
        <w:sz w:val="20"/>
        <w:szCs w:val="20"/>
      </w:rPr>
    </w:lvl>
    <w:lvl w:ilvl="4">
      <w:start w:val="1"/>
      <w:numFmt w:val="bullet"/>
      <w:pStyle w:val="AonBullet5"/>
      <w:lvlText w:val="-"/>
      <w:lvlJc w:val="left"/>
      <w:pPr>
        <w:tabs>
          <w:tab w:val="num" w:pos="1800"/>
        </w:tabs>
        <w:ind w:left="1800" w:hanging="360"/>
      </w:pPr>
      <w:rPr>
        <w:rFonts w:ascii="Times New Roman" w:hAnsi="Times New Roman" w:cs="Times New Roman" w:hint="default"/>
        <w:szCs w:val="20"/>
      </w:rPr>
    </w:lvl>
    <w:lvl w:ilvl="5">
      <w:start w:val="1"/>
      <w:numFmt w:val="bullet"/>
      <w:lvlText w:val="-"/>
      <w:lvlJc w:val="left"/>
      <w:pPr>
        <w:tabs>
          <w:tab w:val="num" w:pos="3960"/>
        </w:tabs>
        <w:ind w:left="3960" w:hanging="360"/>
      </w:pPr>
      <w:rPr>
        <w:rFonts w:ascii="Courier New" w:hAnsi="Courier New" w:cs="Times New Roman" w:hint="default"/>
        <w:color w:val="auto"/>
      </w:rPr>
    </w:lvl>
    <w:lvl w:ilvl="6">
      <w:start w:val="1"/>
      <w:numFmt w:val="bullet"/>
      <w:lvlText w:val=""/>
      <w:lvlJc w:val="left"/>
      <w:pPr>
        <w:tabs>
          <w:tab w:val="num" w:pos="4680"/>
        </w:tabs>
        <w:ind w:left="4680" w:hanging="360"/>
      </w:pPr>
      <w:rPr>
        <w:rFonts w:ascii="Wingdings" w:hAnsi="Wingdings" w:cs="Times New Roman" w:hint="default"/>
      </w:rPr>
    </w:lvl>
    <w:lvl w:ilvl="7">
      <w:start w:val="1"/>
      <w:numFmt w:val="bullet"/>
      <w:lvlText w:val=""/>
      <w:lvlJc w:val="left"/>
      <w:pPr>
        <w:tabs>
          <w:tab w:val="num" w:pos="3600"/>
        </w:tabs>
        <w:ind w:left="3600" w:hanging="360"/>
      </w:pPr>
      <w:rPr>
        <w:rFonts w:ascii="Symbol" w:hAnsi="Symbol" w:hint="default"/>
      </w:rPr>
    </w:lvl>
    <w:lvl w:ilvl="8">
      <w:start w:val="1"/>
      <w:numFmt w:val="bullet"/>
      <w:lvlText w:val=""/>
      <w:lvlJc w:val="left"/>
      <w:pPr>
        <w:tabs>
          <w:tab w:val="num" w:pos="3960"/>
        </w:tabs>
        <w:ind w:left="3960" w:hanging="360"/>
      </w:pPr>
      <w:rPr>
        <w:rFonts w:ascii="Symbol" w:hAnsi="Symbol" w:hint="default"/>
      </w:rPr>
    </w:lvl>
  </w:abstractNum>
  <w:abstractNum w:abstractNumId="1">
    <w:nsid w:val="28FC7CCC"/>
    <w:multiLevelType w:val="multilevel"/>
    <w:tmpl w:val="EE1C6446"/>
    <w:lvl w:ilvl="0">
      <w:start w:val="1"/>
      <w:numFmt w:val="bullet"/>
      <w:lvlText w:val=""/>
      <w:lvlJc w:val="left"/>
      <w:pPr>
        <w:tabs>
          <w:tab w:val="num" w:pos="360"/>
        </w:tabs>
        <w:ind w:left="360" w:hanging="360"/>
      </w:pPr>
      <w:rPr>
        <w:rFonts w:ascii="Symbol" w:hAnsi="Symbol" w:hint="default"/>
        <w:color w:val="auto"/>
        <w:sz w:val="20"/>
        <w:szCs w:val="20"/>
      </w:rPr>
    </w:lvl>
    <w:lvl w:ilvl="1">
      <w:start w:val="1"/>
      <w:numFmt w:val="bullet"/>
      <w:lvlText w:val="–"/>
      <w:lvlJc w:val="left"/>
      <w:pPr>
        <w:tabs>
          <w:tab w:val="num" w:pos="720"/>
        </w:tabs>
        <w:ind w:left="720" w:hanging="360"/>
      </w:pPr>
      <w:rPr>
        <w:rFonts w:ascii="Arial" w:hAnsi="Arial" w:cs="Times New Roman" w:hint="default"/>
        <w:b/>
        <w:i w:val="0"/>
        <w:color w:val="auto"/>
      </w:rPr>
    </w:lvl>
    <w:lvl w:ilvl="2">
      <w:start w:val="1"/>
      <w:numFmt w:val="bullet"/>
      <w:lvlText w:val="•"/>
      <w:lvlJc w:val="left"/>
      <w:pPr>
        <w:tabs>
          <w:tab w:val="num" w:pos="1080"/>
        </w:tabs>
        <w:ind w:left="1080" w:hanging="360"/>
      </w:pPr>
      <w:rPr>
        <w:rFonts w:ascii="Arial" w:hAnsi="Arial" w:cs="Times New Roman" w:hint="default"/>
        <w:szCs w:val="20"/>
      </w:rPr>
    </w:lvl>
    <w:lvl w:ilvl="3">
      <w:start w:val="1"/>
      <w:numFmt w:val="bullet"/>
      <w:lvlText w:val=""/>
      <w:lvlJc w:val="left"/>
      <w:pPr>
        <w:tabs>
          <w:tab w:val="num" w:pos="1440"/>
        </w:tabs>
        <w:ind w:left="1440" w:hanging="360"/>
      </w:pPr>
      <w:rPr>
        <w:rFonts w:ascii="Symbol" w:hAnsi="Symbol" w:cs="Times New Roman" w:hint="default"/>
        <w:sz w:val="20"/>
        <w:szCs w:val="20"/>
      </w:rPr>
    </w:lvl>
    <w:lvl w:ilvl="4">
      <w:start w:val="1"/>
      <w:numFmt w:val="bullet"/>
      <w:lvlText w:val="-"/>
      <w:lvlJc w:val="left"/>
      <w:pPr>
        <w:tabs>
          <w:tab w:val="num" w:pos="1800"/>
        </w:tabs>
        <w:ind w:left="1800" w:hanging="360"/>
      </w:pPr>
      <w:rPr>
        <w:rFonts w:ascii="Times New Roman" w:hAnsi="Times New Roman" w:cs="Times New Roman" w:hint="default"/>
        <w:szCs w:val="20"/>
      </w:rPr>
    </w:lvl>
    <w:lvl w:ilvl="5">
      <w:start w:val="1"/>
      <w:numFmt w:val="bullet"/>
      <w:lvlText w:val="-"/>
      <w:lvlJc w:val="left"/>
      <w:pPr>
        <w:tabs>
          <w:tab w:val="num" w:pos="3960"/>
        </w:tabs>
        <w:ind w:left="3960" w:hanging="360"/>
      </w:pPr>
      <w:rPr>
        <w:rFonts w:ascii="Courier New" w:hAnsi="Courier New" w:cs="Times New Roman" w:hint="default"/>
        <w:color w:val="auto"/>
      </w:rPr>
    </w:lvl>
    <w:lvl w:ilvl="6">
      <w:start w:val="1"/>
      <w:numFmt w:val="bullet"/>
      <w:lvlText w:val=""/>
      <w:lvlJc w:val="left"/>
      <w:pPr>
        <w:tabs>
          <w:tab w:val="num" w:pos="4680"/>
        </w:tabs>
        <w:ind w:left="4680" w:hanging="360"/>
      </w:pPr>
      <w:rPr>
        <w:rFonts w:ascii="Wingdings" w:hAnsi="Wingdings" w:cs="Times New Roman" w:hint="default"/>
      </w:rPr>
    </w:lvl>
    <w:lvl w:ilvl="7">
      <w:start w:val="1"/>
      <w:numFmt w:val="bullet"/>
      <w:lvlText w:val=""/>
      <w:lvlJc w:val="left"/>
      <w:pPr>
        <w:tabs>
          <w:tab w:val="num" w:pos="3600"/>
        </w:tabs>
        <w:ind w:left="3600" w:hanging="360"/>
      </w:pPr>
      <w:rPr>
        <w:rFonts w:ascii="Symbol" w:hAnsi="Symbol" w:hint="default"/>
      </w:rPr>
    </w:lvl>
    <w:lvl w:ilvl="8">
      <w:start w:val="1"/>
      <w:numFmt w:val="bullet"/>
      <w:lvlText w:val=""/>
      <w:lvlJc w:val="left"/>
      <w:pPr>
        <w:tabs>
          <w:tab w:val="num" w:pos="3960"/>
        </w:tabs>
        <w:ind w:left="3960" w:hanging="360"/>
      </w:pPr>
      <w:rPr>
        <w:rFonts w:ascii="Symbol" w:hAnsi="Symbol" w:hint="default"/>
      </w:rPr>
    </w:lvl>
  </w:abstractNum>
  <w:abstractNum w:abstractNumId="2">
    <w:nsid w:val="2B8965B7"/>
    <w:multiLevelType w:val="hybridMultilevel"/>
    <w:tmpl w:val="00DEA1FA"/>
    <w:lvl w:ilvl="0" w:tplc="99EA2884">
      <w:start w:val="1"/>
      <w:numFmt w:val="bullet"/>
      <w:pStyle w:val="Bullet1"/>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30C2046"/>
    <w:multiLevelType w:val="hybridMultilevel"/>
    <w:tmpl w:val="A5F4ED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8DE6897"/>
    <w:multiLevelType w:val="hybridMultilevel"/>
    <w:tmpl w:val="417A55A0"/>
    <w:lvl w:ilvl="0" w:tplc="3BCE9656">
      <w:start w:val="1"/>
      <w:numFmt w:val="bullet"/>
      <w:pStyle w:val="Bullet5"/>
      <w:lvlText w:val=""/>
      <w:lvlJc w:val="left"/>
      <w:pPr>
        <w:ind w:left="2160" w:hanging="360"/>
      </w:pPr>
      <w:rPr>
        <w:rFonts w:ascii="Webdings" w:hAnsi="Webdings"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39663067"/>
    <w:multiLevelType w:val="hybridMultilevel"/>
    <w:tmpl w:val="2F7CF7C6"/>
    <w:lvl w:ilvl="0" w:tplc="0292D60C">
      <w:start w:val="1"/>
      <w:numFmt w:val="bullet"/>
      <w:pStyle w:val="Bullet3"/>
      <w:lvlText w:val="▪"/>
      <w:lvlJc w:val="left"/>
      <w:pPr>
        <w:ind w:left="1080" w:hanging="360"/>
      </w:pPr>
      <w:rPr>
        <w:rFonts w:ascii="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39F64E1C"/>
    <w:multiLevelType w:val="multilevel"/>
    <w:tmpl w:val="0409001F"/>
    <w:lvl w:ilvl="0">
      <w:start w:val="1"/>
      <w:numFmt w:val="decimal"/>
      <w:lvlText w:val="%1."/>
      <w:lvlJc w:val="left"/>
      <w:pPr>
        <w:ind w:left="72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21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7">
    <w:nsid w:val="4AC81173"/>
    <w:multiLevelType w:val="multilevel"/>
    <w:tmpl w:val="B3C4D8B2"/>
    <w:numStyleLink w:val="AonList"/>
  </w:abstractNum>
  <w:abstractNum w:abstractNumId="8">
    <w:nsid w:val="55F97C0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5B3F43BF"/>
    <w:multiLevelType w:val="hybridMultilevel"/>
    <w:tmpl w:val="EB5A6786"/>
    <w:lvl w:ilvl="0" w:tplc="20687E7E">
      <w:start w:val="1"/>
      <w:numFmt w:val="bullet"/>
      <w:pStyle w:val="Bullet2"/>
      <w:lvlText w:val="–"/>
      <w:lvlJc w:val="left"/>
      <w:pPr>
        <w:ind w:left="360" w:hanging="360"/>
      </w:pPr>
      <w:rPr>
        <w:rFonts w:ascii="Arial" w:hAnsi="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5CA9143F"/>
    <w:multiLevelType w:val="multilevel"/>
    <w:tmpl w:val="F3548542"/>
    <w:lvl w:ilvl="0">
      <w:start w:val="1"/>
      <w:numFmt w:val="bullet"/>
      <w:pStyle w:val="Bullet1Table"/>
      <w:lvlText w:val=""/>
      <w:lvlJc w:val="left"/>
      <w:pPr>
        <w:ind w:left="360" w:hanging="360"/>
      </w:pPr>
      <w:rPr>
        <w:rFonts w:ascii="Symbol" w:hAnsi="Symbol" w:hint="default"/>
        <w:color w:val="auto"/>
        <w:sz w:val="22"/>
        <w:szCs w:val="20"/>
      </w:rPr>
    </w:lvl>
    <w:lvl w:ilvl="1">
      <w:start w:val="1"/>
      <w:numFmt w:val="bullet"/>
      <w:lvlText w:val="–"/>
      <w:lvlJc w:val="left"/>
      <w:pPr>
        <w:tabs>
          <w:tab w:val="num" w:pos="720"/>
        </w:tabs>
        <w:ind w:left="720" w:hanging="360"/>
      </w:pPr>
      <w:rPr>
        <w:rFonts w:ascii="Arial" w:hAnsi="Arial" w:cs="Times New Roman" w:hint="default"/>
        <w:b/>
        <w:i w:val="0"/>
        <w:color w:val="auto"/>
      </w:rPr>
    </w:lvl>
    <w:lvl w:ilvl="2">
      <w:start w:val="1"/>
      <w:numFmt w:val="bullet"/>
      <w:lvlText w:val="•"/>
      <w:lvlJc w:val="left"/>
      <w:pPr>
        <w:tabs>
          <w:tab w:val="num" w:pos="1080"/>
        </w:tabs>
        <w:ind w:left="1080" w:hanging="360"/>
      </w:pPr>
      <w:rPr>
        <w:rFonts w:ascii="Arial" w:hAnsi="Arial" w:cs="Times New Roman" w:hint="default"/>
        <w:szCs w:val="20"/>
      </w:rPr>
    </w:lvl>
    <w:lvl w:ilvl="3">
      <w:start w:val="1"/>
      <w:numFmt w:val="bullet"/>
      <w:lvlText w:val=""/>
      <w:lvlJc w:val="left"/>
      <w:pPr>
        <w:tabs>
          <w:tab w:val="num" w:pos="1440"/>
        </w:tabs>
        <w:ind w:left="1440" w:hanging="360"/>
      </w:pPr>
      <w:rPr>
        <w:rFonts w:ascii="Symbol" w:hAnsi="Symbol" w:cs="Times New Roman" w:hint="default"/>
        <w:sz w:val="20"/>
        <w:szCs w:val="20"/>
      </w:rPr>
    </w:lvl>
    <w:lvl w:ilvl="4">
      <w:start w:val="1"/>
      <w:numFmt w:val="bullet"/>
      <w:lvlText w:val="-"/>
      <w:lvlJc w:val="left"/>
      <w:pPr>
        <w:tabs>
          <w:tab w:val="num" w:pos="1800"/>
        </w:tabs>
        <w:ind w:left="1800" w:hanging="360"/>
      </w:pPr>
      <w:rPr>
        <w:rFonts w:ascii="Times New Roman" w:hAnsi="Times New Roman" w:cs="Times New Roman" w:hint="default"/>
        <w:szCs w:val="20"/>
      </w:rPr>
    </w:lvl>
    <w:lvl w:ilvl="5">
      <w:start w:val="1"/>
      <w:numFmt w:val="bullet"/>
      <w:lvlText w:val="-"/>
      <w:lvlJc w:val="left"/>
      <w:pPr>
        <w:tabs>
          <w:tab w:val="num" w:pos="3960"/>
        </w:tabs>
        <w:ind w:left="3960" w:hanging="360"/>
      </w:pPr>
      <w:rPr>
        <w:rFonts w:ascii="Courier New" w:hAnsi="Courier New" w:cs="Times New Roman" w:hint="default"/>
        <w:color w:val="auto"/>
      </w:rPr>
    </w:lvl>
    <w:lvl w:ilvl="6">
      <w:start w:val="1"/>
      <w:numFmt w:val="bullet"/>
      <w:lvlText w:val=""/>
      <w:lvlJc w:val="left"/>
      <w:pPr>
        <w:tabs>
          <w:tab w:val="num" w:pos="4680"/>
        </w:tabs>
        <w:ind w:left="4680" w:hanging="360"/>
      </w:pPr>
      <w:rPr>
        <w:rFonts w:ascii="Wingdings" w:hAnsi="Wingdings" w:cs="Times New Roman" w:hint="default"/>
      </w:rPr>
    </w:lvl>
    <w:lvl w:ilvl="7">
      <w:start w:val="1"/>
      <w:numFmt w:val="bullet"/>
      <w:lvlText w:val=""/>
      <w:lvlJc w:val="left"/>
      <w:pPr>
        <w:tabs>
          <w:tab w:val="num" w:pos="3600"/>
        </w:tabs>
        <w:ind w:left="3600" w:hanging="360"/>
      </w:pPr>
      <w:rPr>
        <w:rFonts w:ascii="Symbol" w:hAnsi="Symbol" w:hint="default"/>
      </w:rPr>
    </w:lvl>
    <w:lvl w:ilvl="8">
      <w:start w:val="1"/>
      <w:numFmt w:val="bullet"/>
      <w:lvlText w:val=""/>
      <w:lvlJc w:val="left"/>
      <w:pPr>
        <w:tabs>
          <w:tab w:val="num" w:pos="3960"/>
        </w:tabs>
        <w:ind w:left="3960" w:hanging="360"/>
      </w:pPr>
      <w:rPr>
        <w:rFonts w:ascii="Symbol" w:hAnsi="Symbol" w:hint="default"/>
      </w:rPr>
    </w:lvl>
  </w:abstractNum>
  <w:abstractNum w:abstractNumId="11">
    <w:nsid w:val="5CD1110D"/>
    <w:multiLevelType w:val="hybridMultilevel"/>
    <w:tmpl w:val="1E3093D6"/>
    <w:lvl w:ilvl="0" w:tplc="13F600C8">
      <w:start w:val="1"/>
      <w:numFmt w:val="bullet"/>
      <w:pStyle w:val="Bullet4"/>
      <w:lvlText w:val="♦"/>
      <w:lvlJc w:val="left"/>
      <w:pPr>
        <w:ind w:left="1800" w:hanging="360"/>
      </w:pPr>
      <w:rPr>
        <w:rFonts w:ascii="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nsid w:val="70E42893"/>
    <w:multiLevelType w:val="multilevel"/>
    <w:tmpl w:val="3704F208"/>
    <w:lvl w:ilvl="0">
      <w:start w:val="10"/>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nsid w:val="77F11A83"/>
    <w:multiLevelType w:val="hybridMultilevel"/>
    <w:tmpl w:val="59E87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9"/>
  </w:num>
  <w:num w:numId="3">
    <w:abstractNumId w:val="5"/>
  </w:num>
  <w:num w:numId="4">
    <w:abstractNumId w:val="10"/>
  </w:num>
  <w:num w:numId="5">
    <w:abstractNumId w:val="11"/>
  </w:num>
  <w:num w:numId="6">
    <w:abstractNumId w:val="4"/>
  </w:num>
  <w:num w:numId="7">
    <w:abstractNumId w:val="0"/>
  </w:num>
  <w:num w:numId="8">
    <w:abstractNumId w:val="7"/>
  </w:num>
  <w:num w:numId="9">
    <w:abstractNumId w:val="6"/>
  </w:num>
  <w:num w:numId="10">
    <w:abstractNumId w:val="1"/>
  </w:num>
  <w:num w:numId="11">
    <w:abstractNumId w:val="13"/>
  </w:num>
  <w:num w:numId="12">
    <w:abstractNumId w:val="8"/>
  </w:num>
  <w:num w:numId="13">
    <w:abstractNumId w:val="12"/>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6101"/>
    <w:rsid w:val="00004CB7"/>
    <w:rsid w:val="00012EB6"/>
    <w:rsid w:val="00016ED0"/>
    <w:rsid w:val="00026D6E"/>
    <w:rsid w:val="00046D27"/>
    <w:rsid w:val="00075357"/>
    <w:rsid w:val="00087709"/>
    <w:rsid w:val="000B2B20"/>
    <w:rsid w:val="000C237C"/>
    <w:rsid w:val="001052D9"/>
    <w:rsid w:val="00130EFA"/>
    <w:rsid w:val="00132EAB"/>
    <w:rsid w:val="00133EB8"/>
    <w:rsid w:val="00161C38"/>
    <w:rsid w:val="00193FB9"/>
    <w:rsid w:val="001D01D4"/>
    <w:rsid w:val="00207AC9"/>
    <w:rsid w:val="00230498"/>
    <w:rsid w:val="00234A8F"/>
    <w:rsid w:val="00243AAD"/>
    <w:rsid w:val="0026509A"/>
    <w:rsid w:val="00274338"/>
    <w:rsid w:val="002757BF"/>
    <w:rsid w:val="002C43A9"/>
    <w:rsid w:val="002D378B"/>
    <w:rsid w:val="00321778"/>
    <w:rsid w:val="003641B4"/>
    <w:rsid w:val="003B4445"/>
    <w:rsid w:val="003D11EF"/>
    <w:rsid w:val="004A18EB"/>
    <w:rsid w:val="004A6699"/>
    <w:rsid w:val="004C19C5"/>
    <w:rsid w:val="004F6723"/>
    <w:rsid w:val="00572B9B"/>
    <w:rsid w:val="0057734A"/>
    <w:rsid w:val="0058699E"/>
    <w:rsid w:val="00596FE5"/>
    <w:rsid w:val="005B402B"/>
    <w:rsid w:val="005D6101"/>
    <w:rsid w:val="00631213"/>
    <w:rsid w:val="0064411E"/>
    <w:rsid w:val="00657BDB"/>
    <w:rsid w:val="00666F6C"/>
    <w:rsid w:val="006F2AD3"/>
    <w:rsid w:val="007372A8"/>
    <w:rsid w:val="0074779E"/>
    <w:rsid w:val="007B6C0D"/>
    <w:rsid w:val="008671C4"/>
    <w:rsid w:val="00877C5D"/>
    <w:rsid w:val="008F152A"/>
    <w:rsid w:val="0092671D"/>
    <w:rsid w:val="009349C9"/>
    <w:rsid w:val="00942648"/>
    <w:rsid w:val="009837F6"/>
    <w:rsid w:val="009A1695"/>
    <w:rsid w:val="009A3A28"/>
    <w:rsid w:val="009C15C5"/>
    <w:rsid w:val="009F7CF9"/>
    <w:rsid w:val="00A52B1C"/>
    <w:rsid w:val="00A667E0"/>
    <w:rsid w:val="00A855D2"/>
    <w:rsid w:val="00B33A2C"/>
    <w:rsid w:val="00B606E6"/>
    <w:rsid w:val="00B71DB5"/>
    <w:rsid w:val="00C16A23"/>
    <w:rsid w:val="00C57EE1"/>
    <w:rsid w:val="00D33649"/>
    <w:rsid w:val="00D563B0"/>
    <w:rsid w:val="00D5712B"/>
    <w:rsid w:val="00D80981"/>
    <w:rsid w:val="00D81842"/>
    <w:rsid w:val="00D94A05"/>
    <w:rsid w:val="00DF3ECD"/>
    <w:rsid w:val="00E147BB"/>
    <w:rsid w:val="00E269A3"/>
    <w:rsid w:val="00E542BC"/>
    <w:rsid w:val="00E82861"/>
    <w:rsid w:val="00F06404"/>
    <w:rsid w:val="00FB3C3F"/>
    <w:rsid w:val="00FC2C8C"/>
    <w:rsid w:val="00FD0A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4338"/>
    <w:pPr>
      <w:spacing w:after="0"/>
    </w:pPr>
    <w:rPr>
      <w:rFonts w:ascii="FS Thrive Elliot" w:hAnsi="FS Thrive Elliot"/>
      <w:sz w:val="20"/>
    </w:rPr>
  </w:style>
  <w:style w:type="paragraph" w:styleId="Heading1">
    <w:name w:val="heading 1"/>
    <w:basedOn w:val="Normal"/>
    <w:next w:val="Normal"/>
    <w:link w:val="Heading1Char"/>
    <w:uiPriority w:val="9"/>
    <w:qFormat/>
    <w:rsid w:val="00E82861"/>
    <w:pPr>
      <w:keepNext/>
      <w:keepLines/>
      <w:pageBreakBefore/>
      <w:tabs>
        <w:tab w:val="left" w:pos="0"/>
      </w:tabs>
      <w:spacing w:before="480" w:after="360"/>
      <w:jc w:val="both"/>
      <w:outlineLvl w:val="0"/>
    </w:pPr>
    <w:rPr>
      <w:rFonts w:ascii="FS Thrive Elliot Heavy" w:eastAsiaTheme="majorEastAsia" w:hAnsi="FS Thrive Elliot Heavy" w:cstheme="majorBidi"/>
      <w:b/>
      <w:bCs/>
      <w:color w:val="000000" w:themeColor="text1"/>
      <w:sz w:val="36"/>
      <w:szCs w:val="28"/>
    </w:rPr>
  </w:style>
  <w:style w:type="paragraph" w:styleId="Heading2">
    <w:name w:val="heading 2"/>
    <w:basedOn w:val="Normal"/>
    <w:next w:val="Normal"/>
    <w:link w:val="Heading2Char"/>
    <w:uiPriority w:val="9"/>
    <w:unhideWhenUsed/>
    <w:qFormat/>
    <w:rsid w:val="00E82861"/>
    <w:pPr>
      <w:keepNext/>
      <w:keepLines/>
      <w:spacing w:before="200" w:after="240"/>
      <w:outlineLvl w:val="1"/>
    </w:pPr>
    <w:rPr>
      <w:rFonts w:asciiTheme="majorHAnsi" w:eastAsiaTheme="majorEastAsia" w:hAnsiTheme="majorHAnsi" w:cstheme="majorBidi"/>
      <w:b/>
      <w:bCs/>
      <w:color w:val="000000" w:themeColor="text1"/>
      <w:sz w:val="32"/>
      <w:szCs w:val="26"/>
    </w:rPr>
  </w:style>
  <w:style w:type="paragraph" w:styleId="Heading3">
    <w:name w:val="heading 3"/>
    <w:basedOn w:val="Normal"/>
    <w:next w:val="Normal"/>
    <w:link w:val="Heading3Char"/>
    <w:uiPriority w:val="9"/>
    <w:unhideWhenUsed/>
    <w:qFormat/>
    <w:rsid w:val="00E82861"/>
    <w:pPr>
      <w:keepNext/>
      <w:keepLines/>
      <w:spacing w:before="200" w:after="240"/>
      <w:outlineLvl w:val="2"/>
    </w:pPr>
    <w:rPr>
      <w:rFonts w:asciiTheme="majorHAnsi" w:eastAsiaTheme="majorEastAsia" w:hAnsiTheme="majorHAnsi" w:cstheme="majorBidi"/>
      <w:b/>
      <w:bCs/>
      <w:sz w:val="28"/>
      <w:szCs w:val="28"/>
    </w:rPr>
  </w:style>
  <w:style w:type="paragraph" w:styleId="Heading4">
    <w:name w:val="heading 4"/>
    <w:basedOn w:val="Normal"/>
    <w:next w:val="Normal"/>
    <w:link w:val="Heading4Char"/>
    <w:uiPriority w:val="9"/>
    <w:unhideWhenUsed/>
    <w:qFormat/>
    <w:rsid w:val="00E82861"/>
    <w:pPr>
      <w:keepNext/>
      <w:keepLines/>
      <w:spacing w:before="200"/>
      <w:outlineLvl w:val="3"/>
    </w:pPr>
    <w:rPr>
      <w:rFonts w:asciiTheme="majorHAnsi" w:eastAsiaTheme="majorEastAsia" w:hAnsiTheme="majorHAnsi" w:cstheme="majorBidi"/>
      <w:b/>
      <w:bCs/>
      <w:iCs/>
      <w:color w:val="000000" w:themeColor="text1"/>
      <w:sz w:val="24"/>
      <w:szCs w:val="24"/>
    </w:rPr>
  </w:style>
  <w:style w:type="paragraph" w:styleId="Heading5">
    <w:name w:val="heading 5"/>
    <w:basedOn w:val="Normal"/>
    <w:next w:val="Normal"/>
    <w:link w:val="Heading5Char"/>
    <w:uiPriority w:val="9"/>
    <w:semiHidden/>
    <w:unhideWhenUsed/>
    <w:qFormat/>
    <w:rsid w:val="00E82861"/>
    <w:pPr>
      <w:keepNext/>
      <w:keepLines/>
      <w:spacing w:before="200"/>
      <w:outlineLvl w:val="4"/>
    </w:pPr>
    <w:rPr>
      <w:rFonts w:asciiTheme="majorHAnsi" w:eastAsiaTheme="majorEastAsia" w:hAnsiTheme="majorHAnsi" w:cstheme="majorBidi"/>
      <w:color w:val="7F780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2861"/>
    <w:rPr>
      <w:rFonts w:ascii="FS Thrive Elliot Heavy" w:eastAsiaTheme="majorEastAsia" w:hAnsi="FS Thrive Elliot Heavy" w:cstheme="majorBidi"/>
      <w:b/>
      <w:bCs/>
      <w:color w:val="000000" w:themeColor="text1"/>
      <w:sz w:val="36"/>
      <w:szCs w:val="28"/>
    </w:rPr>
  </w:style>
  <w:style w:type="paragraph" w:customStyle="1" w:styleId="NormalDS">
    <w:name w:val="NormalDS"/>
    <w:basedOn w:val="Normal"/>
    <w:qFormat/>
    <w:rsid w:val="00B33A2C"/>
    <w:pPr>
      <w:spacing w:after="240"/>
    </w:pPr>
  </w:style>
  <w:style w:type="character" w:customStyle="1" w:styleId="Heading2Char">
    <w:name w:val="Heading 2 Char"/>
    <w:basedOn w:val="DefaultParagraphFont"/>
    <w:link w:val="Heading2"/>
    <w:uiPriority w:val="9"/>
    <w:rsid w:val="00E82861"/>
    <w:rPr>
      <w:rFonts w:asciiTheme="majorHAnsi" w:eastAsiaTheme="majorEastAsia" w:hAnsiTheme="majorHAnsi" w:cstheme="majorBidi"/>
      <w:b/>
      <w:bCs/>
      <w:color w:val="000000" w:themeColor="text1"/>
      <w:sz w:val="32"/>
      <w:szCs w:val="26"/>
    </w:rPr>
  </w:style>
  <w:style w:type="character" w:customStyle="1" w:styleId="Heading3Char">
    <w:name w:val="Heading 3 Char"/>
    <w:basedOn w:val="DefaultParagraphFont"/>
    <w:link w:val="Heading3"/>
    <w:uiPriority w:val="9"/>
    <w:rsid w:val="00E82861"/>
    <w:rPr>
      <w:rFonts w:asciiTheme="majorHAnsi" w:eastAsiaTheme="majorEastAsia" w:hAnsiTheme="majorHAnsi" w:cstheme="majorBidi"/>
      <w:b/>
      <w:bCs/>
      <w:sz w:val="28"/>
      <w:szCs w:val="28"/>
    </w:rPr>
  </w:style>
  <w:style w:type="paragraph" w:customStyle="1" w:styleId="Bullet1">
    <w:name w:val="Bullet 1"/>
    <w:basedOn w:val="NormalDS"/>
    <w:qFormat/>
    <w:rsid w:val="00572B9B"/>
    <w:pPr>
      <w:numPr>
        <w:numId w:val="1"/>
      </w:numPr>
      <w:tabs>
        <w:tab w:val="left" w:pos="360"/>
      </w:tabs>
      <w:spacing w:after="120"/>
      <w:ind w:left="360"/>
    </w:pPr>
  </w:style>
  <w:style w:type="paragraph" w:customStyle="1" w:styleId="Bullet2">
    <w:name w:val="Bullet 2"/>
    <w:basedOn w:val="Bullet1"/>
    <w:qFormat/>
    <w:rsid w:val="005B402B"/>
    <w:pPr>
      <w:numPr>
        <w:numId w:val="2"/>
      </w:numPr>
      <w:spacing w:after="60"/>
      <w:ind w:left="720"/>
    </w:pPr>
  </w:style>
  <w:style w:type="paragraph" w:customStyle="1" w:styleId="Bullet3">
    <w:name w:val="Bullet 3"/>
    <w:basedOn w:val="Bullet2"/>
    <w:qFormat/>
    <w:rsid w:val="005B402B"/>
    <w:pPr>
      <w:numPr>
        <w:numId w:val="3"/>
      </w:numPr>
    </w:pPr>
  </w:style>
  <w:style w:type="paragraph" w:styleId="ListParagraph">
    <w:name w:val="List Paragraph"/>
    <w:basedOn w:val="Normal"/>
    <w:qFormat/>
    <w:rsid w:val="00230498"/>
    <w:pPr>
      <w:ind w:left="720"/>
      <w:contextualSpacing/>
    </w:pPr>
  </w:style>
  <w:style w:type="paragraph" w:customStyle="1" w:styleId="DocumentSubtitle">
    <w:name w:val="Document Subtitle"/>
    <w:basedOn w:val="Normal"/>
    <w:next w:val="Normal"/>
    <w:autoRedefine/>
    <w:qFormat/>
    <w:rsid w:val="00046D27"/>
    <w:pPr>
      <w:keepNext/>
      <w:keepLines/>
      <w:suppressAutoHyphens/>
      <w:autoSpaceDE w:val="0"/>
      <w:autoSpaceDN w:val="0"/>
      <w:adjustRightInd w:val="0"/>
      <w:spacing w:before="300" w:after="100" w:line="240" w:lineRule="auto"/>
      <w:textAlignment w:val="center"/>
    </w:pPr>
    <w:rPr>
      <w:rFonts w:eastAsia="Times New Roman" w:cs="Times New Roman"/>
      <w:sz w:val="32"/>
      <w:szCs w:val="20"/>
    </w:rPr>
  </w:style>
  <w:style w:type="character" w:customStyle="1" w:styleId="Heading4Char">
    <w:name w:val="Heading 4 Char"/>
    <w:basedOn w:val="DefaultParagraphFont"/>
    <w:link w:val="Heading4"/>
    <w:uiPriority w:val="9"/>
    <w:rsid w:val="00E82861"/>
    <w:rPr>
      <w:rFonts w:asciiTheme="majorHAnsi" w:eastAsiaTheme="majorEastAsia" w:hAnsiTheme="majorHAnsi" w:cstheme="majorBidi"/>
      <w:b/>
      <w:bCs/>
      <w:iCs/>
      <w:color w:val="000000" w:themeColor="text1"/>
      <w:sz w:val="24"/>
      <w:szCs w:val="24"/>
    </w:rPr>
  </w:style>
  <w:style w:type="paragraph" w:customStyle="1" w:styleId="Bullet4">
    <w:name w:val="Bullet 4"/>
    <w:basedOn w:val="Normal"/>
    <w:rsid w:val="00133EB8"/>
    <w:pPr>
      <w:numPr>
        <w:numId w:val="5"/>
      </w:numPr>
      <w:spacing w:after="120" w:line="240" w:lineRule="auto"/>
      <w:ind w:left="1350" w:hanging="270"/>
    </w:pPr>
    <w:rPr>
      <w:rFonts w:eastAsia="Times New Roman" w:cs="Times New Roman"/>
      <w:szCs w:val="20"/>
      <w:lang w:val="de-DE"/>
    </w:rPr>
  </w:style>
  <w:style w:type="paragraph" w:customStyle="1" w:styleId="Bullet5">
    <w:name w:val="Bullet 5"/>
    <w:basedOn w:val="Normal"/>
    <w:rsid w:val="00133EB8"/>
    <w:pPr>
      <w:numPr>
        <w:numId w:val="6"/>
      </w:numPr>
      <w:spacing w:after="120" w:line="240" w:lineRule="auto"/>
      <w:ind w:left="1620" w:hanging="270"/>
    </w:pPr>
    <w:rPr>
      <w:rFonts w:eastAsia="Times New Roman" w:cs="Times New Roman"/>
      <w:szCs w:val="20"/>
    </w:rPr>
  </w:style>
  <w:style w:type="paragraph" w:customStyle="1" w:styleId="AlightFooter">
    <w:name w:val="Alight Footer"/>
    <w:basedOn w:val="Normal"/>
    <w:autoRedefine/>
    <w:rsid w:val="00004CB7"/>
    <w:pPr>
      <w:tabs>
        <w:tab w:val="right" w:pos="9360"/>
      </w:tabs>
      <w:spacing w:line="240" w:lineRule="auto"/>
    </w:pPr>
    <w:rPr>
      <w:rFonts w:ascii="FS Elliot Pro Thin" w:eastAsia="MS Mincho" w:hAnsi="FS Elliot Pro Thin" w:cs="Times New Roman"/>
      <w:sz w:val="16"/>
      <w:szCs w:val="16"/>
    </w:rPr>
  </w:style>
  <w:style w:type="paragraph" w:customStyle="1" w:styleId="BusinessUnit">
    <w:name w:val="Business Unit"/>
    <w:basedOn w:val="AlightFooter"/>
    <w:qFormat/>
    <w:rsid w:val="00004CB7"/>
    <w:rPr>
      <w:b/>
    </w:rPr>
  </w:style>
  <w:style w:type="paragraph" w:customStyle="1" w:styleId="Contact">
    <w:name w:val="Contact"/>
    <w:basedOn w:val="Normal"/>
    <w:rsid w:val="00004CB7"/>
    <w:pPr>
      <w:spacing w:line="264" w:lineRule="auto"/>
    </w:pPr>
    <w:rPr>
      <w:rFonts w:eastAsia="MS Mincho" w:cs="Times New Roman"/>
      <w:szCs w:val="20"/>
    </w:rPr>
  </w:style>
  <w:style w:type="paragraph" w:customStyle="1" w:styleId="ContactName">
    <w:name w:val="Contact Name"/>
    <w:basedOn w:val="Contact"/>
    <w:rsid w:val="00004CB7"/>
    <w:rPr>
      <w:b/>
    </w:rPr>
  </w:style>
  <w:style w:type="paragraph" w:customStyle="1" w:styleId="DocumentTitle">
    <w:name w:val="Document Title"/>
    <w:basedOn w:val="Normal"/>
    <w:qFormat/>
    <w:rsid w:val="001D01D4"/>
    <w:pPr>
      <w:spacing w:line="240" w:lineRule="auto"/>
    </w:pPr>
    <w:rPr>
      <w:rFonts w:ascii="FS Elliot Pro Heavy" w:hAnsi="FS Elliot Pro Heavy"/>
      <w:sz w:val="72"/>
    </w:rPr>
  </w:style>
  <w:style w:type="paragraph" w:customStyle="1" w:styleId="LegalCopy">
    <w:name w:val="Legal Copy"/>
    <w:basedOn w:val="Normal"/>
    <w:rsid w:val="00207AC9"/>
    <w:pPr>
      <w:spacing w:line="264" w:lineRule="auto"/>
    </w:pPr>
    <w:rPr>
      <w:rFonts w:eastAsia="Times New Roman" w:cs="Times New Roman"/>
      <w:sz w:val="16"/>
      <w:szCs w:val="16"/>
    </w:rPr>
  </w:style>
  <w:style w:type="paragraph" w:customStyle="1" w:styleId="MarketPractice">
    <w:name w:val="Market/Practice"/>
    <w:basedOn w:val="AlightFooter"/>
    <w:qFormat/>
    <w:rsid w:val="00004CB7"/>
    <w:rPr>
      <w:noProof/>
      <w:sz w:val="15"/>
    </w:rPr>
  </w:style>
  <w:style w:type="paragraph" w:customStyle="1" w:styleId="TableColumnHead">
    <w:name w:val="Table Column Head"/>
    <w:basedOn w:val="Normal"/>
    <w:rsid w:val="001D01D4"/>
    <w:pPr>
      <w:spacing w:after="60" w:line="240" w:lineRule="auto"/>
    </w:pPr>
    <w:rPr>
      <w:rFonts w:eastAsia="Times" w:cs="Arial"/>
      <w:b/>
      <w:szCs w:val="20"/>
    </w:rPr>
  </w:style>
  <w:style w:type="paragraph" w:customStyle="1" w:styleId="TableCopy">
    <w:name w:val="Table Copy"/>
    <w:basedOn w:val="Normal"/>
    <w:rsid w:val="00004CB7"/>
    <w:pPr>
      <w:spacing w:before="40" w:line="200" w:lineRule="atLeast"/>
    </w:pPr>
    <w:rPr>
      <w:rFonts w:eastAsia="MS Mincho" w:cs="Arial"/>
      <w:szCs w:val="20"/>
    </w:rPr>
  </w:style>
  <w:style w:type="paragraph" w:customStyle="1" w:styleId="TableHeader">
    <w:name w:val="Table Header"/>
    <w:basedOn w:val="Normal"/>
    <w:rsid w:val="00004CB7"/>
    <w:pPr>
      <w:spacing w:line="240" w:lineRule="auto"/>
    </w:pPr>
    <w:rPr>
      <w:rFonts w:eastAsia="Times" w:cs="Arial"/>
      <w:b/>
      <w:szCs w:val="20"/>
    </w:rPr>
  </w:style>
  <w:style w:type="paragraph" w:customStyle="1" w:styleId="TableTitle">
    <w:name w:val="Table Title"/>
    <w:basedOn w:val="Normal"/>
    <w:rsid w:val="00004CB7"/>
    <w:pPr>
      <w:autoSpaceDE w:val="0"/>
      <w:autoSpaceDN w:val="0"/>
      <w:adjustRightInd w:val="0"/>
      <w:spacing w:after="240" w:line="240" w:lineRule="auto"/>
      <w:textAlignment w:val="center"/>
    </w:pPr>
    <w:rPr>
      <w:rFonts w:eastAsia="Times New Roman" w:cs="Times New Roman"/>
      <w:b/>
      <w:bCs/>
      <w:color w:val="000000"/>
      <w:szCs w:val="20"/>
    </w:rPr>
  </w:style>
  <w:style w:type="paragraph" w:customStyle="1" w:styleId="TOCHeader">
    <w:name w:val="TOC Header"/>
    <w:basedOn w:val="Normal"/>
    <w:next w:val="Heading1"/>
    <w:rsid w:val="00E147BB"/>
    <w:pPr>
      <w:spacing w:before="120" w:after="240" w:line="264" w:lineRule="auto"/>
    </w:pPr>
    <w:rPr>
      <w:rFonts w:asciiTheme="majorHAnsi" w:eastAsia="MS Mincho" w:hAnsiTheme="majorHAnsi" w:cs="Times New Roman"/>
      <w:color w:val="000000" w:themeColor="text1"/>
      <w:sz w:val="36"/>
      <w:szCs w:val="36"/>
    </w:rPr>
  </w:style>
  <w:style w:type="character" w:styleId="Hyperlink">
    <w:name w:val="Hyperlink"/>
    <w:basedOn w:val="DefaultParagraphFont"/>
    <w:uiPriority w:val="99"/>
    <w:rsid w:val="00004CB7"/>
    <w:rPr>
      <w:color w:val="0000FF"/>
      <w:u w:val="single"/>
    </w:rPr>
  </w:style>
  <w:style w:type="paragraph" w:styleId="TOC2">
    <w:name w:val="toc 2"/>
    <w:basedOn w:val="TOC1"/>
    <w:uiPriority w:val="39"/>
    <w:rsid w:val="00004CB7"/>
    <w:pPr>
      <w:tabs>
        <w:tab w:val="right" w:pos="7920"/>
      </w:tabs>
      <w:spacing w:before="240" w:after="240" w:line="240" w:lineRule="auto"/>
    </w:pPr>
    <w:rPr>
      <w:rFonts w:eastAsia="MS Mincho" w:cs="Times New Roman"/>
      <w:noProof/>
      <w:szCs w:val="20"/>
    </w:rPr>
  </w:style>
  <w:style w:type="paragraph" w:styleId="TOC3">
    <w:name w:val="toc 3"/>
    <w:basedOn w:val="Normal"/>
    <w:next w:val="Normal"/>
    <w:uiPriority w:val="39"/>
    <w:rsid w:val="00004CB7"/>
    <w:pPr>
      <w:tabs>
        <w:tab w:val="right" w:pos="7920"/>
      </w:tabs>
      <w:spacing w:line="480" w:lineRule="auto"/>
      <w:ind w:left="360"/>
    </w:pPr>
    <w:rPr>
      <w:rFonts w:eastAsia="Times" w:cs="Times New Roman"/>
      <w:szCs w:val="20"/>
    </w:rPr>
  </w:style>
  <w:style w:type="paragraph" w:styleId="TOC4">
    <w:name w:val="toc 4"/>
    <w:basedOn w:val="Normal"/>
    <w:next w:val="Normal"/>
    <w:autoRedefine/>
    <w:uiPriority w:val="39"/>
    <w:rsid w:val="00004CB7"/>
    <w:pPr>
      <w:tabs>
        <w:tab w:val="right" w:pos="7920"/>
      </w:tabs>
      <w:spacing w:line="480" w:lineRule="auto"/>
      <w:ind w:left="720"/>
    </w:pPr>
    <w:rPr>
      <w:rFonts w:eastAsia="Times" w:cs="Times New Roman"/>
      <w:noProof/>
      <w:szCs w:val="20"/>
    </w:rPr>
  </w:style>
  <w:style w:type="paragraph" w:customStyle="1" w:styleId="NoteParagraphItalic">
    <w:name w:val="Note: Paragraph/Italic"/>
    <w:basedOn w:val="Normal"/>
    <w:rsid w:val="00004CB7"/>
    <w:pPr>
      <w:spacing w:after="240" w:line="264" w:lineRule="auto"/>
    </w:pPr>
    <w:rPr>
      <w:rFonts w:eastAsia="MS Mincho" w:cs="Times New Roman"/>
      <w:i/>
      <w:szCs w:val="20"/>
    </w:rPr>
  </w:style>
  <w:style w:type="paragraph" w:styleId="TOC1">
    <w:name w:val="toc 1"/>
    <w:basedOn w:val="Normal"/>
    <w:next w:val="Normal"/>
    <w:autoRedefine/>
    <w:uiPriority w:val="39"/>
    <w:semiHidden/>
    <w:unhideWhenUsed/>
    <w:rsid w:val="00004CB7"/>
    <w:pPr>
      <w:spacing w:after="100"/>
    </w:pPr>
  </w:style>
  <w:style w:type="paragraph" w:styleId="Header">
    <w:name w:val="header"/>
    <w:basedOn w:val="Normal"/>
    <w:link w:val="HeaderChar"/>
    <w:uiPriority w:val="99"/>
    <w:unhideWhenUsed/>
    <w:rsid w:val="00004CB7"/>
    <w:pPr>
      <w:tabs>
        <w:tab w:val="center" w:pos="4680"/>
        <w:tab w:val="right" w:pos="9360"/>
      </w:tabs>
      <w:spacing w:line="240" w:lineRule="auto"/>
    </w:pPr>
  </w:style>
  <w:style w:type="character" w:customStyle="1" w:styleId="HeaderChar">
    <w:name w:val="Header Char"/>
    <w:basedOn w:val="DefaultParagraphFont"/>
    <w:link w:val="Header"/>
    <w:uiPriority w:val="99"/>
    <w:rsid w:val="00004CB7"/>
    <w:rPr>
      <w:rFonts w:ascii="FS Elliot Pro" w:hAnsi="FS Elliot Pro"/>
      <w:sz w:val="20"/>
    </w:rPr>
  </w:style>
  <w:style w:type="paragraph" w:styleId="Footer">
    <w:name w:val="footer"/>
    <w:basedOn w:val="Normal"/>
    <w:link w:val="FooterChar"/>
    <w:uiPriority w:val="99"/>
    <w:unhideWhenUsed/>
    <w:rsid w:val="00004CB7"/>
    <w:pPr>
      <w:tabs>
        <w:tab w:val="center" w:pos="4680"/>
        <w:tab w:val="right" w:pos="9360"/>
      </w:tabs>
      <w:spacing w:line="240" w:lineRule="auto"/>
    </w:pPr>
  </w:style>
  <w:style w:type="character" w:customStyle="1" w:styleId="FooterChar">
    <w:name w:val="Footer Char"/>
    <w:basedOn w:val="DefaultParagraphFont"/>
    <w:link w:val="Footer"/>
    <w:uiPriority w:val="99"/>
    <w:rsid w:val="00004CB7"/>
    <w:rPr>
      <w:rFonts w:ascii="FS Elliot Pro" w:hAnsi="FS Elliot Pro"/>
      <w:sz w:val="20"/>
    </w:rPr>
  </w:style>
  <w:style w:type="paragraph" w:styleId="BalloonText">
    <w:name w:val="Balloon Text"/>
    <w:basedOn w:val="Normal"/>
    <w:link w:val="BalloonTextChar"/>
    <w:uiPriority w:val="99"/>
    <w:semiHidden/>
    <w:unhideWhenUsed/>
    <w:rsid w:val="00877C5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7C5D"/>
    <w:rPr>
      <w:rFonts w:ascii="Tahoma" w:hAnsi="Tahoma" w:cs="Tahoma"/>
      <w:sz w:val="16"/>
      <w:szCs w:val="16"/>
    </w:rPr>
  </w:style>
  <w:style w:type="paragraph" w:customStyle="1" w:styleId="Bullet1Table">
    <w:name w:val="Bullet 1 Table"/>
    <w:basedOn w:val="Bullet1"/>
    <w:qFormat/>
    <w:rsid w:val="00132EAB"/>
    <w:pPr>
      <w:numPr>
        <w:numId w:val="4"/>
      </w:numPr>
      <w:spacing w:after="40"/>
    </w:pPr>
  </w:style>
  <w:style w:type="paragraph" w:customStyle="1" w:styleId="Bullet2Table">
    <w:name w:val="Bullet 2 Table"/>
    <w:basedOn w:val="Bullet2"/>
    <w:qFormat/>
    <w:rsid w:val="00132EAB"/>
  </w:style>
  <w:style w:type="paragraph" w:customStyle="1" w:styleId="Bullet3Table">
    <w:name w:val="Bullet 3 Table"/>
    <w:basedOn w:val="Bullet3"/>
    <w:qFormat/>
    <w:rsid w:val="00132EAB"/>
  </w:style>
  <w:style w:type="paragraph" w:customStyle="1" w:styleId="Bullet4Table">
    <w:name w:val="Bullet 4 Table"/>
    <w:basedOn w:val="Bullet4"/>
    <w:qFormat/>
    <w:rsid w:val="00132EAB"/>
  </w:style>
  <w:style w:type="character" w:customStyle="1" w:styleId="Heading5Char">
    <w:name w:val="Heading 5 Char"/>
    <w:basedOn w:val="DefaultParagraphFont"/>
    <w:link w:val="Heading5"/>
    <w:uiPriority w:val="9"/>
    <w:semiHidden/>
    <w:rsid w:val="00E82861"/>
    <w:rPr>
      <w:rFonts w:asciiTheme="majorHAnsi" w:eastAsiaTheme="majorEastAsia" w:hAnsiTheme="majorHAnsi" w:cstheme="majorBidi"/>
      <w:color w:val="7F7800" w:themeColor="accent1" w:themeShade="7F"/>
      <w:sz w:val="20"/>
    </w:rPr>
  </w:style>
  <w:style w:type="numbering" w:customStyle="1" w:styleId="AonList">
    <w:name w:val="Aon List"/>
    <w:rsid w:val="005D6101"/>
    <w:pPr>
      <w:numPr>
        <w:numId w:val="7"/>
      </w:numPr>
    </w:pPr>
  </w:style>
  <w:style w:type="paragraph" w:customStyle="1" w:styleId="AonBullet1">
    <w:name w:val="Aon Bullet 1"/>
    <w:basedOn w:val="Normal"/>
    <w:rsid w:val="005D6101"/>
    <w:pPr>
      <w:numPr>
        <w:numId w:val="8"/>
      </w:numPr>
      <w:spacing w:after="120" w:line="240" w:lineRule="auto"/>
    </w:pPr>
    <w:rPr>
      <w:rFonts w:ascii="Arial" w:eastAsia="Times New Roman" w:hAnsi="Arial" w:cs="Times New Roman"/>
      <w:szCs w:val="20"/>
    </w:rPr>
  </w:style>
  <w:style w:type="paragraph" w:customStyle="1" w:styleId="AonDocumentTitle">
    <w:name w:val="Aon Document Title"/>
    <w:basedOn w:val="Normal"/>
    <w:next w:val="Normal"/>
    <w:rsid w:val="005D6101"/>
    <w:pPr>
      <w:keepNext/>
      <w:keepLines/>
      <w:suppressAutoHyphens/>
      <w:autoSpaceDE w:val="0"/>
      <w:autoSpaceDN w:val="0"/>
      <w:adjustRightInd w:val="0"/>
      <w:spacing w:after="240" w:line="264" w:lineRule="auto"/>
      <w:textAlignment w:val="center"/>
    </w:pPr>
    <w:rPr>
      <w:rFonts w:ascii="Arial" w:eastAsia="Times New Roman" w:hAnsi="Arial" w:cs="Times New Roman"/>
      <w:color w:val="E11B22"/>
      <w:sz w:val="64"/>
      <w:szCs w:val="64"/>
    </w:rPr>
  </w:style>
  <w:style w:type="paragraph" w:customStyle="1" w:styleId="AonBullet2">
    <w:name w:val="Aon Bullet 2"/>
    <w:basedOn w:val="Normal"/>
    <w:rsid w:val="005D6101"/>
    <w:pPr>
      <w:numPr>
        <w:ilvl w:val="1"/>
        <w:numId w:val="8"/>
      </w:numPr>
      <w:spacing w:after="120" w:line="240" w:lineRule="auto"/>
    </w:pPr>
    <w:rPr>
      <w:rFonts w:ascii="Arial" w:eastAsia="Times New Roman" w:hAnsi="Arial" w:cs="Times New Roman"/>
      <w:szCs w:val="20"/>
    </w:rPr>
  </w:style>
  <w:style w:type="paragraph" w:customStyle="1" w:styleId="AonBullet3">
    <w:name w:val="Aon Bullet 3"/>
    <w:basedOn w:val="Normal"/>
    <w:rsid w:val="005D6101"/>
    <w:pPr>
      <w:numPr>
        <w:ilvl w:val="2"/>
        <w:numId w:val="8"/>
      </w:numPr>
      <w:spacing w:after="120" w:line="240" w:lineRule="auto"/>
    </w:pPr>
    <w:rPr>
      <w:rFonts w:ascii="Arial" w:eastAsia="Times New Roman" w:hAnsi="Arial" w:cs="Times New Roman"/>
      <w:szCs w:val="20"/>
    </w:rPr>
  </w:style>
  <w:style w:type="paragraph" w:customStyle="1" w:styleId="AonBullet4">
    <w:name w:val="Aon Bullet 4"/>
    <w:basedOn w:val="Normal"/>
    <w:rsid w:val="005D6101"/>
    <w:pPr>
      <w:numPr>
        <w:ilvl w:val="3"/>
        <w:numId w:val="8"/>
      </w:numPr>
      <w:spacing w:after="120" w:line="240" w:lineRule="auto"/>
    </w:pPr>
    <w:rPr>
      <w:rFonts w:ascii="Arial" w:eastAsia="Times New Roman" w:hAnsi="Arial" w:cs="Times New Roman"/>
      <w:szCs w:val="20"/>
      <w:lang w:val="de-DE"/>
    </w:rPr>
  </w:style>
  <w:style w:type="paragraph" w:customStyle="1" w:styleId="AonBullet5">
    <w:name w:val="Aon Bullet 5"/>
    <w:basedOn w:val="Normal"/>
    <w:rsid w:val="005D6101"/>
    <w:pPr>
      <w:numPr>
        <w:ilvl w:val="4"/>
        <w:numId w:val="8"/>
      </w:numPr>
      <w:spacing w:after="120" w:line="240" w:lineRule="auto"/>
    </w:pPr>
    <w:rPr>
      <w:rFonts w:ascii="Arial" w:eastAsia="Times New Roman" w:hAnsi="Arial" w:cs="Times New Roman"/>
      <w:szCs w:val="20"/>
    </w:rPr>
  </w:style>
  <w:style w:type="paragraph" w:styleId="BodyText">
    <w:name w:val="Body Text"/>
    <w:basedOn w:val="Normal"/>
    <w:link w:val="BodyTextChar"/>
    <w:rsid w:val="005D6101"/>
    <w:pPr>
      <w:spacing w:after="240"/>
      <w:ind w:left="1440"/>
    </w:pPr>
    <w:rPr>
      <w:rFonts w:ascii="Arial" w:eastAsia="MS Mincho" w:hAnsi="Arial" w:cs="Times New Roman"/>
      <w:sz w:val="22"/>
    </w:rPr>
  </w:style>
  <w:style w:type="character" w:customStyle="1" w:styleId="BodyTextChar">
    <w:name w:val="Body Text Char"/>
    <w:basedOn w:val="DefaultParagraphFont"/>
    <w:link w:val="BodyText"/>
    <w:rsid w:val="005D6101"/>
    <w:rPr>
      <w:rFonts w:ascii="Arial" w:eastAsia="MS Mincho" w:hAnsi="Arial" w:cs="Times New Roman"/>
    </w:rPr>
  </w:style>
  <w:style w:type="paragraph" w:customStyle="1" w:styleId="FNSTableTextRow">
    <w:name w:val="FNS Table Text Row"/>
    <w:basedOn w:val="Normal"/>
    <w:link w:val="FNSTableTextRowChar"/>
    <w:rsid w:val="005D6101"/>
    <w:pPr>
      <w:spacing w:before="60" w:after="60" w:line="240" w:lineRule="auto"/>
    </w:pPr>
    <w:rPr>
      <w:rFonts w:ascii="Calibri" w:eastAsia="MS Mincho" w:hAnsi="Calibri" w:cs="Times New Roman"/>
      <w:sz w:val="18"/>
    </w:rPr>
  </w:style>
  <w:style w:type="character" w:customStyle="1" w:styleId="FNSTableTextRowChar">
    <w:name w:val="FNS Table Text Row Char"/>
    <w:link w:val="FNSTableTextRow"/>
    <w:locked/>
    <w:rsid w:val="005D6101"/>
    <w:rPr>
      <w:rFonts w:ascii="Calibri" w:eastAsia="MS Mincho" w:hAnsi="Calibri" w:cs="Times New Roman"/>
      <w:sz w:val="18"/>
    </w:rPr>
  </w:style>
  <w:style w:type="paragraph" w:customStyle="1" w:styleId="FNSTableTitleRow1">
    <w:name w:val="FNS Table Title Row 1"/>
    <w:basedOn w:val="Normal"/>
    <w:rsid w:val="005D6101"/>
    <w:pPr>
      <w:spacing w:before="40" w:after="40" w:line="240" w:lineRule="auto"/>
      <w:jc w:val="center"/>
    </w:pPr>
    <w:rPr>
      <w:rFonts w:ascii="Calibri" w:eastAsia="Times New Roman" w:hAnsi="Calibri" w:cs="Times New Roman"/>
      <w:bCs/>
      <w:spacing w:val="20"/>
    </w:rPr>
  </w:style>
  <w:style w:type="paragraph" w:customStyle="1" w:styleId="FNSVersionControl-RightColumn">
    <w:name w:val="FNS Version Control - Right Column"/>
    <w:basedOn w:val="FNSTableTextRow"/>
    <w:rsid w:val="005D6101"/>
    <w:rPr>
      <w:i/>
      <w:iCs/>
    </w:rPr>
  </w:style>
  <w:style w:type="paragraph" w:customStyle="1" w:styleId="AonBodyCopy">
    <w:name w:val="Aon Body Copy"/>
    <w:basedOn w:val="Normal"/>
    <w:link w:val="AonBodyCopyChar"/>
    <w:rsid w:val="00321778"/>
    <w:pPr>
      <w:spacing w:after="240" w:line="264" w:lineRule="auto"/>
    </w:pPr>
    <w:rPr>
      <w:rFonts w:ascii="Arial" w:eastAsia="MS Mincho" w:hAnsi="Arial" w:cs="Times New Roman"/>
      <w:szCs w:val="20"/>
    </w:rPr>
  </w:style>
  <w:style w:type="character" w:customStyle="1" w:styleId="AonBodyCopyChar">
    <w:name w:val="Aon Body Copy Char"/>
    <w:basedOn w:val="DefaultParagraphFont"/>
    <w:link w:val="AonBodyCopy"/>
    <w:rsid w:val="00321778"/>
    <w:rPr>
      <w:rFonts w:ascii="Arial" w:eastAsia="MS Mincho" w:hAnsi="Arial" w:cs="Times New Roman"/>
      <w:sz w:val="20"/>
      <w:szCs w:val="20"/>
    </w:rPr>
  </w:style>
  <w:style w:type="paragraph" w:customStyle="1" w:styleId="TableRowHead">
    <w:name w:val="TableRowHead"/>
    <w:basedOn w:val="Normal"/>
    <w:rsid w:val="004A18EB"/>
    <w:pPr>
      <w:spacing w:before="40" w:line="200" w:lineRule="atLeast"/>
    </w:pPr>
    <w:rPr>
      <w:rFonts w:ascii="Arial" w:eastAsia="MS Mincho" w:hAnsi="Arial" w:cs="Arial"/>
      <w:b/>
      <w:szCs w:val="20"/>
    </w:rPr>
  </w:style>
  <w:style w:type="paragraph" w:customStyle="1" w:styleId="TableColumnHead0">
    <w:name w:val="TableColumnHead"/>
    <w:basedOn w:val="Normal"/>
    <w:rsid w:val="004A18EB"/>
    <w:pPr>
      <w:spacing w:after="60" w:line="240" w:lineRule="auto"/>
      <w:jc w:val="right"/>
    </w:pPr>
    <w:rPr>
      <w:rFonts w:ascii="Arial" w:eastAsia="Times New Roman" w:hAnsi="Arial" w:cs="Arial"/>
      <w:b/>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4338"/>
    <w:pPr>
      <w:spacing w:after="0"/>
    </w:pPr>
    <w:rPr>
      <w:rFonts w:ascii="FS Thrive Elliot" w:hAnsi="FS Thrive Elliot"/>
      <w:sz w:val="20"/>
    </w:rPr>
  </w:style>
  <w:style w:type="paragraph" w:styleId="Heading1">
    <w:name w:val="heading 1"/>
    <w:basedOn w:val="Normal"/>
    <w:next w:val="Normal"/>
    <w:link w:val="Heading1Char"/>
    <w:uiPriority w:val="9"/>
    <w:qFormat/>
    <w:rsid w:val="00E82861"/>
    <w:pPr>
      <w:keepNext/>
      <w:keepLines/>
      <w:pageBreakBefore/>
      <w:tabs>
        <w:tab w:val="left" w:pos="0"/>
      </w:tabs>
      <w:spacing w:before="480" w:after="360"/>
      <w:jc w:val="both"/>
      <w:outlineLvl w:val="0"/>
    </w:pPr>
    <w:rPr>
      <w:rFonts w:ascii="FS Thrive Elliot Heavy" w:eastAsiaTheme="majorEastAsia" w:hAnsi="FS Thrive Elliot Heavy" w:cstheme="majorBidi"/>
      <w:b/>
      <w:bCs/>
      <w:color w:val="000000" w:themeColor="text1"/>
      <w:sz w:val="36"/>
      <w:szCs w:val="28"/>
    </w:rPr>
  </w:style>
  <w:style w:type="paragraph" w:styleId="Heading2">
    <w:name w:val="heading 2"/>
    <w:basedOn w:val="Normal"/>
    <w:next w:val="Normal"/>
    <w:link w:val="Heading2Char"/>
    <w:uiPriority w:val="9"/>
    <w:unhideWhenUsed/>
    <w:qFormat/>
    <w:rsid w:val="00E82861"/>
    <w:pPr>
      <w:keepNext/>
      <w:keepLines/>
      <w:spacing w:before="200" w:after="240"/>
      <w:outlineLvl w:val="1"/>
    </w:pPr>
    <w:rPr>
      <w:rFonts w:asciiTheme="majorHAnsi" w:eastAsiaTheme="majorEastAsia" w:hAnsiTheme="majorHAnsi" w:cstheme="majorBidi"/>
      <w:b/>
      <w:bCs/>
      <w:color w:val="000000" w:themeColor="text1"/>
      <w:sz w:val="32"/>
      <w:szCs w:val="26"/>
    </w:rPr>
  </w:style>
  <w:style w:type="paragraph" w:styleId="Heading3">
    <w:name w:val="heading 3"/>
    <w:basedOn w:val="Normal"/>
    <w:next w:val="Normal"/>
    <w:link w:val="Heading3Char"/>
    <w:uiPriority w:val="9"/>
    <w:unhideWhenUsed/>
    <w:qFormat/>
    <w:rsid w:val="00E82861"/>
    <w:pPr>
      <w:keepNext/>
      <w:keepLines/>
      <w:spacing w:before="200" w:after="240"/>
      <w:outlineLvl w:val="2"/>
    </w:pPr>
    <w:rPr>
      <w:rFonts w:asciiTheme="majorHAnsi" w:eastAsiaTheme="majorEastAsia" w:hAnsiTheme="majorHAnsi" w:cstheme="majorBidi"/>
      <w:b/>
      <w:bCs/>
      <w:sz w:val="28"/>
      <w:szCs w:val="28"/>
    </w:rPr>
  </w:style>
  <w:style w:type="paragraph" w:styleId="Heading4">
    <w:name w:val="heading 4"/>
    <w:basedOn w:val="Normal"/>
    <w:next w:val="Normal"/>
    <w:link w:val="Heading4Char"/>
    <w:uiPriority w:val="9"/>
    <w:unhideWhenUsed/>
    <w:qFormat/>
    <w:rsid w:val="00E82861"/>
    <w:pPr>
      <w:keepNext/>
      <w:keepLines/>
      <w:spacing w:before="200"/>
      <w:outlineLvl w:val="3"/>
    </w:pPr>
    <w:rPr>
      <w:rFonts w:asciiTheme="majorHAnsi" w:eastAsiaTheme="majorEastAsia" w:hAnsiTheme="majorHAnsi" w:cstheme="majorBidi"/>
      <w:b/>
      <w:bCs/>
      <w:iCs/>
      <w:color w:val="000000" w:themeColor="text1"/>
      <w:sz w:val="24"/>
      <w:szCs w:val="24"/>
    </w:rPr>
  </w:style>
  <w:style w:type="paragraph" w:styleId="Heading5">
    <w:name w:val="heading 5"/>
    <w:basedOn w:val="Normal"/>
    <w:next w:val="Normal"/>
    <w:link w:val="Heading5Char"/>
    <w:uiPriority w:val="9"/>
    <w:semiHidden/>
    <w:unhideWhenUsed/>
    <w:qFormat/>
    <w:rsid w:val="00E82861"/>
    <w:pPr>
      <w:keepNext/>
      <w:keepLines/>
      <w:spacing w:before="200"/>
      <w:outlineLvl w:val="4"/>
    </w:pPr>
    <w:rPr>
      <w:rFonts w:asciiTheme="majorHAnsi" w:eastAsiaTheme="majorEastAsia" w:hAnsiTheme="majorHAnsi" w:cstheme="majorBidi"/>
      <w:color w:val="7F780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2861"/>
    <w:rPr>
      <w:rFonts w:ascii="FS Thrive Elliot Heavy" w:eastAsiaTheme="majorEastAsia" w:hAnsi="FS Thrive Elliot Heavy" w:cstheme="majorBidi"/>
      <w:b/>
      <w:bCs/>
      <w:color w:val="000000" w:themeColor="text1"/>
      <w:sz w:val="36"/>
      <w:szCs w:val="28"/>
    </w:rPr>
  </w:style>
  <w:style w:type="paragraph" w:customStyle="1" w:styleId="NormalDS">
    <w:name w:val="NormalDS"/>
    <w:basedOn w:val="Normal"/>
    <w:qFormat/>
    <w:rsid w:val="00B33A2C"/>
    <w:pPr>
      <w:spacing w:after="240"/>
    </w:pPr>
  </w:style>
  <w:style w:type="character" w:customStyle="1" w:styleId="Heading2Char">
    <w:name w:val="Heading 2 Char"/>
    <w:basedOn w:val="DefaultParagraphFont"/>
    <w:link w:val="Heading2"/>
    <w:uiPriority w:val="9"/>
    <w:rsid w:val="00E82861"/>
    <w:rPr>
      <w:rFonts w:asciiTheme="majorHAnsi" w:eastAsiaTheme="majorEastAsia" w:hAnsiTheme="majorHAnsi" w:cstheme="majorBidi"/>
      <w:b/>
      <w:bCs/>
      <w:color w:val="000000" w:themeColor="text1"/>
      <w:sz w:val="32"/>
      <w:szCs w:val="26"/>
    </w:rPr>
  </w:style>
  <w:style w:type="character" w:customStyle="1" w:styleId="Heading3Char">
    <w:name w:val="Heading 3 Char"/>
    <w:basedOn w:val="DefaultParagraphFont"/>
    <w:link w:val="Heading3"/>
    <w:uiPriority w:val="9"/>
    <w:rsid w:val="00E82861"/>
    <w:rPr>
      <w:rFonts w:asciiTheme="majorHAnsi" w:eastAsiaTheme="majorEastAsia" w:hAnsiTheme="majorHAnsi" w:cstheme="majorBidi"/>
      <w:b/>
      <w:bCs/>
      <w:sz w:val="28"/>
      <w:szCs w:val="28"/>
    </w:rPr>
  </w:style>
  <w:style w:type="paragraph" w:customStyle="1" w:styleId="Bullet1">
    <w:name w:val="Bullet 1"/>
    <w:basedOn w:val="NormalDS"/>
    <w:qFormat/>
    <w:rsid w:val="00572B9B"/>
    <w:pPr>
      <w:numPr>
        <w:numId w:val="1"/>
      </w:numPr>
      <w:tabs>
        <w:tab w:val="left" w:pos="360"/>
      </w:tabs>
      <w:spacing w:after="120"/>
      <w:ind w:left="360"/>
    </w:pPr>
  </w:style>
  <w:style w:type="paragraph" w:customStyle="1" w:styleId="Bullet2">
    <w:name w:val="Bullet 2"/>
    <w:basedOn w:val="Bullet1"/>
    <w:qFormat/>
    <w:rsid w:val="005B402B"/>
    <w:pPr>
      <w:numPr>
        <w:numId w:val="2"/>
      </w:numPr>
      <w:spacing w:after="60"/>
      <w:ind w:left="720"/>
    </w:pPr>
  </w:style>
  <w:style w:type="paragraph" w:customStyle="1" w:styleId="Bullet3">
    <w:name w:val="Bullet 3"/>
    <w:basedOn w:val="Bullet2"/>
    <w:qFormat/>
    <w:rsid w:val="005B402B"/>
    <w:pPr>
      <w:numPr>
        <w:numId w:val="3"/>
      </w:numPr>
    </w:pPr>
  </w:style>
  <w:style w:type="paragraph" w:styleId="ListParagraph">
    <w:name w:val="List Paragraph"/>
    <w:basedOn w:val="Normal"/>
    <w:qFormat/>
    <w:rsid w:val="00230498"/>
    <w:pPr>
      <w:ind w:left="720"/>
      <w:contextualSpacing/>
    </w:pPr>
  </w:style>
  <w:style w:type="paragraph" w:customStyle="1" w:styleId="DocumentSubtitle">
    <w:name w:val="Document Subtitle"/>
    <w:basedOn w:val="Normal"/>
    <w:next w:val="Normal"/>
    <w:autoRedefine/>
    <w:qFormat/>
    <w:rsid w:val="00046D27"/>
    <w:pPr>
      <w:keepNext/>
      <w:keepLines/>
      <w:suppressAutoHyphens/>
      <w:autoSpaceDE w:val="0"/>
      <w:autoSpaceDN w:val="0"/>
      <w:adjustRightInd w:val="0"/>
      <w:spacing w:before="300" w:after="100" w:line="240" w:lineRule="auto"/>
      <w:textAlignment w:val="center"/>
    </w:pPr>
    <w:rPr>
      <w:rFonts w:eastAsia="Times New Roman" w:cs="Times New Roman"/>
      <w:sz w:val="32"/>
      <w:szCs w:val="20"/>
    </w:rPr>
  </w:style>
  <w:style w:type="character" w:customStyle="1" w:styleId="Heading4Char">
    <w:name w:val="Heading 4 Char"/>
    <w:basedOn w:val="DefaultParagraphFont"/>
    <w:link w:val="Heading4"/>
    <w:uiPriority w:val="9"/>
    <w:rsid w:val="00E82861"/>
    <w:rPr>
      <w:rFonts w:asciiTheme="majorHAnsi" w:eastAsiaTheme="majorEastAsia" w:hAnsiTheme="majorHAnsi" w:cstheme="majorBidi"/>
      <w:b/>
      <w:bCs/>
      <w:iCs/>
      <w:color w:val="000000" w:themeColor="text1"/>
      <w:sz w:val="24"/>
      <w:szCs w:val="24"/>
    </w:rPr>
  </w:style>
  <w:style w:type="paragraph" w:customStyle="1" w:styleId="Bullet4">
    <w:name w:val="Bullet 4"/>
    <w:basedOn w:val="Normal"/>
    <w:rsid w:val="00133EB8"/>
    <w:pPr>
      <w:numPr>
        <w:numId w:val="5"/>
      </w:numPr>
      <w:spacing w:after="120" w:line="240" w:lineRule="auto"/>
      <w:ind w:left="1350" w:hanging="270"/>
    </w:pPr>
    <w:rPr>
      <w:rFonts w:eastAsia="Times New Roman" w:cs="Times New Roman"/>
      <w:szCs w:val="20"/>
      <w:lang w:val="de-DE"/>
    </w:rPr>
  </w:style>
  <w:style w:type="paragraph" w:customStyle="1" w:styleId="Bullet5">
    <w:name w:val="Bullet 5"/>
    <w:basedOn w:val="Normal"/>
    <w:rsid w:val="00133EB8"/>
    <w:pPr>
      <w:numPr>
        <w:numId w:val="6"/>
      </w:numPr>
      <w:spacing w:after="120" w:line="240" w:lineRule="auto"/>
      <w:ind w:left="1620" w:hanging="270"/>
    </w:pPr>
    <w:rPr>
      <w:rFonts w:eastAsia="Times New Roman" w:cs="Times New Roman"/>
      <w:szCs w:val="20"/>
    </w:rPr>
  </w:style>
  <w:style w:type="paragraph" w:customStyle="1" w:styleId="AlightFooter">
    <w:name w:val="Alight Footer"/>
    <w:basedOn w:val="Normal"/>
    <w:autoRedefine/>
    <w:rsid w:val="00004CB7"/>
    <w:pPr>
      <w:tabs>
        <w:tab w:val="right" w:pos="9360"/>
      </w:tabs>
      <w:spacing w:line="240" w:lineRule="auto"/>
    </w:pPr>
    <w:rPr>
      <w:rFonts w:ascii="FS Elliot Pro Thin" w:eastAsia="MS Mincho" w:hAnsi="FS Elliot Pro Thin" w:cs="Times New Roman"/>
      <w:sz w:val="16"/>
      <w:szCs w:val="16"/>
    </w:rPr>
  </w:style>
  <w:style w:type="paragraph" w:customStyle="1" w:styleId="BusinessUnit">
    <w:name w:val="Business Unit"/>
    <w:basedOn w:val="AlightFooter"/>
    <w:qFormat/>
    <w:rsid w:val="00004CB7"/>
    <w:rPr>
      <w:b/>
    </w:rPr>
  </w:style>
  <w:style w:type="paragraph" w:customStyle="1" w:styleId="Contact">
    <w:name w:val="Contact"/>
    <w:basedOn w:val="Normal"/>
    <w:rsid w:val="00004CB7"/>
    <w:pPr>
      <w:spacing w:line="264" w:lineRule="auto"/>
    </w:pPr>
    <w:rPr>
      <w:rFonts w:eastAsia="MS Mincho" w:cs="Times New Roman"/>
      <w:szCs w:val="20"/>
    </w:rPr>
  </w:style>
  <w:style w:type="paragraph" w:customStyle="1" w:styleId="ContactName">
    <w:name w:val="Contact Name"/>
    <w:basedOn w:val="Contact"/>
    <w:rsid w:val="00004CB7"/>
    <w:rPr>
      <w:b/>
    </w:rPr>
  </w:style>
  <w:style w:type="paragraph" w:customStyle="1" w:styleId="DocumentTitle">
    <w:name w:val="Document Title"/>
    <w:basedOn w:val="Normal"/>
    <w:qFormat/>
    <w:rsid w:val="001D01D4"/>
    <w:pPr>
      <w:spacing w:line="240" w:lineRule="auto"/>
    </w:pPr>
    <w:rPr>
      <w:rFonts w:ascii="FS Elliot Pro Heavy" w:hAnsi="FS Elliot Pro Heavy"/>
      <w:sz w:val="72"/>
    </w:rPr>
  </w:style>
  <w:style w:type="paragraph" w:customStyle="1" w:styleId="LegalCopy">
    <w:name w:val="Legal Copy"/>
    <w:basedOn w:val="Normal"/>
    <w:rsid w:val="00207AC9"/>
    <w:pPr>
      <w:spacing w:line="264" w:lineRule="auto"/>
    </w:pPr>
    <w:rPr>
      <w:rFonts w:eastAsia="Times New Roman" w:cs="Times New Roman"/>
      <w:sz w:val="16"/>
      <w:szCs w:val="16"/>
    </w:rPr>
  </w:style>
  <w:style w:type="paragraph" w:customStyle="1" w:styleId="MarketPractice">
    <w:name w:val="Market/Practice"/>
    <w:basedOn w:val="AlightFooter"/>
    <w:qFormat/>
    <w:rsid w:val="00004CB7"/>
    <w:rPr>
      <w:noProof/>
      <w:sz w:val="15"/>
    </w:rPr>
  </w:style>
  <w:style w:type="paragraph" w:customStyle="1" w:styleId="TableColumnHead">
    <w:name w:val="Table Column Head"/>
    <w:basedOn w:val="Normal"/>
    <w:rsid w:val="001D01D4"/>
    <w:pPr>
      <w:spacing w:after="60" w:line="240" w:lineRule="auto"/>
    </w:pPr>
    <w:rPr>
      <w:rFonts w:eastAsia="Times" w:cs="Arial"/>
      <w:b/>
      <w:szCs w:val="20"/>
    </w:rPr>
  </w:style>
  <w:style w:type="paragraph" w:customStyle="1" w:styleId="TableCopy">
    <w:name w:val="Table Copy"/>
    <w:basedOn w:val="Normal"/>
    <w:rsid w:val="00004CB7"/>
    <w:pPr>
      <w:spacing w:before="40" w:line="200" w:lineRule="atLeast"/>
    </w:pPr>
    <w:rPr>
      <w:rFonts w:eastAsia="MS Mincho" w:cs="Arial"/>
      <w:szCs w:val="20"/>
    </w:rPr>
  </w:style>
  <w:style w:type="paragraph" w:customStyle="1" w:styleId="TableHeader">
    <w:name w:val="Table Header"/>
    <w:basedOn w:val="Normal"/>
    <w:rsid w:val="00004CB7"/>
    <w:pPr>
      <w:spacing w:line="240" w:lineRule="auto"/>
    </w:pPr>
    <w:rPr>
      <w:rFonts w:eastAsia="Times" w:cs="Arial"/>
      <w:b/>
      <w:szCs w:val="20"/>
    </w:rPr>
  </w:style>
  <w:style w:type="paragraph" w:customStyle="1" w:styleId="TableTitle">
    <w:name w:val="Table Title"/>
    <w:basedOn w:val="Normal"/>
    <w:rsid w:val="00004CB7"/>
    <w:pPr>
      <w:autoSpaceDE w:val="0"/>
      <w:autoSpaceDN w:val="0"/>
      <w:adjustRightInd w:val="0"/>
      <w:spacing w:after="240" w:line="240" w:lineRule="auto"/>
      <w:textAlignment w:val="center"/>
    </w:pPr>
    <w:rPr>
      <w:rFonts w:eastAsia="Times New Roman" w:cs="Times New Roman"/>
      <w:b/>
      <w:bCs/>
      <w:color w:val="000000"/>
      <w:szCs w:val="20"/>
    </w:rPr>
  </w:style>
  <w:style w:type="paragraph" w:customStyle="1" w:styleId="TOCHeader">
    <w:name w:val="TOC Header"/>
    <w:basedOn w:val="Normal"/>
    <w:next w:val="Heading1"/>
    <w:rsid w:val="00E147BB"/>
    <w:pPr>
      <w:spacing w:before="120" w:after="240" w:line="264" w:lineRule="auto"/>
    </w:pPr>
    <w:rPr>
      <w:rFonts w:asciiTheme="majorHAnsi" w:eastAsia="MS Mincho" w:hAnsiTheme="majorHAnsi" w:cs="Times New Roman"/>
      <w:color w:val="000000" w:themeColor="text1"/>
      <w:sz w:val="36"/>
      <w:szCs w:val="36"/>
    </w:rPr>
  </w:style>
  <w:style w:type="character" w:styleId="Hyperlink">
    <w:name w:val="Hyperlink"/>
    <w:basedOn w:val="DefaultParagraphFont"/>
    <w:uiPriority w:val="99"/>
    <w:rsid w:val="00004CB7"/>
    <w:rPr>
      <w:color w:val="0000FF"/>
      <w:u w:val="single"/>
    </w:rPr>
  </w:style>
  <w:style w:type="paragraph" w:styleId="TOC2">
    <w:name w:val="toc 2"/>
    <w:basedOn w:val="TOC1"/>
    <w:uiPriority w:val="39"/>
    <w:rsid w:val="00004CB7"/>
    <w:pPr>
      <w:tabs>
        <w:tab w:val="right" w:pos="7920"/>
      </w:tabs>
      <w:spacing w:before="240" w:after="240" w:line="240" w:lineRule="auto"/>
    </w:pPr>
    <w:rPr>
      <w:rFonts w:eastAsia="MS Mincho" w:cs="Times New Roman"/>
      <w:noProof/>
      <w:szCs w:val="20"/>
    </w:rPr>
  </w:style>
  <w:style w:type="paragraph" w:styleId="TOC3">
    <w:name w:val="toc 3"/>
    <w:basedOn w:val="Normal"/>
    <w:next w:val="Normal"/>
    <w:uiPriority w:val="39"/>
    <w:rsid w:val="00004CB7"/>
    <w:pPr>
      <w:tabs>
        <w:tab w:val="right" w:pos="7920"/>
      </w:tabs>
      <w:spacing w:line="480" w:lineRule="auto"/>
      <w:ind w:left="360"/>
    </w:pPr>
    <w:rPr>
      <w:rFonts w:eastAsia="Times" w:cs="Times New Roman"/>
      <w:szCs w:val="20"/>
    </w:rPr>
  </w:style>
  <w:style w:type="paragraph" w:styleId="TOC4">
    <w:name w:val="toc 4"/>
    <w:basedOn w:val="Normal"/>
    <w:next w:val="Normal"/>
    <w:autoRedefine/>
    <w:uiPriority w:val="39"/>
    <w:rsid w:val="00004CB7"/>
    <w:pPr>
      <w:tabs>
        <w:tab w:val="right" w:pos="7920"/>
      </w:tabs>
      <w:spacing w:line="480" w:lineRule="auto"/>
      <w:ind w:left="720"/>
    </w:pPr>
    <w:rPr>
      <w:rFonts w:eastAsia="Times" w:cs="Times New Roman"/>
      <w:noProof/>
      <w:szCs w:val="20"/>
    </w:rPr>
  </w:style>
  <w:style w:type="paragraph" w:customStyle="1" w:styleId="NoteParagraphItalic">
    <w:name w:val="Note: Paragraph/Italic"/>
    <w:basedOn w:val="Normal"/>
    <w:rsid w:val="00004CB7"/>
    <w:pPr>
      <w:spacing w:after="240" w:line="264" w:lineRule="auto"/>
    </w:pPr>
    <w:rPr>
      <w:rFonts w:eastAsia="MS Mincho" w:cs="Times New Roman"/>
      <w:i/>
      <w:szCs w:val="20"/>
    </w:rPr>
  </w:style>
  <w:style w:type="paragraph" w:styleId="TOC1">
    <w:name w:val="toc 1"/>
    <w:basedOn w:val="Normal"/>
    <w:next w:val="Normal"/>
    <w:autoRedefine/>
    <w:uiPriority w:val="39"/>
    <w:semiHidden/>
    <w:unhideWhenUsed/>
    <w:rsid w:val="00004CB7"/>
    <w:pPr>
      <w:spacing w:after="100"/>
    </w:pPr>
  </w:style>
  <w:style w:type="paragraph" w:styleId="Header">
    <w:name w:val="header"/>
    <w:basedOn w:val="Normal"/>
    <w:link w:val="HeaderChar"/>
    <w:uiPriority w:val="99"/>
    <w:unhideWhenUsed/>
    <w:rsid w:val="00004CB7"/>
    <w:pPr>
      <w:tabs>
        <w:tab w:val="center" w:pos="4680"/>
        <w:tab w:val="right" w:pos="9360"/>
      </w:tabs>
      <w:spacing w:line="240" w:lineRule="auto"/>
    </w:pPr>
  </w:style>
  <w:style w:type="character" w:customStyle="1" w:styleId="HeaderChar">
    <w:name w:val="Header Char"/>
    <w:basedOn w:val="DefaultParagraphFont"/>
    <w:link w:val="Header"/>
    <w:uiPriority w:val="99"/>
    <w:rsid w:val="00004CB7"/>
    <w:rPr>
      <w:rFonts w:ascii="FS Elliot Pro" w:hAnsi="FS Elliot Pro"/>
      <w:sz w:val="20"/>
    </w:rPr>
  </w:style>
  <w:style w:type="paragraph" w:styleId="Footer">
    <w:name w:val="footer"/>
    <w:basedOn w:val="Normal"/>
    <w:link w:val="FooterChar"/>
    <w:uiPriority w:val="99"/>
    <w:unhideWhenUsed/>
    <w:rsid w:val="00004CB7"/>
    <w:pPr>
      <w:tabs>
        <w:tab w:val="center" w:pos="4680"/>
        <w:tab w:val="right" w:pos="9360"/>
      </w:tabs>
      <w:spacing w:line="240" w:lineRule="auto"/>
    </w:pPr>
  </w:style>
  <w:style w:type="character" w:customStyle="1" w:styleId="FooterChar">
    <w:name w:val="Footer Char"/>
    <w:basedOn w:val="DefaultParagraphFont"/>
    <w:link w:val="Footer"/>
    <w:uiPriority w:val="99"/>
    <w:rsid w:val="00004CB7"/>
    <w:rPr>
      <w:rFonts w:ascii="FS Elliot Pro" w:hAnsi="FS Elliot Pro"/>
      <w:sz w:val="20"/>
    </w:rPr>
  </w:style>
  <w:style w:type="paragraph" w:styleId="BalloonText">
    <w:name w:val="Balloon Text"/>
    <w:basedOn w:val="Normal"/>
    <w:link w:val="BalloonTextChar"/>
    <w:uiPriority w:val="99"/>
    <w:semiHidden/>
    <w:unhideWhenUsed/>
    <w:rsid w:val="00877C5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7C5D"/>
    <w:rPr>
      <w:rFonts w:ascii="Tahoma" w:hAnsi="Tahoma" w:cs="Tahoma"/>
      <w:sz w:val="16"/>
      <w:szCs w:val="16"/>
    </w:rPr>
  </w:style>
  <w:style w:type="paragraph" w:customStyle="1" w:styleId="Bullet1Table">
    <w:name w:val="Bullet 1 Table"/>
    <w:basedOn w:val="Bullet1"/>
    <w:qFormat/>
    <w:rsid w:val="00132EAB"/>
    <w:pPr>
      <w:numPr>
        <w:numId w:val="4"/>
      </w:numPr>
      <w:spacing w:after="40"/>
    </w:pPr>
  </w:style>
  <w:style w:type="paragraph" w:customStyle="1" w:styleId="Bullet2Table">
    <w:name w:val="Bullet 2 Table"/>
    <w:basedOn w:val="Bullet2"/>
    <w:qFormat/>
    <w:rsid w:val="00132EAB"/>
  </w:style>
  <w:style w:type="paragraph" w:customStyle="1" w:styleId="Bullet3Table">
    <w:name w:val="Bullet 3 Table"/>
    <w:basedOn w:val="Bullet3"/>
    <w:qFormat/>
    <w:rsid w:val="00132EAB"/>
  </w:style>
  <w:style w:type="paragraph" w:customStyle="1" w:styleId="Bullet4Table">
    <w:name w:val="Bullet 4 Table"/>
    <w:basedOn w:val="Bullet4"/>
    <w:qFormat/>
    <w:rsid w:val="00132EAB"/>
  </w:style>
  <w:style w:type="character" w:customStyle="1" w:styleId="Heading5Char">
    <w:name w:val="Heading 5 Char"/>
    <w:basedOn w:val="DefaultParagraphFont"/>
    <w:link w:val="Heading5"/>
    <w:uiPriority w:val="9"/>
    <w:semiHidden/>
    <w:rsid w:val="00E82861"/>
    <w:rPr>
      <w:rFonts w:asciiTheme="majorHAnsi" w:eastAsiaTheme="majorEastAsia" w:hAnsiTheme="majorHAnsi" w:cstheme="majorBidi"/>
      <w:color w:val="7F7800" w:themeColor="accent1" w:themeShade="7F"/>
      <w:sz w:val="20"/>
    </w:rPr>
  </w:style>
  <w:style w:type="numbering" w:customStyle="1" w:styleId="AonList">
    <w:name w:val="Aon List"/>
    <w:rsid w:val="005D6101"/>
    <w:pPr>
      <w:numPr>
        <w:numId w:val="7"/>
      </w:numPr>
    </w:pPr>
  </w:style>
  <w:style w:type="paragraph" w:customStyle="1" w:styleId="AonBullet1">
    <w:name w:val="Aon Bullet 1"/>
    <w:basedOn w:val="Normal"/>
    <w:rsid w:val="005D6101"/>
    <w:pPr>
      <w:numPr>
        <w:numId w:val="8"/>
      </w:numPr>
      <w:spacing w:after="120" w:line="240" w:lineRule="auto"/>
    </w:pPr>
    <w:rPr>
      <w:rFonts w:ascii="Arial" w:eastAsia="Times New Roman" w:hAnsi="Arial" w:cs="Times New Roman"/>
      <w:szCs w:val="20"/>
    </w:rPr>
  </w:style>
  <w:style w:type="paragraph" w:customStyle="1" w:styleId="AonDocumentTitle">
    <w:name w:val="Aon Document Title"/>
    <w:basedOn w:val="Normal"/>
    <w:next w:val="Normal"/>
    <w:rsid w:val="005D6101"/>
    <w:pPr>
      <w:keepNext/>
      <w:keepLines/>
      <w:suppressAutoHyphens/>
      <w:autoSpaceDE w:val="0"/>
      <w:autoSpaceDN w:val="0"/>
      <w:adjustRightInd w:val="0"/>
      <w:spacing w:after="240" w:line="264" w:lineRule="auto"/>
      <w:textAlignment w:val="center"/>
    </w:pPr>
    <w:rPr>
      <w:rFonts w:ascii="Arial" w:eastAsia="Times New Roman" w:hAnsi="Arial" w:cs="Times New Roman"/>
      <w:color w:val="E11B22"/>
      <w:sz w:val="64"/>
      <w:szCs w:val="64"/>
    </w:rPr>
  </w:style>
  <w:style w:type="paragraph" w:customStyle="1" w:styleId="AonBullet2">
    <w:name w:val="Aon Bullet 2"/>
    <w:basedOn w:val="Normal"/>
    <w:rsid w:val="005D6101"/>
    <w:pPr>
      <w:numPr>
        <w:ilvl w:val="1"/>
        <w:numId w:val="8"/>
      </w:numPr>
      <w:spacing w:after="120" w:line="240" w:lineRule="auto"/>
    </w:pPr>
    <w:rPr>
      <w:rFonts w:ascii="Arial" w:eastAsia="Times New Roman" w:hAnsi="Arial" w:cs="Times New Roman"/>
      <w:szCs w:val="20"/>
    </w:rPr>
  </w:style>
  <w:style w:type="paragraph" w:customStyle="1" w:styleId="AonBullet3">
    <w:name w:val="Aon Bullet 3"/>
    <w:basedOn w:val="Normal"/>
    <w:rsid w:val="005D6101"/>
    <w:pPr>
      <w:numPr>
        <w:ilvl w:val="2"/>
        <w:numId w:val="8"/>
      </w:numPr>
      <w:spacing w:after="120" w:line="240" w:lineRule="auto"/>
    </w:pPr>
    <w:rPr>
      <w:rFonts w:ascii="Arial" w:eastAsia="Times New Roman" w:hAnsi="Arial" w:cs="Times New Roman"/>
      <w:szCs w:val="20"/>
    </w:rPr>
  </w:style>
  <w:style w:type="paragraph" w:customStyle="1" w:styleId="AonBullet4">
    <w:name w:val="Aon Bullet 4"/>
    <w:basedOn w:val="Normal"/>
    <w:rsid w:val="005D6101"/>
    <w:pPr>
      <w:numPr>
        <w:ilvl w:val="3"/>
        <w:numId w:val="8"/>
      </w:numPr>
      <w:spacing w:after="120" w:line="240" w:lineRule="auto"/>
    </w:pPr>
    <w:rPr>
      <w:rFonts w:ascii="Arial" w:eastAsia="Times New Roman" w:hAnsi="Arial" w:cs="Times New Roman"/>
      <w:szCs w:val="20"/>
      <w:lang w:val="de-DE"/>
    </w:rPr>
  </w:style>
  <w:style w:type="paragraph" w:customStyle="1" w:styleId="AonBullet5">
    <w:name w:val="Aon Bullet 5"/>
    <w:basedOn w:val="Normal"/>
    <w:rsid w:val="005D6101"/>
    <w:pPr>
      <w:numPr>
        <w:ilvl w:val="4"/>
        <w:numId w:val="8"/>
      </w:numPr>
      <w:spacing w:after="120" w:line="240" w:lineRule="auto"/>
    </w:pPr>
    <w:rPr>
      <w:rFonts w:ascii="Arial" w:eastAsia="Times New Roman" w:hAnsi="Arial" w:cs="Times New Roman"/>
      <w:szCs w:val="20"/>
    </w:rPr>
  </w:style>
  <w:style w:type="paragraph" w:styleId="BodyText">
    <w:name w:val="Body Text"/>
    <w:basedOn w:val="Normal"/>
    <w:link w:val="BodyTextChar"/>
    <w:rsid w:val="005D6101"/>
    <w:pPr>
      <w:spacing w:after="240"/>
      <w:ind w:left="1440"/>
    </w:pPr>
    <w:rPr>
      <w:rFonts w:ascii="Arial" w:eastAsia="MS Mincho" w:hAnsi="Arial" w:cs="Times New Roman"/>
      <w:sz w:val="22"/>
    </w:rPr>
  </w:style>
  <w:style w:type="character" w:customStyle="1" w:styleId="BodyTextChar">
    <w:name w:val="Body Text Char"/>
    <w:basedOn w:val="DefaultParagraphFont"/>
    <w:link w:val="BodyText"/>
    <w:rsid w:val="005D6101"/>
    <w:rPr>
      <w:rFonts w:ascii="Arial" w:eastAsia="MS Mincho" w:hAnsi="Arial" w:cs="Times New Roman"/>
    </w:rPr>
  </w:style>
  <w:style w:type="paragraph" w:customStyle="1" w:styleId="FNSTableTextRow">
    <w:name w:val="FNS Table Text Row"/>
    <w:basedOn w:val="Normal"/>
    <w:link w:val="FNSTableTextRowChar"/>
    <w:rsid w:val="005D6101"/>
    <w:pPr>
      <w:spacing w:before="60" w:after="60" w:line="240" w:lineRule="auto"/>
    </w:pPr>
    <w:rPr>
      <w:rFonts w:ascii="Calibri" w:eastAsia="MS Mincho" w:hAnsi="Calibri" w:cs="Times New Roman"/>
      <w:sz w:val="18"/>
    </w:rPr>
  </w:style>
  <w:style w:type="character" w:customStyle="1" w:styleId="FNSTableTextRowChar">
    <w:name w:val="FNS Table Text Row Char"/>
    <w:link w:val="FNSTableTextRow"/>
    <w:locked/>
    <w:rsid w:val="005D6101"/>
    <w:rPr>
      <w:rFonts w:ascii="Calibri" w:eastAsia="MS Mincho" w:hAnsi="Calibri" w:cs="Times New Roman"/>
      <w:sz w:val="18"/>
    </w:rPr>
  </w:style>
  <w:style w:type="paragraph" w:customStyle="1" w:styleId="FNSTableTitleRow1">
    <w:name w:val="FNS Table Title Row 1"/>
    <w:basedOn w:val="Normal"/>
    <w:rsid w:val="005D6101"/>
    <w:pPr>
      <w:spacing w:before="40" w:after="40" w:line="240" w:lineRule="auto"/>
      <w:jc w:val="center"/>
    </w:pPr>
    <w:rPr>
      <w:rFonts w:ascii="Calibri" w:eastAsia="Times New Roman" w:hAnsi="Calibri" w:cs="Times New Roman"/>
      <w:bCs/>
      <w:spacing w:val="20"/>
    </w:rPr>
  </w:style>
  <w:style w:type="paragraph" w:customStyle="1" w:styleId="FNSVersionControl-RightColumn">
    <w:name w:val="FNS Version Control - Right Column"/>
    <w:basedOn w:val="FNSTableTextRow"/>
    <w:rsid w:val="005D6101"/>
    <w:rPr>
      <w:i/>
      <w:iCs/>
    </w:rPr>
  </w:style>
  <w:style w:type="paragraph" w:customStyle="1" w:styleId="AonBodyCopy">
    <w:name w:val="Aon Body Copy"/>
    <w:basedOn w:val="Normal"/>
    <w:link w:val="AonBodyCopyChar"/>
    <w:rsid w:val="00321778"/>
    <w:pPr>
      <w:spacing w:after="240" w:line="264" w:lineRule="auto"/>
    </w:pPr>
    <w:rPr>
      <w:rFonts w:ascii="Arial" w:eastAsia="MS Mincho" w:hAnsi="Arial" w:cs="Times New Roman"/>
      <w:szCs w:val="20"/>
    </w:rPr>
  </w:style>
  <w:style w:type="character" w:customStyle="1" w:styleId="AonBodyCopyChar">
    <w:name w:val="Aon Body Copy Char"/>
    <w:basedOn w:val="DefaultParagraphFont"/>
    <w:link w:val="AonBodyCopy"/>
    <w:rsid w:val="00321778"/>
    <w:rPr>
      <w:rFonts w:ascii="Arial" w:eastAsia="MS Mincho" w:hAnsi="Arial" w:cs="Times New Roman"/>
      <w:sz w:val="20"/>
      <w:szCs w:val="20"/>
    </w:rPr>
  </w:style>
  <w:style w:type="paragraph" w:customStyle="1" w:styleId="TableRowHead">
    <w:name w:val="TableRowHead"/>
    <w:basedOn w:val="Normal"/>
    <w:rsid w:val="004A18EB"/>
    <w:pPr>
      <w:spacing w:before="40" w:line="200" w:lineRule="atLeast"/>
    </w:pPr>
    <w:rPr>
      <w:rFonts w:ascii="Arial" w:eastAsia="MS Mincho" w:hAnsi="Arial" w:cs="Arial"/>
      <w:b/>
      <w:szCs w:val="20"/>
    </w:rPr>
  </w:style>
  <w:style w:type="paragraph" w:customStyle="1" w:styleId="TableColumnHead0">
    <w:name w:val="TableColumnHead"/>
    <w:basedOn w:val="Normal"/>
    <w:rsid w:val="004A18EB"/>
    <w:pPr>
      <w:spacing w:after="60" w:line="240" w:lineRule="auto"/>
      <w:jc w:val="right"/>
    </w:pPr>
    <w:rPr>
      <w:rFonts w:ascii="Arial" w:eastAsia="Times New Roman" w:hAnsi="Arial" w:cs="Arial"/>
      <w:b/>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7172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customXml" Target="../customXml/item4.xml"/><Relationship Id="rId2" Type="http://schemas.openxmlformats.org/officeDocument/2006/relationships/numbering" Target="numbering.xml"/><Relationship Id="rId16" Type="http://schemas.openxmlformats.org/officeDocument/2006/relationships/customXml" Target="../customXml/item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customXml" Target="../customXml/item2.xml"/><Relationship Id="rId10" Type="http://schemas.openxmlformats.org/officeDocument/2006/relationships/hyperlink" Target="mailto:SRM.Mailbox@aon.com" TargetMode="External"/><Relationship Id="rId4" Type="http://schemas.microsoft.com/office/2007/relationships/stylesWithEffects" Target="stylesWithEffects.xml"/><Relationship Id="rId9" Type="http://schemas.openxmlformats.org/officeDocument/2006/relationships/hyperlink" Target="mailto:global.security.services@aon.com" TargetMode="Externa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Alight">
  <a:themeElements>
    <a:clrScheme name="Alight">
      <a:dk1>
        <a:srgbClr val="000000"/>
      </a:dk1>
      <a:lt1>
        <a:sysClr val="window" lastClr="FFFFFF"/>
      </a:lt1>
      <a:dk2>
        <a:srgbClr val="777877"/>
      </a:dk2>
      <a:lt2>
        <a:srgbClr val="FFF200"/>
      </a:lt2>
      <a:accent1>
        <a:srgbClr val="FFF200"/>
      </a:accent1>
      <a:accent2>
        <a:srgbClr val="725091"/>
      </a:accent2>
      <a:accent3>
        <a:srgbClr val="1473A5"/>
      </a:accent3>
      <a:accent4>
        <a:srgbClr val="8BD0CD"/>
      </a:accent4>
      <a:accent5>
        <a:srgbClr val="00AF57"/>
      </a:accent5>
      <a:accent6>
        <a:srgbClr val="000000"/>
      </a:accent6>
      <a:hlink>
        <a:srgbClr val="000000"/>
      </a:hlink>
      <a:folHlink>
        <a:srgbClr val="777877"/>
      </a:folHlink>
    </a:clrScheme>
    <a:fontScheme name="FS Thrive Elliot">
      <a:majorFont>
        <a:latin typeface="FS Thrive Elliot Heavy"/>
        <a:ea typeface=""/>
        <a:cs typeface=""/>
      </a:majorFont>
      <a:minorFont>
        <a:latin typeface="FS Thrive Elliot"/>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bodyPr lIns="0" tIns="0" rIns="0" bIns="0" anchor="t">
        <a:noAutofit/>
      </a:bodyPr>
      <a:lstStyle>
        <a:defPPr>
          <a:lnSpc>
            <a:spcPts val="2000"/>
          </a:lnSpc>
          <a:defRPr sz="1800" dirty="0">
            <a:solidFill>
              <a:srgbClr val="000000"/>
            </a:solidFill>
            <a:latin typeface="+mn-lt"/>
            <a:cs typeface="FS Thrive Elliot Regular"/>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F78741735743CE4784466B0A0776B074" ma:contentTypeVersion="0" ma:contentTypeDescription="Create a new document." ma:contentTypeScope="" ma:versionID="09b12081014b2eea1ff1b820d5635493">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41FDE9C-063D-4105-8FDE-AACCAE242F27}">
  <ds:schemaRefs>
    <ds:schemaRef ds:uri="http://schemas.openxmlformats.org/officeDocument/2006/bibliography"/>
  </ds:schemaRefs>
</ds:datastoreItem>
</file>

<file path=customXml/itemProps2.xml><?xml version="1.0" encoding="utf-8"?>
<ds:datastoreItem xmlns:ds="http://schemas.openxmlformats.org/officeDocument/2006/customXml" ds:itemID="{3BAAC73A-EDAD-4F28-B47B-F11530A77D81}"/>
</file>

<file path=customXml/itemProps3.xml><?xml version="1.0" encoding="utf-8"?>
<ds:datastoreItem xmlns:ds="http://schemas.openxmlformats.org/officeDocument/2006/customXml" ds:itemID="{064F067D-4758-4E69-8D5C-35ECB2E1EE4F}"/>
</file>

<file path=customXml/itemProps4.xml><?xml version="1.0" encoding="utf-8"?>
<ds:datastoreItem xmlns:ds="http://schemas.openxmlformats.org/officeDocument/2006/customXml" ds:itemID="{13BA500D-D855-44B6-AAD9-C5B3ADF60D0C}"/>
</file>

<file path=docProps/app.xml><?xml version="1.0" encoding="utf-8"?>
<Properties xmlns="http://schemas.openxmlformats.org/officeDocument/2006/extended-properties" xmlns:vt="http://schemas.openxmlformats.org/officeDocument/2006/docPropsVTypes">
  <Template>Normal.dotm</Template>
  <TotalTime>0</TotalTime>
  <Pages>8</Pages>
  <Words>1829</Words>
  <Characters>10428</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Aon</Company>
  <LinksUpToDate>false</LinksUpToDate>
  <CharactersWithSpaces>12233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Todd Dolezal</dc:creator>
  <cp:lastModifiedBy>Courtney Weiland</cp:lastModifiedBy>
  <cp:revision>3</cp:revision>
  <dcterms:created xsi:type="dcterms:W3CDTF">2017-07-15T02:25:00Z</dcterms:created>
  <dcterms:modified xsi:type="dcterms:W3CDTF">2017-07-19T21:30:00Z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0x010100F78741735743CE4784466B0A0776B074</vt:lpwstr>
  </property>
</Properties>
</file>