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lex-antonio-abad-bedoya"/>
    <w:p>
      <w:pPr>
        <w:pStyle w:val="Heading1"/>
      </w:pPr>
      <w:r>
        <w:t xml:space="preserve">Alex Antonio Abad Bedoya</w:t>
      </w:r>
    </w:p>
    <w:p>
      <w:pPr>
        <w:pStyle w:val="FirstParagraph"/>
      </w:pPr>
      <w:r>
        <w:t xml:space="preserve">Email: AbadB.Alex@gmail.com</w:t>
      </w:r>
      <w:r>
        <w:t xml:space="preserve"> </w:t>
      </w:r>
      <w:r>
        <w:t xml:space="preserve">Teléfono: +51 999 211 682</w:t>
      </w:r>
      <w:r>
        <w:t xml:space="preserve"> </w:t>
      </w:r>
      <w:r>
        <w:t xml:space="preserve">Ubicación: San Isidro, Lima, Perú</w:t>
      </w:r>
      <w:r>
        <w:t xml:space="preserve"> </w:t>
      </w:r>
      <w:r>
        <w:t xml:space="preserve">LinkedIn: https://www.linkedin.com/in/alex-abad</w:t>
      </w:r>
    </w:p>
    <w:bookmarkStart w:id="9" w:name="perfil-profesional"/>
    <w:p>
      <w:pPr>
        <w:pStyle w:val="Heading2"/>
      </w:pPr>
      <w:r>
        <w:t xml:space="preserve">PERFIL PROFESIONAL</w:t>
      </w:r>
    </w:p>
    <w:p>
      <w:pPr>
        <w:pStyle w:val="FirstParagraph"/>
      </w:pPr>
      <w:r>
        <w:t xml:space="preserve">Profesional con más de 15 años de experiencia en dirección financiera y comercial. MBA por la Universidad Internacional de La Rioja (UNIR). Experto en estructuración de inversiones y SPV, negociación con banca e inversionistas, optimización y automatización de procesos con SQL y Power BI, y mejora continua. Amplia experiencia en finanzas, contabilidad y tesorería en sectores de entretenimiento, construcción, inmobiliario y consumo masivo. Orientado a generar valor, optimizar operaciones y escalar negocios.</w:t>
      </w:r>
    </w:p>
    <w:bookmarkEnd w:id="9"/>
    <w:bookmarkStart w:id="18" w:name="experiencia-profesional"/>
    <w:p>
      <w:pPr>
        <w:pStyle w:val="Heading2"/>
      </w:pPr>
      <w:r>
        <w:t xml:space="preserve">EXPERIENCIA PROFESIONAL</w:t>
      </w:r>
    </w:p>
    <w:bookmarkStart w:id="10" w:name="gerente-general"/>
    <w:p>
      <w:pPr>
        <w:pStyle w:val="Heading3"/>
      </w:pPr>
      <w:r>
        <w:t xml:space="preserve">Gerente General</w:t>
      </w:r>
    </w:p>
    <w:p>
      <w:pPr>
        <w:pStyle w:val="FirstParagraph"/>
      </w:pPr>
      <w:r>
        <w:rPr>
          <w:b/>
          <w:bCs/>
        </w:rPr>
        <w:t xml:space="preserve">Grupo Bros</w:t>
      </w:r>
      <w:r>
        <w:t xml:space="preserve"> </w:t>
      </w:r>
      <w:r>
        <w:t xml:space="preserve">| Lima, Perú | 05/2022 – Actualidad</w:t>
      </w:r>
    </w:p>
    <w:p>
      <w:pPr>
        <w:pStyle w:val="Compact"/>
        <w:numPr>
          <w:ilvl w:val="0"/>
          <w:numId w:val="1001"/>
        </w:numPr>
      </w:pPr>
      <w:r>
        <w:t xml:space="preserve">Incremento de facturación anual de USD 70 mil (2023) a USD 3 millones (2024), USD 7 millones (2025) y proyección USD 10 millones (2026).</w:t>
      </w:r>
    </w:p>
    <w:p>
      <w:pPr>
        <w:pStyle w:val="Compact"/>
        <w:numPr>
          <w:ilvl w:val="0"/>
          <w:numId w:val="1001"/>
        </w:numPr>
      </w:pPr>
      <w:r>
        <w:t xml:space="preserve">Estructuración con inversionistas y creación de SPV y subsidiarias, velando por viabilidad financiera, operativa y comercial.</w:t>
      </w:r>
    </w:p>
    <w:p>
      <w:pPr>
        <w:pStyle w:val="Compact"/>
        <w:numPr>
          <w:ilvl w:val="0"/>
          <w:numId w:val="1001"/>
        </w:numPr>
      </w:pPr>
      <w:r>
        <w:t xml:space="preserve">Gestión de recursos para La Agencia, creadora de marcas como Kova, Jarango, Los Juarez, Brisza, Amarea, Palmeira y Satiro.</w:t>
      </w:r>
    </w:p>
    <w:p>
      <w:pPr>
        <w:pStyle w:val="Compact"/>
        <w:numPr>
          <w:ilvl w:val="0"/>
          <w:numId w:val="1001"/>
        </w:numPr>
      </w:pPr>
      <w:r>
        <w:t xml:space="preserve">Desarrollo de nuevas líneas de negocio incluyendo eventos corporativos y servicios complementarios a terceros.</w:t>
      </w:r>
    </w:p>
    <w:p>
      <w:pPr>
        <w:pStyle w:val="Compact"/>
        <w:numPr>
          <w:ilvl w:val="0"/>
          <w:numId w:val="1001"/>
        </w:numPr>
      </w:pPr>
      <w:r>
        <w:t xml:space="preserve">Dirección de las áreas de tesorería y contabilidad, aprobación de los estados financieros del grupo y de las subsidiarias.</w:t>
      </w:r>
    </w:p>
    <w:bookmarkEnd w:id="10"/>
    <w:bookmarkStart w:id="11" w:name="coordinador-general-de-proyecto"/>
    <w:p>
      <w:pPr>
        <w:pStyle w:val="Heading3"/>
      </w:pPr>
      <w:r>
        <w:t xml:space="preserve">Coordinador General de Proyecto</w:t>
      </w:r>
    </w:p>
    <w:p>
      <w:pPr>
        <w:pStyle w:val="FirstParagraph"/>
      </w:pPr>
      <w:r>
        <w:rPr>
          <w:b/>
          <w:bCs/>
        </w:rPr>
        <w:t xml:space="preserve">Grupo Inhouse - Kallpa</w:t>
      </w:r>
      <w:r>
        <w:t xml:space="preserve"> </w:t>
      </w:r>
      <w:r>
        <w:t xml:space="preserve">| Lima, Perú | 03/2018 – 06/2020</w:t>
      </w:r>
    </w:p>
    <w:p>
      <w:pPr>
        <w:pStyle w:val="Compact"/>
        <w:numPr>
          <w:ilvl w:val="0"/>
          <w:numId w:val="1002"/>
        </w:numPr>
      </w:pPr>
      <w:r>
        <w:t xml:space="preserve">Liderazgo del equipo general, comercial, proyectos, contabilidad y tesorería para una operación de USD 8 millones anuales.</w:t>
      </w:r>
    </w:p>
    <w:p>
      <w:pPr>
        <w:pStyle w:val="Compact"/>
        <w:numPr>
          <w:ilvl w:val="0"/>
          <w:numId w:val="1002"/>
        </w:numPr>
      </w:pPr>
      <w:r>
        <w:t xml:space="preserve">Implementación de nuevos procesos para obtener información comercial y financiera, optimizando flujos con SQL y nube.</w:t>
      </w:r>
    </w:p>
    <w:p>
      <w:pPr>
        <w:pStyle w:val="Compact"/>
        <w:numPr>
          <w:ilvl w:val="0"/>
          <w:numId w:val="1002"/>
        </w:numPr>
      </w:pPr>
      <w:r>
        <w:t xml:space="preserve">Proyección y definición de objetivos globales por trimestre y por vendedor de unidades inmobiliarias por sector.</w:t>
      </w:r>
    </w:p>
    <w:p>
      <w:pPr>
        <w:pStyle w:val="Compact"/>
        <w:numPr>
          <w:ilvl w:val="0"/>
          <w:numId w:val="1002"/>
        </w:numPr>
      </w:pPr>
      <w:r>
        <w:t xml:space="preserve">Gestión de propuestas de crédito con Scotiabank, BBVA, Interbank y BIF para el desarrollo de proyectos inmobiliarios.</w:t>
      </w:r>
    </w:p>
    <w:p>
      <w:pPr>
        <w:pStyle w:val="Compact"/>
        <w:numPr>
          <w:ilvl w:val="0"/>
          <w:numId w:val="1002"/>
        </w:numPr>
      </w:pPr>
      <w:r>
        <w:t xml:space="preserve">Participación en presupuestos de seguimiento y control de proyectos inmobiliarios y planeamiento tributario, con ahorros superiores a USD 200 mil entre 2018 y 2020.</w:t>
      </w:r>
    </w:p>
    <w:bookmarkEnd w:id="11"/>
    <w:bookmarkStart w:id="12" w:name="X1aa9a06e6c632072715c30140f964d47e412b2f"/>
    <w:p>
      <w:pPr>
        <w:pStyle w:val="Heading3"/>
      </w:pPr>
      <w:r>
        <w:t xml:space="preserve">Business Building Financial Planning Analyst</w:t>
      </w:r>
    </w:p>
    <w:p>
      <w:pPr>
        <w:pStyle w:val="FirstParagraph"/>
      </w:pPr>
      <w:r>
        <w:rPr>
          <w:b/>
          <w:bCs/>
        </w:rPr>
        <w:t xml:space="preserve">Unilever</w:t>
      </w:r>
      <w:r>
        <w:t xml:space="preserve"> </w:t>
      </w:r>
      <w:r>
        <w:t xml:space="preserve">| Lima, Perú | 02/2016 – 05/2017</w:t>
      </w:r>
    </w:p>
    <w:p>
      <w:pPr>
        <w:pStyle w:val="Compact"/>
        <w:numPr>
          <w:ilvl w:val="0"/>
          <w:numId w:val="1003"/>
        </w:numPr>
      </w:pPr>
      <w:r>
        <w:t xml:space="preserve">Evaluación y desarrollo de propuestas comerciales para clientes con impacto en S&amp;OP y forecast de Food Solutions, en una operación de USD 120 millones anuales.</w:t>
      </w:r>
    </w:p>
    <w:p>
      <w:pPr>
        <w:pStyle w:val="Compact"/>
        <w:numPr>
          <w:ilvl w:val="0"/>
          <w:numId w:val="1003"/>
        </w:numPr>
      </w:pPr>
      <w:r>
        <w:t xml:space="preserve">Supervisión del desempeño y cumplimiento de ventas (sell-in, sell-out y mix máximo).</w:t>
      </w:r>
    </w:p>
    <w:p>
      <w:pPr>
        <w:pStyle w:val="Compact"/>
        <w:numPr>
          <w:ilvl w:val="0"/>
          <w:numId w:val="1003"/>
        </w:numPr>
      </w:pPr>
      <w:r>
        <w:t xml:space="preserve">Desarrollo de propuestas para mejorar el margen de ganancia mediante mejora del mix de productos y reducción de impacto de productos vencidos.</w:t>
      </w:r>
    </w:p>
    <w:p>
      <w:pPr>
        <w:pStyle w:val="Compact"/>
        <w:numPr>
          <w:ilvl w:val="0"/>
          <w:numId w:val="1003"/>
        </w:numPr>
      </w:pPr>
      <w:r>
        <w:t xml:space="preserve">Reporting regional a la matriz, incluyendo balance general, estado de resultados, S&amp;OP, working capital y BSC.</w:t>
      </w:r>
    </w:p>
    <w:bookmarkEnd w:id="12"/>
    <w:bookmarkStart w:id="13" w:name="coordinador-de-gerencia"/>
    <w:p>
      <w:pPr>
        <w:pStyle w:val="Heading3"/>
      </w:pPr>
      <w:r>
        <w:t xml:space="preserve">Coordinador de Gerencia</w:t>
      </w:r>
    </w:p>
    <w:p>
      <w:pPr>
        <w:pStyle w:val="FirstParagraph"/>
      </w:pPr>
      <w:r>
        <w:rPr>
          <w:b/>
          <w:bCs/>
        </w:rPr>
        <w:t xml:space="preserve">Inversiones Benavides 777</w:t>
      </w:r>
      <w:r>
        <w:t xml:space="preserve"> </w:t>
      </w:r>
      <w:r>
        <w:t xml:space="preserve">| Lima, Perú | 01/2015 – 02/2016</w:t>
      </w:r>
    </w:p>
    <w:p>
      <w:pPr>
        <w:pStyle w:val="Compact"/>
        <w:numPr>
          <w:ilvl w:val="0"/>
          <w:numId w:val="1004"/>
        </w:numPr>
      </w:pPr>
      <w:r>
        <w:t xml:space="preserve">Evaluación de cartas de intención de inquilinos para Leuro I en conjunto con Binswanger.</w:t>
      </w:r>
    </w:p>
    <w:p>
      <w:pPr>
        <w:pStyle w:val="Compact"/>
        <w:numPr>
          <w:ilvl w:val="0"/>
          <w:numId w:val="1004"/>
        </w:numPr>
      </w:pPr>
      <w:r>
        <w:t xml:space="preserve">Revisión y negociación de contratos, períodos de gracia, garantías, penalidades y plazos con arrendatarios.</w:t>
      </w:r>
    </w:p>
    <w:p>
      <w:pPr>
        <w:pStyle w:val="Compact"/>
        <w:numPr>
          <w:ilvl w:val="0"/>
          <w:numId w:val="1004"/>
        </w:numPr>
      </w:pPr>
      <w:r>
        <w:t xml:space="preserve">Seguimiento y culminación del primer proyecto LEED Platinum del Perú (Leuro), con inversión superior a USD 100 millones.</w:t>
      </w:r>
    </w:p>
    <w:p>
      <w:pPr>
        <w:pStyle w:val="Compact"/>
        <w:numPr>
          <w:ilvl w:val="0"/>
          <w:numId w:val="1004"/>
        </w:numPr>
      </w:pPr>
      <w:r>
        <w:t xml:space="preserve">Seguimiento a comités de obra, manejo de contingencias y planes de mejora.</w:t>
      </w:r>
    </w:p>
    <w:p>
      <w:pPr>
        <w:pStyle w:val="Compact"/>
        <w:numPr>
          <w:ilvl w:val="0"/>
          <w:numId w:val="1004"/>
        </w:numPr>
      </w:pPr>
      <w:r>
        <w:t xml:space="preserve">Evaluación de TIR, VAN y ROI de proyectos de oficinas corporativas, hoteles y centros comerciales para presentación al directorio.</w:t>
      </w:r>
    </w:p>
    <w:p>
      <w:pPr>
        <w:pStyle w:val="Compact"/>
        <w:numPr>
          <w:ilvl w:val="0"/>
          <w:numId w:val="1004"/>
        </w:numPr>
      </w:pPr>
      <w:r>
        <w:t xml:space="preserve">Supervisión de las áreas de contabilidad y finanzas y preparación de informes de resultados.</w:t>
      </w:r>
    </w:p>
    <w:bookmarkEnd w:id="13"/>
    <w:bookmarkStart w:id="14" w:name="ejecutivo-comercial-inmobiliario"/>
    <w:p>
      <w:pPr>
        <w:pStyle w:val="Heading3"/>
      </w:pPr>
      <w:r>
        <w:t xml:space="preserve">Ejecutivo Comercial Inmobiliario</w:t>
      </w:r>
    </w:p>
    <w:p>
      <w:pPr>
        <w:pStyle w:val="FirstParagraph"/>
      </w:pPr>
      <w:r>
        <w:rPr>
          <w:b/>
          <w:bCs/>
        </w:rPr>
        <w:t xml:space="preserve">Financiera TFC</w:t>
      </w:r>
      <w:r>
        <w:t xml:space="preserve"> </w:t>
      </w:r>
      <w:r>
        <w:t xml:space="preserve">| Lima, Perú | 09/2014 – 01/2015</w:t>
      </w:r>
    </w:p>
    <w:p>
      <w:pPr>
        <w:pStyle w:val="Compact"/>
        <w:numPr>
          <w:ilvl w:val="0"/>
          <w:numId w:val="1005"/>
        </w:numPr>
      </w:pPr>
      <w:r>
        <w:t xml:space="preserve">Comunicación con clientes para brindar las mejores alternativas de financiamiento, en una operación con más de USD 100 millones en colocaciones.</w:t>
      </w:r>
    </w:p>
    <w:p>
      <w:pPr>
        <w:pStyle w:val="Compact"/>
        <w:numPr>
          <w:ilvl w:val="0"/>
          <w:numId w:val="1005"/>
        </w:numPr>
      </w:pPr>
      <w:r>
        <w:t xml:space="preserve">Destacado entre los ejecutivos con mayor presencia de Techo Propio y Mi Vivienda del país.</w:t>
      </w:r>
    </w:p>
    <w:p>
      <w:pPr>
        <w:pStyle w:val="Compact"/>
        <w:numPr>
          <w:ilvl w:val="0"/>
          <w:numId w:val="1005"/>
        </w:numPr>
      </w:pPr>
      <w:r>
        <w:t xml:space="preserve">Presentación de proyectos inmobiliarios a comités de riesgos y sustento de propuestas crediticias para aprobación.</w:t>
      </w:r>
    </w:p>
    <w:p>
      <w:pPr>
        <w:pStyle w:val="Compact"/>
        <w:numPr>
          <w:ilvl w:val="0"/>
          <w:numId w:val="1005"/>
        </w:numPr>
      </w:pPr>
      <w:r>
        <w:t xml:space="preserve">Seguimiento del avance, covenants, coberturas y garantías de los clientes.</w:t>
      </w:r>
    </w:p>
    <w:p>
      <w:pPr>
        <w:pStyle w:val="Compact"/>
        <w:numPr>
          <w:ilvl w:val="0"/>
          <w:numId w:val="1005"/>
        </w:numPr>
      </w:pPr>
      <w:r>
        <w:t xml:space="preserve">Prospección de nuevos clientes junto al gerente inmobiliario, explorando proyectos de galerías comerciales.</w:t>
      </w:r>
    </w:p>
    <w:bookmarkEnd w:id="14"/>
    <w:bookmarkStart w:id="15" w:name="coordinador-de-tesorería-y-finanzas"/>
    <w:p>
      <w:pPr>
        <w:pStyle w:val="Heading3"/>
      </w:pPr>
      <w:r>
        <w:t xml:space="preserve">Coordinador de Tesorería y Finanzas</w:t>
      </w:r>
    </w:p>
    <w:p>
      <w:pPr>
        <w:pStyle w:val="FirstParagraph"/>
      </w:pPr>
      <w:r>
        <w:rPr>
          <w:b/>
          <w:bCs/>
        </w:rPr>
        <w:t xml:space="preserve">Constructora Galilea S.A.C.</w:t>
      </w:r>
      <w:r>
        <w:t xml:space="preserve"> </w:t>
      </w:r>
      <w:r>
        <w:t xml:space="preserve">| Lima, Perú | 06/2013 – 09/2014</w:t>
      </w:r>
    </w:p>
    <w:p>
      <w:pPr>
        <w:pStyle w:val="Compact"/>
        <w:numPr>
          <w:ilvl w:val="0"/>
          <w:numId w:val="1006"/>
        </w:numPr>
      </w:pPr>
      <w:r>
        <w:t xml:space="preserve">Coordinación de tesorería y finanzas en operación con más de USD 100 millones anuales.</w:t>
      </w:r>
    </w:p>
    <w:bookmarkEnd w:id="15"/>
    <w:bookmarkStart w:id="16" w:name="treasury-intern"/>
    <w:p>
      <w:pPr>
        <w:pStyle w:val="Heading3"/>
      </w:pPr>
      <w:r>
        <w:t xml:space="preserve">Treasury Intern</w:t>
      </w:r>
    </w:p>
    <w:p>
      <w:pPr>
        <w:pStyle w:val="FirstParagraph"/>
      </w:pPr>
      <w:r>
        <w:rPr>
          <w:b/>
          <w:bCs/>
        </w:rPr>
        <w:t xml:space="preserve">General Motors</w:t>
      </w:r>
      <w:r>
        <w:t xml:space="preserve"> </w:t>
      </w:r>
      <w:r>
        <w:t xml:space="preserve">| Lima, Perú | 12/2012 – 06/2013</w:t>
      </w:r>
    </w:p>
    <w:p>
      <w:pPr>
        <w:pStyle w:val="Compact"/>
        <w:numPr>
          <w:ilvl w:val="0"/>
          <w:numId w:val="1007"/>
        </w:numPr>
      </w:pPr>
      <w:r>
        <w:t xml:space="preserve">Internship en tesorería para operación con más de USD 150 millones.</w:t>
      </w:r>
    </w:p>
    <w:bookmarkEnd w:id="16"/>
    <w:bookmarkStart w:id="17" w:name="practicante-de-finanzas"/>
    <w:p>
      <w:pPr>
        <w:pStyle w:val="Heading3"/>
      </w:pPr>
      <w:r>
        <w:t xml:space="preserve">Practicante de Finanzas</w:t>
      </w:r>
    </w:p>
    <w:p>
      <w:pPr>
        <w:pStyle w:val="FirstParagraph"/>
      </w:pPr>
      <w:r>
        <w:rPr>
          <w:b/>
          <w:bCs/>
        </w:rPr>
        <w:t xml:space="preserve">Grupo Romero - COGESA</w:t>
      </w:r>
      <w:r>
        <w:t xml:space="preserve"> </w:t>
      </w:r>
      <w:r>
        <w:t xml:space="preserve">| Lima, Perú | 09/2012 – 12/2012</w:t>
      </w:r>
    </w:p>
    <w:bookmarkEnd w:id="17"/>
    <w:bookmarkEnd w:id="18"/>
    <w:bookmarkStart w:id="22" w:name="educación"/>
    <w:p>
      <w:pPr>
        <w:pStyle w:val="Heading2"/>
      </w:pPr>
      <w:r>
        <w:t xml:space="preserve">EDUCACIÓN</w:t>
      </w:r>
    </w:p>
    <w:bookmarkStart w:id="19" w:name="Xbf239e1eb8a03b4641655b46cc103ed2aa878e1"/>
    <w:p>
      <w:pPr>
        <w:pStyle w:val="Heading3"/>
      </w:pPr>
      <w:r>
        <w:t xml:space="preserve">Maestría en Administración de Empresas (MBA)</w:t>
      </w:r>
    </w:p>
    <w:p>
      <w:pPr>
        <w:pStyle w:val="FirstParagraph"/>
      </w:pPr>
      <w:r>
        <w:rPr>
          <w:b/>
          <w:bCs/>
        </w:rPr>
        <w:t xml:space="preserve">Universidad Internacional de La Rioja (UNIR)</w:t>
      </w:r>
      <w:r>
        <w:t xml:space="preserve"> </w:t>
      </w:r>
      <w:r>
        <w:t xml:space="preserve">| España | 2022 – 2023</w:t>
      </w:r>
    </w:p>
    <w:bookmarkEnd w:id="19"/>
    <w:bookmarkStart w:id="20" w:name="bachiller-en-administración"/>
    <w:p>
      <w:pPr>
        <w:pStyle w:val="Heading3"/>
      </w:pPr>
      <w:r>
        <w:t xml:space="preserve">Bachiller en Administración</w:t>
      </w:r>
    </w:p>
    <w:p>
      <w:pPr>
        <w:pStyle w:val="FirstParagraph"/>
      </w:pPr>
      <w:r>
        <w:rPr>
          <w:b/>
          <w:bCs/>
        </w:rPr>
        <w:t xml:space="preserve">Universidad de Lima</w:t>
      </w:r>
      <w:r>
        <w:t xml:space="preserve"> </w:t>
      </w:r>
      <w:r>
        <w:t xml:space="preserve">| Lima, Perú | 2014</w:t>
      </w:r>
      <w:r>
        <w:t xml:space="preserve"> </w:t>
      </w:r>
      <w:r>
        <w:t xml:space="preserve">Graduado en el Quinto Superior.</w:t>
      </w:r>
    </w:p>
    <w:bookmarkEnd w:id="20"/>
    <w:bookmarkStart w:id="21" w:name="educación-secundaria"/>
    <w:p>
      <w:pPr>
        <w:pStyle w:val="Heading3"/>
      </w:pPr>
      <w:r>
        <w:t xml:space="preserve">Educación Secundaria</w:t>
      </w:r>
    </w:p>
    <w:p>
      <w:pPr>
        <w:pStyle w:val="FirstParagraph"/>
      </w:pPr>
      <w:r>
        <w:rPr>
          <w:b/>
          <w:bCs/>
        </w:rPr>
        <w:t xml:space="preserve">Newton College</w:t>
      </w:r>
      <w:r>
        <w:t xml:space="preserve"> </w:t>
      </w:r>
      <w:r>
        <w:t xml:space="preserve">| Lima, Perú</w:t>
      </w:r>
      <w:r>
        <w:t xml:space="preserve"> </w:t>
      </w:r>
      <w:r>
        <w:rPr>
          <w:b/>
          <w:bCs/>
        </w:rPr>
        <w:t xml:space="preserve">Hall High School</w:t>
      </w:r>
      <w:r>
        <w:t xml:space="preserve"> </w:t>
      </w:r>
      <w:r>
        <w:t xml:space="preserve">| Estados Unidos</w:t>
      </w:r>
    </w:p>
    <w:bookmarkEnd w:id="21"/>
    <w:bookmarkEnd w:id="22"/>
    <w:bookmarkStart w:id="23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8"/>
        </w:numPr>
      </w:pPr>
      <w:r>
        <w:t xml:space="preserve">Español: Nativo</w:t>
      </w:r>
    </w:p>
    <w:p>
      <w:pPr>
        <w:pStyle w:val="Compact"/>
        <w:numPr>
          <w:ilvl w:val="0"/>
          <w:numId w:val="1008"/>
        </w:numPr>
      </w:pPr>
      <w:r>
        <w:t xml:space="preserve">Inglés: Avanzado</w:t>
      </w:r>
    </w:p>
    <w:bookmarkEnd w:id="23"/>
    <w:bookmarkStart w:id="24" w:name="habilidades-técnicas"/>
    <w:p>
      <w:pPr>
        <w:pStyle w:val="Heading2"/>
      </w:pPr>
      <w:r>
        <w:t xml:space="preserve">HABILIDADES TÉCNICAS</w:t>
      </w:r>
    </w:p>
    <w:p>
      <w:pPr>
        <w:pStyle w:val="Compact"/>
        <w:numPr>
          <w:ilvl w:val="0"/>
          <w:numId w:val="1009"/>
        </w:numPr>
      </w:pPr>
      <w:r>
        <w:t xml:space="preserve">Microsoft Office: Avanzado</w:t>
      </w:r>
    </w:p>
    <w:p>
      <w:pPr>
        <w:pStyle w:val="Compact"/>
        <w:numPr>
          <w:ilvl w:val="0"/>
          <w:numId w:val="1009"/>
        </w:numPr>
      </w:pPr>
      <w:r>
        <w:t xml:space="preserve">Power BI: Intermedio</w:t>
      </w:r>
    </w:p>
    <w:p>
      <w:pPr>
        <w:pStyle w:val="Compact"/>
        <w:numPr>
          <w:ilvl w:val="0"/>
          <w:numId w:val="1009"/>
        </w:numPr>
      </w:pPr>
      <w:r>
        <w:t xml:space="preserve">SQL y DAX: Intermedio</w:t>
      </w:r>
    </w:p>
    <w:p>
      <w:pPr>
        <w:pStyle w:val="Compact"/>
        <w:numPr>
          <w:ilvl w:val="0"/>
          <w:numId w:val="1009"/>
        </w:numPr>
      </w:pPr>
      <w:r>
        <w:t xml:space="preserve">ERP: SAP, Starsoft</w:t>
      </w:r>
    </w:p>
    <w:p>
      <w:pPr>
        <w:pStyle w:val="Compact"/>
        <w:numPr>
          <w:ilvl w:val="0"/>
          <w:numId w:val="1009"/>
        </w:numPr>
      </w:pPr>
      <w:r>
        <w:t xml:space="preserve">Estructuración financiera y SPV</w:t>
      </w:r>
    </w:p>
    <w:p>
      <w:pPr>
        <w:pStyle w:val="Compact"/>
        <w:numPr>
          <w:ilvl w:val="0"/>
          <w:numId w:val="1009"/>
        </w:numPr>
      </w:pPr>
      <w:r>
        <w:t xml:space="preserve">Negociación con banca e inversionistas</w:t>
      </w:r>
    </w:p>
    <w:p>
      <w:pPr>
        <w:pStyle w:val="Compact"/>
        <w:numPr>
          <w:ilvl w:val="0"/>
          <w:numId w:val="1009"/>
        </w:numPr>
      </w:pPr>
      <w:r>
        <w:t xml:space="preserve">Optimización y automatización de procesos</w:t>
      </w:r>
    </w:p>
    <w:p>
      <w:pPr>
        <w:pStyle w:val="Compact"/>
        <w:numPr>
          <w:ilvl w:val="0"/>
          <w:numId w:val="1009"/>
        </w:numPr>
      </w:pPr>
      <w:r>
        <w:t xml:space="preserve">Planeamiento financiero y FP&amp;A</w:t>
      </w:r>
    </w:p>
    <w:p>
      <w:pPr>
        <w:pStyle w:val="Compact"/>
        <w:numPr>
          <w:ilvl w:val="0"/>
          <w:numId w:val="1009"/>
        </w:numPr>
      </w:pPr>
      <w:r>
        <w:t xml:space="preserve">Control de gestión y reporting</w:t>
      </w:r>
    </w:p>
    <w:bookmarkEnd w:id="24"/>
    <w:bookmarkStart w:id="25" w:name="información-adicional"/>
    <w:p>
      <w:pPr>
        <w:pStyle w:val="Heading2"/>
      </w:pPr>
      <w:r>
        <w:t xml:space="preserve">INFORMACIÓN ADICIONAL</w:t>
      </w:r>
    </w:p>
    <w:p>
      <w:pPr>
        <w:pStyle w:val="Compact"/>
        <w:numPr>
          <w:ilvl w:val="0"/>
          <w:numId w:val="1010"/>
        </w:numPr>
      </w:pPr>
      <w:r>
        <w:t xml:space="preserve">Miembro de los Flaming Lions, Selección Nacional Sub-18 de Rugby del Perú.</w:t>
      </w:r>
    </w:p>
    <w:p>
      <w:pPr>
        <w:pStyle w:val="Compact"/>
        <w:numPr>
          <w:ilvl w:val="0"/>
          <w:numId w:val="1010"/>
        </w:numPr>
      </w:pPr>
      <w:r>
        <w:t xml:space="preserve">Aficionado al ajedrez y tenis de mesa.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2026-05-06T05:15:51Z</dcterms:created>
  <dcterms:modified xsi:type="dcterms:W3CDTF">2026-05-06T05:15:51Z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