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AE46" w14:textId="77777777" w:rsidR="001811C5" w:rsidRPr="00B534E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52"/>
          <w:szCs w:val="24"/>
        </w:rPr>
        <w:t>Legislation Impact Summary Report 1</w:t>
      </w:r>
    </w:p>
    <w:p w14:paraId="6B2A7FEE" w14:textId="77777777" w:rsidR="001811C5" w:rsidRPr="00B534EC" w:rsidRDefault="00000000">
      <w:pPr>
        <w:spacing w:after="36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8"/>
          <w:szCs w:val="24"/>
        </w:rPr>
        <w:t>Privacy, Telecommunications and Cyber-Security Planning</w:t>
      </w:r>
    </w:p>
    <w:p w14:paraId="587AB8C2" w14:textId="77777777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Project: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>Darvycom Brisbane Engineering Laboratory Network &amp; DSP Upgrade</w:t>
      </w:r>
    </w:p>
    <w:p w14:paraId="770EC882" w14:textId="77777777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Location: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>Blocks A and B, Brisbane Engineering Laboratory</w:t>
      </w:r>
    </w:p>
    <w:p w14:paraId="0D2F21DC" w14:textId="77777777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Project Manager: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>Leonardo Matias Ciarcia</w:t>
      </w:r>
    </w:p>
    <w:p w14:paraId="6432A759" w14:textId="77777777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Document ID: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>C6-LEG-01</w:t>
      </w:r>
    </w:p>
    <w:p w14:paraId="064AE48A" w14:textId="77777777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Version: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>1.0</w:t>
      </w:r>
    </w:p>
    <w:p w14:paraId="022E487F" w14:textId="49B3B919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Prepared: </w:t>
      </w:r>
      <w:r w:rsidR="00B534EC">
        <w:rPr>
          <w:rFonts w:ascii="Arial" w:hAnsi="Arial" w:cs="Arial"/>
          <w:color w:val="000000" w:themeColor="text1"/>
          <w:sz w:val="24"/>
          <w:szCs w:val="24"/>
        </w:rPr>
        <w:t>07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534EC">
        <w:rPr>
          <w:rFonts w:ascii="Arial" w:hAnsi="Arial" w:cs="Arial"/>
          <w:color w:val="000000" w:themeColor="text1"/>
          <w:sz w:val="24"/>
          <w:szCs w:val="24"/>
        </w:rPr>
        <w:t>March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</w:p>
    <w:p w14:paraId="449FD2C1" w14:textId="77777777" w:rsidR="001811C5" w:rsidRPr="00B534EC" w:rsidRDefault="00000000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Baseline: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>24 weeks / AUD 184,800</w:t>
      </w:r>
    </w:p>
    <w:p w14:paraId="42650CCF" w14:textId="77777777" w:rsidR="001811C5" w:rsidRPr="00B534EC" w:rsidRDefault="001811C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E65058" w14:textId="3D8B6F5F" w:rsidR="001811C5" w:rsidRPr="00B534EC" w:rsidRDefault="001811C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A4FF48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1. Purpose and scope</w:t>
      </w:r>
    </w:p>
    <w:p w14:paraId="34E259A7" w14:textId="77777777" w:rsidR="001811C5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This summary evaluates how Australian privacy and telecommunications legislation affects planning for the Darvycom laboratory network upgrade. It focuses on architecture, monitoring, records, remote access and incident response. It is a project-planning evaluation, not legal advice. Darvycom must confirm which obligations apply to its legal entity, turnover and services.</w:t>
      </w:r>
    </w:p>
    <w:p w14:paraId="4A0995BD" w14:textId="6CC254FD" w:rsidR="00B534EC" w:rsidRPr="00B534EC" w:rsidRDefault="00B534EC">
      <w:pPr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b/>
          <w:color w:val="000000" w:themeColor="text1"/>
          <w:sz w:val="24"/>
          <w:szCs w:val="24"/>
        </w:rPr>
        <w:t xml:space="preserve">Planning outcome: </w:t>
      </w:r>
      <w:r w:rsidRPr="00B534EC">
        <w:rPr>
          <w:rFonts w:ascii="Arial" w:hAnsi="Arial" w:cs="Arial"/>
          <w:color w:val="000000" w:themeColor="text1"/>
          <w:sz w:val="24"/>
          <w:szCs w:val="24"/>
        </w:rPr>
        <w:t xml:space="preserve">The selected Network 3 design is supportable because it includes segmentation, firewalling, VPN access and monitoring. Compliance depends on operating controls: </w:t>
      </w:r>
      <w:proofErr w:type="spellStart"/>
      <w:r w:rsidRPr="00B534EC">
        <w:rPr>
          <w:rFonts w:ascii="Arial" w:hAnsi="Arial" w:cs="Arial"/>
          <w:color w:val="000000" w:themeColor="text1"/>
          <w:sz w:val="24"/>
          <w:szCs w:val="24"/>
        </w:rPr>
        <w:t>authorised</w:t>
      </w:r>
      <w:proofErr w:type="spellEnd"/>
      <w:r w:rsidRPr="00B534EC">
        <w:rPr>
          <w:rFonts w:ascii="Arial" w:hAnsi="Arial" w:cs="Arial"/>
          <w:color w:val="000000" w:themeColor="text1"/>
          <w:sz w:val="24"/>
          <w:szCs w:val="24"/>
        </w:rPr>
        <w:t xml:space="preserve"> access, limited data collection, protected logs, retention rules and a documented breach-response process.</w:t>
      </w:r>
    </w:p>
    <w:p w14:paraId="5376D912" w14:textId="77777777" w:rsidR="001811C5" w:rsidRPr="00B534EC" w:rsidRDefault="001811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117258C4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2. Relevant legal framework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1811C5" w:rsidRPr="00B534EC" w14:paraId="5D27E32D" w14:textId="77777777" w:rsidTr="00B534EC">
        <w:tc>
          <w:tcPr>
            <w:tcW w:w="3096" w:type="dxa"/>
          </w:tcPr>
          <w:p w14:paraId="6AC406C8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20"/>
                <w:szCs w:val="24"/>
              </w:rPr>
              <w:t>Instrument / obligation</w:t>
            </w:r>
          </w:p>
        </w:tc>
        <w:tc>
          <w:tcPr>
            <w:tcW w:w="6264" w:type="dxa"/>
          </w:tcPr>
          <w:p w14:paraId="7D450D9B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20"/>
                <w:szCs w:val="24"/>
              </w:rPr>
              <w:t>Planning impact for Darvycom</w:t>
            </w:r>
          </w:p>
        </w:tc>
      </w:tr>
      <w:tr w:rsidR="001811C5" w:rsidRPr="00B534EC" w14:paraId="567672D8" w14:textId="77777777" w:rsidTr="00B534EC">
        <w:tc>
          <w:tcPr>
            <w:tcW w:w="3096" w:type="dxa"/>
          </w:tcPr>
          <w:p w14:paraId="5E431687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Privacy Act 1988 and Australian Privacy Principles</w:t>
            </w:r>
          </w:p>
        </w:tc>
        <w:tc>
          <w:tcPr>
            <w:tcW w:w="6264" w:type="dxa"/>
          </w:tcPr>
          <w:p w14:paraId="4EC4296F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Personal information must be handled transparently and protected with reasonable safeguards. APP 11 is directly relevant to access control, system hardening, backups, monitoring and secure disposal.</w:t>
            </w:r>
          </w:p>
        </w:tc>
      </w:tr>
      <w:tr w:rsidR="001811C5" w:rsidRPr="00B534EC" w14:paraId="1A5DE147" w14:textId="77777777" w:rsidTr="00B534EC">
        <w:tc>
          <w:tcPr>
            <w:tcW w:w="3096" w:type="dxa"/>
          </w:tcPr>
          <w:p w14:paraId="1920BB69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Notifiable Data Breaches scheme</w:t>
            </w:r>
          </w:p>
        </w:tc>
        <w:tc>
          <w:tcPr>
            <w:tcW w:w="6264" w:type="dxa"/>
          </w:tcPr>
          <w:p w14:paraId="17C2770D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The incident plan must support rapid assessment of suspected eligible breaches, evidence preservation, escalation and notification where required.</w:t>
            </w:r>
          </w:p>
        </w:tc>
      </w:tr>
      <w:tr w:rsidR="001811C5" w:rsidRPr="00B534EC" w14:paraId="3647C9CD" w14:textId="77777777" w:rsidTr="00B534EC">
        <w:tc>
          <w:tcPr>
            <w:tcW w:w="3096" w:type="dxa"/>
          </w:tcPr>
          <w:p w14:paraId="1E981312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Telecommunications Act 1997</w:t>
            </w:r>
          </w:p>
        </w:tc>
        <w:tc>
          <w:tcPr>
            <w:tcW w:w="6264" w:type="dxa"/>
          </w:tcPr>
          <w:p w14:paraId="4B206ECF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Network plans must respect telecommunications service obligations and avoid treating the lab network as authority for activities reserved to carriers or service providers.</w:t>
            </w:r>
          </w:p>
        </w:tc>
      </w:tr>
      <w:tr w:rsidR="001811C5" w:rsidRPr="00B534EC" w14:paraId="248B3675" w14:textId="77777777" w:rsidTr="00B534EC">
        <w:tc>
          <w:tcPr>
            <w:tcW w:w="3096" w:type="dxa"/>
          </w:tcPr>
          <w:p w14:paraId="7B1585B3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 xml:space="preserve">Telecommunications </w:t>
            </w: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lastRenderedPageBreak/>
              <w:t>(Interception and Access) Act 1979</w:t>
            </w:r>
          </w:p>
        </w:tc>
        <w:tc>
          <w:tcPr>
            <w:tcW w:w="6264" w:type="dxa"/>
          </w:tcPr>
          <w:p w14:paraId="03B7282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lastRenderedPageBreak/>
              <w:t xml:space="preserve">Packet capture, call recording and communications monitoring </w:t>
            </w: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lastRenderedPageBreak/>
              <w:t>require strict purpose and authorisation controls. Routine troubleshooting must not become unjustified interception or content surveillance.</w:t>
            </w:r>
          </w:p>
        </w:tc>
      </w:tr>
    </w:tbl>
    <w:p w14:paraId="0BB4F063" w14:textId="77777777" w:rsidR="001811C5" w:rsidRPr="00B534EC" w:rsidRDefault="001811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3776BD30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3. Impact on the planning process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4032"/>
      </w:tblGrid>
      <w:tr w:rsidR="001811C5" w:rsidRPr="00B534EC" w14:paraId="76E83B66" w14:textId="77777777" w:rsidTr="00B534EC">
        <w:tc>
          <w:tcPr>
            <w:tcW w:w="1656" w:type="dxa"/>
          </w:tcPr>
          <w:p w14:paraId="6144AF41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18"/>
                <w:szCs w:val="24"/>
              </w:rPr>
              <w:t>Planning stage</w:t>
            </w:r>
          </w:p>
        </w:tc>
        <w:tc>
          <w:tcPr>
            <w:tcW w:w="3672" w:type="dxa"/>
          </w:tcPr>
          <w:p w14:paraId="23044222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18"/>
                <w:szCs w:val="24"/>
              </w:rPr>
              <w:t>Required consideration</w:t>
            </w:r>
          </w:p>
        </w:tc>
        <w:tc>
          <w:tcPr>
            <w:tcW w:w="4032" w:type="dxa"/>
          </w:tcPr>
          <w:p w14:paraId="7569CCF1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18"/>
                <w:szCs w:val="24"/>
              </w:rPr>
              <w:t>Application to Network 3</w:t>
            </w:r>
          </w:p>
        </w:tc>
      </w:tr>
      <w:tr w:rsidR="001811C5" w:rsidRPr="00B534EC" w14:paraId="572D5879" w14:textId="77777777" w:rsidTr="00B534EC">
        <w:tc>
          <w:tcPr>
            <w:tcW w:w="1656" w:type="dxa"/>
          </w:tcPr>
          <w:p w14:paraId="463BB004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Requirements</w:t>
            </w:r>
          </w:p>
        </w:tc>
        <w:tc>
          <w:tcPr>
            <w:tcW w:w="3672" w:type="dxa"/>
          </w:tcPr>
          <w:p w14:paraId="7ADC5BF2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Identify personal information, users, administrators, logs and remote-access needs</w:t>
            </w:r>
          </w:p>
        </w:tc>
        <w:tc>
          <w:tcPr>
            <w:tcW w:w="4032" w:type="dxa"/>
          </w:tcPr>
          <w:p w14:paraId="72C05297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Add a data-flow inventory covering IP addresses, account names, call records, PRTG logs and video-conference metadata</w:t>
            </w:r>
          </w:p>
        </w:tc>
      </w:tr>
      <w:tr w:rsidR="001811C5" w:rsidRPr="00B534EC" w14:paraId="7B577722" w14:textId="77777777" w:rsidTr="00B534EC">
        <w:tc>
          <w:tcPr>
            <w:tcW w:w="1656" w:type="dxa"/>
          </w:tcPr>
          <w:p w14:paraId="01A81046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Design</w:t>
            </w:r>
          </w:p>
        </w:tc>
        <w:tc>
          <w:tcPr>
            <w:tcW w:w="3672" w:type="dxa"/>
          </w:tcPr>
          <w:p w14:paraId="2784F9A4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Use privacy and security by design</w:t>
            </w:r>
          </w:p>
        </w:tc>
        <w:tc>
          <w:tcPr>
            <w:tcW w:w="4032" w:type="dxa"/>
          </w:tcPr>
          <w:p w14:paraId="3369C280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VLAN separation, least-privilege ACLs, firewall rules, VPN, role-based accounts and encrypted administration</w:t>
            </w:r>
          </w:p>
        </w:tc>
      </w:tr>
      <w:tr w:rsidR="001811C5" w:rsidRPr="00B534EC" w14:paraId="1085BE1E" w14:textId="77777777" w:rsidTr="00B534EC">
        <w:tc>
          <w:tcPr>
            <w:tcW w:w="1656" w:type="dxa"/>
          </w:tcPr>
          <w:p w14:paraId="6582589C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Procurement</w:t>
            </w:r>
          </w:p>
        </w:tc>
        <w:tc>
          <w:tcPr>
            <w:tcW w:w="3672" w:type="dxa"/>
          </w:tcPr>
          <w:p w14:paraId="548E477D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Review supplier handling, support access, cloud location and security commitments</w:t>
            </w:r>
          </w:p>
        </w:tc>
        <w:tc>
          <w:tcPr>
            <w:tcW w:w="4032" w:type="dxa"/>
          </w:tcPr>
          <w:p w14:paraId="7159790C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Record PRTG/telephony licensing, vendor support access, data location and breach clauses</w:t>
            </w:r>
          </w:p>
        </w:tc>
      </w:tr>
      <w:tr w:rsidR="001811C5" w:rsidRPr="00B534EC" w14:paraId="3ACDE291" w14:textId="77777777" w:rsidTr="00B534EC">
        <w:tc>
          <w:tcPr>
            <w:tcW w:w="1656" w:type="dxa"/>
          </w:tcPr>
          <w:p w14:paraId="75DB490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Testing</w:t>
            </w:r>
          </w:p>
        </w:tc>
        <w:tc>
          <w:tcPr>
            <w:tcW w:w="3672" w:type="dxa"/>
          </w:tcPr>
          <w:p w14:paraId="788CAFD5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Use synthetic data where possible and restrict test captures</w:t>
            </w:r>
          </w:p>
        </w:tc>
        <w:tc>
          <w:tcPr>
            <w:tcW w:w="4032" w:type="dxa"/>
          </w:tcPr>
          <w:p w14:paraId="484283FA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Do not place real personal information in Packet Tracer or screenshots; redact usernames, public IPs and credentials</w:t>
            </w:r>
          </w:p>
        </w:tc>
      </w:tr>
      <w:tr w:rsidR="001811C5" w:rsidRPr="00B534EC" w14:paraId="598A3994" w14:textId="77777777" w:rsidTr="00B534EC">
        <w:tc>
          <w:tcPr>
            <w:tcW w:w="1656" w:type="dxa"/>
          </w:tcPr>
          <w:p w14:paraId="077998DD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Operations</w:t>
            </w:r>
          </w:p>
        </w:tc>
        <w:tc>
          <w:tcPr>
            <w:tcW w:w="3672" w:type="dxa"/>
          </w:tcPr>
          <w:p w14:paraId="5EEA1500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Protect logs and review access</w:t>
            </w:r>
          </w:p>
        </w:tc>
        <w:tc>
          <w:tcPr>
            <w:tcW w:w="4032" w:type="dxa"/>
          </w:tcPr>
          <w:p w14:paraId="55347C1D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Limit PRTG administrator roles, retain audit logs, patch systems and review alarms</w:t>
            </w:r>
          </w:p>
        </w:tc>
      </w:tr>
      <w:tr w:rsidR="001811C5" w:rsidRPr="00B534EC" w14:paraId="2D140375" w14:textId="77777777" w:rsidTr="00B534EC">
        <w:tc>
          <w:tcPr>
            <w:tcW w:w="1656" w:type="dxa"/>
          </w:tcPr>
          <w:p w14:paraId="26CFC2D3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Incident response</w:t>
            </w:r>
          </w:p>
        </w:tc>
        <w:tc>
          <w:tcPr>
            <w:tcW w:w="3672" w:type="dxa"/>
          </w:tcPr>
          <w:p w14:paraId="0B71ED40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Assess, contain, document and escalate suspected breaches</w:t>
            </w:r>
          </w:p>
        </w:tc>
        <w:tc>
          <w:tcPr>
            <w:tcW w:w="4032" w:type="dxa"/>
          </w:tcPr>
          <w:p w14:paraId="2CA76680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Use a response checklist, nominated incident owner, evidence log and notification decision record</w:t>
            </w:r>
          </w:p>
        </w:tc>
      </w:tr>
    </w:tbl>
    <w:p w14:paraId="73D579DD" w14:textId="77777777" w:rsidR="001811C5" w:rsidRPr="00B534EC" w:rsidRDefault="001811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5FB115BC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4. Evaluation of proposed controls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456"/>
      </w:tblGrid>
      <w:tr w:rsidR="001811C5" w:rsidRPr="00B534EC" w14:paraId="2F021006" w14:textId="77777777" w:rsidTr="00B534EC">
        <w:tc>
          <w:tcPr>
            <w:tcW w:w="2088" w:type="dxa"/>
          </w:tcPr>
          <w:p w14:paraId="279BB047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18"/>
                <w:szCs w:val="24"/>
              </w:rPr>
              <w:t>Control</w:t>
            </w:r>
          </w:p>
        </w:tc>
        <w:tc>
          <w:tcPr>
            <w:tcW w:w="3816" w:type="dxa"/>
          </w:tcPr>
          <w:p w14:paraId="1AC66B9D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18"/>
                <w:szCs w:val="24"/>
              </w:rPr>
              <w:t>Legal / privacy contribution</w:t>
            </w:r>
          </w:p>
        </w:tc>
        <w:tc>
          <w:tcPr>
            <w:tcW w:w="3456" w:type="dxa"/>
          </w:tcPr>
          <w:p w14:paraId="491B1504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18"/>
                <w:szCs w:val="24"/>
              </w:rPr>
              <w:t>Evaluation</w:t>
            </w:r>
          </w:p>
        </w:tc>
      </w:tr>
      <w:tr w:rsidR="001811C5" w:rsidRPr="00B534EC" w14:paraId="144118E6" w14:textId="77777777" w:rsidTr="00B534EC">
        <w:tc>
          <w:tcPr>
            <w:tcW w:w="2088" w:type="dxa"/>
          </w:tcPr>
          <w:p w14:paraId="7D2D7A49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VLANs and firewall rules</w:t>
            </w:r>
          </w:p>
        </w:tc>
        <w:tc>
          <w:tcPr>
            <w:tcW w:w="3816" w:type="dxa"/>
          </w:tcPr>
          <w:p w14:paraId="54B946FE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Reduce unnecessary access to systems containing personal or operational data</w:t>
            </w:r>
          </w:p>
        </w:tc>
        <w:tc>
          <w:tcPr>
            <w:tcW w:w="3456" w:type="dxa"/>
          </w:tcPr>
          <w:p w14:paraId="62E55D8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Suitable; document the rule owner and review date</w:t>
            </w:r>
          </w:p>
        </w:tc>
      </w:tr>
      <w:tr w:rsidR="001811C5" w:rsidRPr="00B534EC" w14:paraId="75DCA51D" w14:textId="77777777" w:rsidTr="00B534EC">
        <w:tc>
          <w:tcPr>
            <w:tcW w:w="2088" w:type="dxa"/>
          </w:tcPr>
          <w:p w14:paraId="2064ECC6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VPN remote access</w:t>
            </w:r>
          </w:p>
        </w:tc>
        <w:tc>
          <w:tcPr>
            <w:tcW w:w="3816" w:type="dxa"/>
          </w:tcPr>
          <w:p w14:paraId="5ADC2AC4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Protects traffic and limits remote entry to authenticated users</w:t>
            </w:r>
          </w:p>
        </w:tc>
        <w:tc>
          <w:tcPr>
            <w:tcW w:w="3456" w:type="dxa"/>
          </w:tcPr>
          <w:p w14:paraId="4B617BF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Suitable; add MFA where supported and remove inactive accounts</w:t>
            </w:r>
          </w:p>
        </w:tc>
      </w:tr>
      <w:tr w:rsidR="001811C5" w:rsidRPr="00B534EC" w14:paraId="7C827EF4" w14:textId="77777777" w:rsidTr="00B534EC">
        <w:tc>
          <w:tcPr>
            <w:tcW w:w="2088" w:type="dxa"/>
          </w:tcPr>
          <w:p w14:paraId="2CB73E33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PRTG monitoring</w:t>
            </w:r>
          </w:p>
        </w:tc>
        <w:tc>
          <w:tcPr>
            <w:tcW w:w="3816" w:type="dxa"/>
          </w:tcPr>
          <w:p w14:paraId="0CD9FD54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Supports availability and incident detection</w:t>
            </w:r>
          </w:p>
        </w:tc>
        <w:tc>
          <w:tcPr>
            <w:tcW w:w="3456" w:type="dxa"/>
          </w:tcPr>
          <w:p w14:paraId="21D827FB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Suitable only when collection is proportionate; prefer headers/metrics over payload content</w:t>
            </w:r>
          </w:p>
        </w:tc>
      </w:tr>
      <w:tr w:rsidR="001811C5" w:rsidRPr="00B534EC" w14:paraId="0BE146E9" w14:textId="77777777" w:rsidTr="00B534EC">
        <w:tc>
          <w:tcPr>
            <w:tcW w:w="2088" w:type="dxa"/>
          </w:tcPr>
          <w:p w14:paraId="354D4E6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Configuration backups</w:t>
            </w:r>
          </w:p>
        </w:tc>
        <w:tc>
          <w:tcPr>
            <w:tcW w:w="3816" w:type="dxa"/>
          </w:tcPr>
          <w:p w14:paraId="71C49CC0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Supports recovery and accountability</w:t>
            </w:r>
          </w:p>
        </w:tc>
        <w:tc>
          <w:tcPr>
            <w:tcW w:w="3456" w:type="dxa"/>
          </w:tcPr>
          <w:p w14:paraId="1EBE76D3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Suitable; encrypt, restrict and test restoration</w:t>
            </w:r>
          </w:p>
        </w:tc>
      </w:tr>
      <w:tr w:rsidR="001811C5" w:rsidRPr="00B534EC" w14:paraId="7929A0D0" w14:textId="77777777" w:rsidTr="00B534EC">
        <w:tc>
          <w:tcPr>
            <w:tcW w:w="2088" w:type="dxa"/>
          </w:tcPr>
          <w:p w14:paraId="5C6A0C58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VoIP logging</w:t>
            </w:r>
          </w:p>
        </w:tc>
        <w:tc>
          <w:tcPr>
            <w:tcW w:w="3816" w:type="dxa"/>
          </w:tcPr>
          <w:p w14:paraId="6B68728B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Supports troubleshooting and service management</w:t>
            </w:r>
          </w:p>
        </w:tc>
        <w:tc>
          <w:tcPr>
            <w:tcW w:w="3456" w:type="dxa"/>
          </w:tcPr>
          <w:p w14:paraId="20FF31E3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Limit retention and access; do not record content without an approved lawful purpose</w:t>
            </w:r>
          </w:p>
        </w:tc>
      </w:tr>
      <w:tr w:rsidR="001811C5" w:rsidRPr="00B534EC" w14:paraId="100FC3B9" w14:textId="77777777" w:rsidTr="00B534EC">
        <w:tc>
          <w:tcPr>
            <w:tcW w:w="2088" w:type="dxa"/>
          </w:tcPr>
          <w:p w14:paraId="4D0B331D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Change control</w:t>
            </w:r>
          </w:p>
        </w:tc>
        <w:tc>
          <w:tcPr>
            <w:tcW w:w="3816" w:type="dxa"/>
          </w:tcPr>
          <w:p w14:paraId="41B4BA6C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Provides traceability for security-affecting changes</w:t>
            </w:r>
          </w:p>
        </w:tc>
        <w:tc>
          <w:tcPr>
            <w:tcW w:w="3456" w:type="dxa"/>
          </w:tcPr>
          <w:p w14:paraId="4D60A7BC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18"/>
                <w:szCs w:val="24"/>
              </w:rPr>
              <w:t>Required; link each firewall, VLAN and monitoring change to an approved request</w:t>
            </w:r>
          </w:p>
        </w:tc>
      </w:tr>
    </w:tbl>
    <w:p w14:paraId="47D43D50" w14:textId="77777777" w:rsidR="001811C5" w:rsidRPr="00B534EC" w:rsidRDefault="001811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34410D3D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5. Recommended compliance actions</w:t>
      </w:r>
    </w:p>
    <w:p w14:paraId="3EA5BB92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Create a network data inventory that identifies what PRTG, servers, phones, VPN and video systems collect.</w:t>
      </w:r>
    </w:p>
    <w:p w14:paraId="7719A4C8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lastRenderedPageBreak/>
        <w:t>Approve an access matrix for administrators, users, vendors and assessors.</w:t>
      </w:r>
    </w:p>
    <w:p w14:paraId="2DD37735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Use individual administrator accounts and protect remote access with strong authentication and encryption.</w:t>
      </w:r>
    </w:p>
    <w:p w14:paraId="2490EAF9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Document monitoring purposes and avoid packet-payload inspection unless specifically authorised and necessary.</w:t>
      </w:r>
    </w:p>
    <w:p w14:paraId="66930734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Set retention and secure-disposal periods for logs, configurations, call records and exported reports.</w:t>
      </w:r>
    </w:p>
    <w:p w14:paraId="3188514C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Adopt a data-breach response procedure with containment, assessment, evidence, notification and lessons-learned steps.</w:t>
      </w:r>
    </w:p>
    <w:p w14:paraId="55A3B0AB" w14:textId="77777777" w:rsidR="001811C5" w:rsidRPr="00B534EC" w:rsidRDefault="00000000">
      <w:pPr>
        <w:numPr>
          <w:ilvl w:val="0"/>
          <w:numId w:val="1"/>
        </w:numPr>
        <w:spacing w:after="160" w:line="2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Review legal applicability before go-live and whenever the service model or supplier arrangement changes.</w:t>
      </w:r>
    </w:p>
    <w:p w14:paraId="7242683A" w14:textId="77777777" w:rsidR="001811C5" w:rsidRPr="00B534EC" w:rsidRDefault="001811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p w14:paraId="78A56C62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7. Sources checked on 23 August 2026</w:t>
      </w:r>
    </w:p>
    <w:p w14:paraId="7D3BDA6B" w14:textId="77777777" w:rsidR="001811C5" w:rsidRPr="00B534EC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Federal Register of Legislation, Privacy Act 1988: https://www.legislation.gov.au/C2004A03712/latest/details</w:t>
      </w:r>
    </w:p>
    <w:p w14:paraId="7C372D95" w14:textId="77777777" w:rsidR="001811C5" w:rsidRPr="00B534EC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Office of the Australian Information Commissioner, Notifiable Data Breaches: https://www.oaic.gov.au/privacy/notifiable-data-breaches</w:t>
      </w:r>
    </w:p>
    <w:p w14:paraId="6BDCB0ED" w14:textId="77777777" w:rsidR="001811C5" w:rsidRPr="00B534EC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Federal Register of Legislation, Telecommunications Act 1997: https://www.legislation.gov.au/C2004A05145/latest/details</w:t>
      </w:r>
    </w:p>
    <w:p w14:paraId="0C7C616C" w14:textId="77777777" w:rsidR="001811C5" w:rsidRPr="00B534EC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B534EC">
        <w:rPr>
          <w:rFonts w:ascii="Arial" w:hAnsi="Arial" w:cs="Arial"/>
          <w:color w:val="000000" w:themeColor="text1"/>
          <w:sz w:val="24"/>
          <w:szCs w:val="24"/>
        </w:rPr>
        <w:t>Federal Register of Legislation, Telecommunications (Interception and Access) Act 1979: https://www.legislation.gov.au/C2004A02124/latest/details</w:t>
      </w:r>
    </w:p>
    <w:p w14:paraId="1AB22050" w14:textId="77777777" w:rsidR="001811C5" w:rsidRPr="00B534EC" w:rsidRDefault="00000000">
      <w:pPr>
        <w:pStyle w:val="Heading1"/>
        <w:rPr>
          <w:rFonts w:ascii="Arial" w:hAnsi="Arial" w:cs="Arial"/>
          <w:color w:val="000000" w:themeColor="text1"/>
          <w:sz w:val="36"/>
          <w:szCs w:val="32"/>
        </w:rPr>
      </w:pPr>
      <w:r w:rsidRPr="00B534EC">
        <w:rPr>
          <w:rFonts w:ascii="Arial" w:hAnsi="Arial" w:cs="Arial"/>
          <w:color w:val="000000" w:themeColor="text1"/>
          <w:sz w:val="36"/>
          <w:szCs w:val="32"/>
        </w:rPr>
        <w:t>8. Sign-off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444"/>
        <w:gridCol w:w="2164"/>
      </w:tblGrid>
      <w:tr w:rsidR="001811C5" w:rsidRPr="00B534EC" w14:paraId="6A730FBF" w14:textId="77777777" w:rsidTr="00B534EC">
        <w:trPr>
          <w:trHeight w:val="368"/>
        </w:trPr>
        <w:tc>
          <w:tcPr>
            <w:tcW w:w="1872" w:type="dxa"/>
          </w:tcPr>
          <w:p w14:paraId="3E8E59C1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20"/>
                <w:szCs w:val="24"/>
              </w:rPr>
              <w:t>Role</w:t>
            </w:r>
          </w:p>
        </w:tc>
        <w:tc>
          <w:tcPr>
            <w:tcW w:w="2880" w:type="dxa"/>
          </w:tcPr>
          <w:p w14:paraId="76161FE5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20"/>
                <w:szCs w:val="24"/>
              </w:rPr>
              <w:t>Name</w:t>
            </w:r>
          </w:p>
        </w:tc>
        <w:tc>
          <w:tcPr>
            <w:tcW w:w="2444" w:type="dxa"/>
          </w:tcPr>
          <w:p w14:paraId="49D28BC7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20"/>
                <w:szCs w:val="24"/>
              </w:rPr>
              <w:t>Decision</w:t>
            </w:r>
          </w:p>
        </w:tc>
        <w:tc>
          <w:tcPr>
            <w:tcW w:w="2164" w:type="dxa"/>
          </w:tcPr>
          <w:p w14:paraId="2D49273D" w14:textId="77777777" w:rsidR="001811C5" w:rsidRPr="00B534EC" w:rsidRDefault="00000000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b/>
                <w:color w:val="000000" w:themeColor="text1"/>
                <w:sz w:val="20"/>
                <w:szCs w:val="24"/>
              </w:rPr>
              <w:t>Date</w:t>
            </w:r>
          </w:p>
        </w:tc>
      </w:tr>
      <w:tr w:rsidR="001811C5" w:rsidRPr="00B534EC" w14:paraId="0B76D68A" w14:textId="77777777" w:rsidTr="00B534EC">
        <w:tc>
          <w:tcPr>
            <w:tcW w:w="1872" w:type="dxa"/>
          </w:tcPr>
          <w:p w14:paraId="5B30024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Prepared by</w:t>
            </w:r>
          </w:p>
        </w:tc>
        <w:tc>
          <w:tcPr>
            <w:tcW w:w="2880" w:type="dxa"/>
          </w:tcPr>
          <w:p w14:paraId="5BD358B8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Leonardo Matias Ciarcia</w:t>
            </w:r>
          </w:p>
        </w:tc>
        <w:tc>
          <w:tcPr>
            <w:tcW w:w="2444" w:type="dxa"/>
          </w:tcPr>
          <w:p w14:paraId="55FF7444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Completed</w:t>
            </w:r>
          </w:p>
        </w:tc>
        <w:tc>
          <w:tcPr>
            <w:tcW w:w="2164" w:type="dxa"/>
          </w:tcPr>
          <w:p w14:paraId="441C4459" w14:textId="6FFC1B9E" w:rsidR="001811C5" w:rsidRPr="00B534EC" w:rsidRDefault="00B534EC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07/03/2026</w:t>
            </w:r>
          </w:p>
        </w:tc>
      </w:tr>
      <w:tr w:rsidR="001811C5" w:rsidRPr="00B534EC" w14:paraId="1331F0C5" w14:textId="77777777" w:rsidTr="00B534EC">
        <w:tc>
          <w:tcPr>
            <w:tcW w:w="1872" w:type="dxa"/>
          </w:tcPr>
          <w:p w14:paraId="69111531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Compliance reviewer</w:t>
            </w:r>
          </w:p>
        </w:tc>
        <w:tc>
          <w:tcPr>
            <w:tcW w:w="2880" w:type="dxa"/>
          </w:tcPr>
          <w:p w14:paraId="4F66E752" w14:textId="36792EC2" w:rsidR="001811C5" w:rsidRPr="00B534EC" w:rsidRDefault="00B534EC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Tommy</w:t>
            </w:r>
          </w:p>
        </w:tc>
        <w:tc>
          <w:tcPr>
            <w:tcW w:w="2444" w:type="dxa"/>
          </w:tcPr>
          <w:p w14:paraId="39C50B8F" w14:textId="5DEBED52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 xml:space="preserve">Approved </w:t>
            </w:r>
          </w:p>
        </w:tc>
        <w:tc>
          <w:tcPr>
            <w:tcW w:w="2164" w:type="dxa"/>
          </w:tcPr>
          <w:p w14:paraId="57592D76" w14:textId="6E57C0F0" w:rsidR="001811C5" w:rsidRPr="00B534EC" w:rsidRDefault="00B534EC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07/03/2026</w:t>
            </w:r>
          </w:p>
        </w:tc>
      </w:tr>
      <w:tr w:rsidR="001811C5" w:rsidRPr="00B534EC" w14:paraId="7A9B5DC3" w14:textId="77777777" w:rsidTr="00B534EC">
        <w:tc>
          <w:tcPr>
            <w:tcW w:w="1872" w:type="dxa"/>
          </w:tcPr>
          <w:p w14:paraId="7DEE746E" w14:textId="77777777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>Project sponsor</w:t>
            </w:r>
          </w:p>
        </w:tc>
        <w:tc>
          <w:tcPr>
            <w:tcW w:w="2880" w:type="dxa"/>
          </w:tcPr>
          <w:p w14:paraId="3FF58903" w14:textId="37974784" w:rsidR="001811C5" w:rsidRPr="00B534EC" w:rsidRDefault="00B534EC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0"/>
              </w:rPr>
              <w:t>Dijo</w:t>
            </w:r>
          </w:p>
        </w:tc>
        <w:tc>
          <w:tcPr>
            <w:tcW w:w="2444" w:type="dxa"/>
          </w:tcPr>
          <w:p w14:paraId="499604E4" w14:textId="6A8BDC36" w:rsidR="001811C5" w:rsidRPr="00B534EC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534EC">
              <w:rPr>
                <w:rFonts w:ascii="Arial" w:hAnsi="Arial" w:cs="Arial"/>
                <w:color w:val="000000" w:themeColor="text1"/>
                <w:sz w:val="20"/>
                <w:szCs w:val="24"/>
              </w:rPr>
              <w:t xml:space="preserve">Accepted </w:t>
            </w:r>
          </w:p>
        </w:tc>
        <w:tc>
          <w:tcPr>
            <w:tcW w:w="2164" w:type="dxa"/>
          </w:tcPr>
          <w:p w14:paraId="1B467FA3" w14:textId="3791AC4D" w:rsidR="001811C5" w:rsidRPr="00B534EC" w:rsidRDefault="00B534EC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4"/>
              </w:rPr>
              <w:t>07/03/2026</w:t>
            </w:r>
          </w:p>
        </w:tc>
      </w:tr>
    </w:tbl>
    <w:p w14:paraId="356901F8" w14:textId="77777777" w:rsidR="001811C5" w:rsidRPr="00B534EC" w:rsidRDefault="001811C5">
      <w:pPr>
        <w:spacing w:after="20"/>
        <w:rPr>
          <w:rFonts w:ascii="Arial" w:hAnsi="Arial" w:cs="Arial"/>
          <w:color w:val="000000" w:themeColor="text1"/>
          <w:sz w:val="24"/>
          <w:szCs w:val="24"/>
        </w:rPr>
      </w:pPr>
    </w:p>
    <w:sectPr w:rsidR="001811C5" w:rsidRPr="00B534EC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665F4" w14:textId="77777777" w:rsidR="007B4D7B" w:rsidRDefault="007B4D7B">
      <w:pPr>
        <w:spacing w:after="0" w:line="240" w:lineRule="auto"/>
      </w:pPr>
      <w:r>
        <w:separator/>
      </w:r>
    </w:p>
  </w:endnote>
  <w:endnote w:type="continuationSeparator" w:id="0">
    <w:p w14:paraId="3E0FC7BE" w14:textId="77777777" w:rsidR="007B4D7B" w:rsidRDefault="007B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F8CE" w14:textId="29F430A0" w:rsidR="001811C5" w:rsidRDefault="001811C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56AE" w14:textId="77777777" w:rsidR="007B4D7B" w:rsidRDefault="007B4D7B">
      <w:pPr>
        <w:spacing w:after="0" w:line="240" w:lineRule="auto"/>
      </w:pPr>
      <w:r>
        <w:separator/>
      </w:r>
    </w:p>
  </w:footnote>
  <w:footnote w:type="continuationSeparator" w:id="0">
    <w:p w14:paraId="3BFFC3AC" w14:textId="77777777" w:rsidR="007B4D7B" w:rsidRDefault="007B4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6F1695"/>
    <w:multiLevelType w:val="singleLevel"/>
    <w:tmpl w:val="0809000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803156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1C5"/>
    <w:rsid w:val="0022018C"/>
    <w:rsid w:val="0029639D"/>
    <w:rsid w:val="00326F90"/>
    <w:rsid w:val="005A6BF0"/>
    <w:rsid w:val="007B4D7B"/>
    <w:rsid w:val="00AA1D8D"/>
    <w:rsid w:val="00B47730"/>
    <w:rsid w:val="00B534EC"/>
    <w:rsid w:val="00CB0664"/>
    <w:rsid w:val="00FC693F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42AD9"/>
  <w14:defaultImageDpi w14:val="300"/>
  <w15:docId w15:val="{BF92C4ED-3303-0040-B671-C1EB1A15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160" w:line="280" w:lineRule="auto"/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before="160" w:after="160"/>
      <w:ind w:left="259" w:right="259"/>
    </w:pPr>
    <w:rPr>
      <w:rFonts w:ascii="Calibri" w:hAnsi="Calibri"/>
      <w:color w:val="0B254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822</Words>
  <Characters>4778</Characters>
  <Application>Microsoft Office Word</Application>
  <DocSecurity>0</DocSecurity>
  <Lines>176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Legislation Summary Privacy Telecommunications</dc:title>
  <dc:subject>Darvycom Australia Cluster 6 assessment evidence</dc:subject>
  <dc:creator>Leonardo Matias Ciarcia</dc:creator>
  <cp:keywords>Darvycom, Cluster 6, network, DSP, assessment</cp:keywords>
  <dc:description>generated by python-docx</dc:description>
  <cp:lastModifiedBy>CTI20221062 Leonardo</cp:lastModifiedBy>
  <cp:revision>3</cp:revision>
  <dcterms:created xsi:type="dcterms:W3CDTF">2013-12-23T23:15:00Z</dcterms:created>
  <dcterms:modified xsi:type="dcterms:W3CDTF">2026-08-23T12:25:00Z</dcterms:modified>
  <cp:category/>
</cp:coreProperties>
</file>