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1BA3"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Report 1: Economic and Political Influences on Australia’s Networking Industry</w:t>
      </w:r>
    </w:p>
    <w:p w14:paraId="4DEC0BB7" w14:textId="2ED82C7E"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 xml:space="preserve">Prepared by: </w:t>
      </w:r>
      <w:r>
        <w:rPr>
          <w:rFonts w:ascii="Calibri" w:eastAsia="Times New Roman" w:hAnsi="Calibri" w:cs="Calibri"/>
          <w:color w:val="000000"/>
          <w:kern w:val="0"/>
          <w:lang w:eastAsia="en-GB"/>
          <w14:ligatures w14:val="none"/>
        </w:rPr>
        <w:t>Leonardo Matias Ciarcia</w:t>
      </w:r>
      <w:r w:rsidRPr="001C3E76">
        <w:rPr>
          <w:rFonts w:ascii="Calibri" w:eastAsia="Times New Roman" w:hAnsi="Calibri" w:cs="Calibri"/>
          <w:color w:val="000000"/>
          <w:kern w:val="0"/>
          <w:lang w:eastAsia="en-GB"/>
          <w14:ligatures w14:val="none"/>
        </w:rPr>
        <w:br/>
        <w:t xml:space="preserve">Student ID: </w:t>
      </w:r>
      <w:r>
        <w:rPr>
          <w:rFonts w:ascii="Calibri" w:eastAsia="Times New Roman" w:hAnsi="Calibri" w:cs="Calibri"/>
          <w:color w:val="000000"/>
          <w:kern w:val="0"/>
          <w:lang w:eastAsia="en-GB"/>
          <w14:ligatures w14:val="none"/>
        </w:rPr>
        <w:t>CTI20221062</w:t>
      </w:r>
      <w:r w:rsidRPr="001C3E76">
        <w:rPr>
          <w:rFonts w:ascii="Calibri" w:eastAsia="Times New Roman" w:hAnsi="Calibri" w:cs="Calibri"/>
          <w:color w:val="000000"/>
          <w:kern w:val="0"/>
          <w:lang w:eastAsia="en-GB"/>
          <w14:ligatures w14:val="none"/>
        </w:rPr>
        <w:br/>
        <w:t>Project role: Assistant IT Manager / Telecommunications Technical Specialist</w:t>
      </w:r>
      <w:r w:rsidRPr="001C3E76">
        <w:rPr>
          <w:rFonts w:ascii="Calibri" w:eastAsia="Times New Roman" w:hAnsi="Calibri" w:cs="Calibri"/>
          <w:color w:val="000000"/>
          <w:kern w:val="0"/>
          <w:lang w:eastAsia="en-GB"/>
          <w14:ligatures w14:val="none"/>
        </w:rPr>
        <w:br/>
        <w:t>Prepared for: A-Plus Institute</w:t>
      </w:r>
      <w:r w:rsidRPr="001C3E76">
        <w:rPr>
          <w:rFonts w:ascii="Calibri" w:eastAsia="Times New Roman" w:hAnsi="Calibri" w:cs="Calibri"/>
          <w:color w:val="000000"/>
          <w:kern w:val="0"/>
          <w:lang w:eastAsia="en-GB"/>
          <w14:ligatures w14:val="none"/>
        </w:rPr>
        <w:br/>
        <w:t>Carrier and ISP considered: 3TTech</w:t>
      </w:r>
      <w:r w:rsidRPr="001C3E76">
        <w:rPr>
          <w:rFonts w:ascii="Calibri" w:eastAsia="Times New Roman" w:hAnsi="Calibri" w:cs="Calibri"/>
          <w:color w:val="000000"/>
          <w:kern w:val="0"/>
          <w:lang w:eastAsia="en-GB"/>
          <w14:ligatures w14:val="none"/>
        </w:rPr>
        <w:br/>
        <w:t>Version: 1.0</w:t>
      </w:r>
      <w:r w:rsidRPr="001C3E76">
        <w:rPr>
          <w:rFonts w:ascii="Calibri" w:eastAsia="Times New Roman" w:hAnsi="Calibri" w:cs="Calibri"/>
          <w:color w:val="000000"/>
          <w:kern w:val="0"/>
          <w:lang w:eastAsia="en-GB"/>
          <w14:ligatures w14:val="none"/>
        </w:rPr>
        <w:br/>
        <w:t xml:space="preserve">Date: </w:t>
      </w:r>
      <w:r>
        <w:rPr>
          <w:rFonts w:ascii="Calibri" w:eastAsia="Times New Roman" w:hAnsi="Calibri" w:cs="Calibri"/>
          <w:color w:val="000000"/>
          <w:kern w:val="0"/>
          <w:lang w:eastAsia="en-GB"/>
          <w14:ligatures w14:val="none"/>
        </w:rPr>
        <w:t>20/05/2026</w:t>
      </w:r>
    </w:p>
    <w:p w14:paraId="738A3A9A"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1. Executive Summary</w:t>
      </w:r>
    </w:p>
    <w:p w14:paraId="18F71EF5"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This report evaluates the main economic and political factors influencing telecommunications network planning in Australia and applies them to the A-Plus Institute enterprise network project.</w:t>
      </w:r>
    </w:p>
    <w:p w14:paraId="5B6B5DF7"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has experienced growth in enrolments, staff numbers and business activities. Its Brisbane campus has expanded from three existing levels to five levels by adding two new classroom levels. The organisation also intends to develop its Rookwood admission centre into a regional training campus and connect it securely to Brisbane.</w:t>
      </w:r>
    </w:p>
    <w:p w14:paraId="4100B914"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final Network 3 solution includes:</w:t>
      </w:r>
    </w:p>
    <w:p w14:paraId="53C900C4"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Five operational levels at the Brisbane campus.</w:t>
      </w:r>
    </w:p>
    <w:p w14:paraId="612F4A80"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 server room located on Existing Level 1.</w:t>
      </w:r>
    </w:p>
    <w:p w14:paraId="6E49EE88"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Two redundant Layer 3 core switches.</w:t>
      </w:r>
    </w:p>
    <w:p w14:paraId="2550D609"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Managed access switches and wireless access points.</w:t>
      </w:r>
    </w:p>
    <w:p w14:paraId="292FF010"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Centralised DHCP, DNS, file storage, backup and monitoring services.</w:t>
      </w:r>
    </w:p>
    <w:p w14:paraId="2F1952A8"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 wireless LAN controller.</w:t>
      </w:r>
    </w:p>
    <w:p w14:paraId="7984BD63"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Network segmentation and access controls.</w:t>
      </w:r>
    </w:p>
    <w:p w14:paraId="74626E4E"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 Cisco site router and security gateway.</w:t>
      </w:r>
    </w:p>
    <w:p w14:paraId="7F2EA363"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 site-to-site IPsec VPN between Brisbane and Rookwood.</w:t>
      </w:r>
    </w:p>
    <w:p w14:paraId="3B3F1350" w14:textId="77777777" w:rsidR="001C3E76" w:rsidRPr="001C3E76" w:rsidRDefault="001C3E76" w:rsidP="001C3E76">
      <w:pPr>
        <w:numPr>
          <w:ilvl w:val="0"/>
          <w:numId w:val="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Continued use of 3TTech as the preferred internet service provider.</w:t>
      </w:r>
    </w:p>
    <w:p w14:paraId="7DD4B1C2"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evaluation finds that deregulation and competition create opportunities for better prices, new technologies and service choice. However, regional coverage limitations, infrastructure investment costs, wholesale access conditions, cybersecurity policies and changing government priorities can delay or increase the cost of the Rookwood connection.</w:t>
      </w:r>
    </w:p>
    <w:p w14:paraId="63B46D8A"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project should proceed, but A-Plus Institute should obtain written service commitments from 3TTech, validate the total cost of ownership, retain contingency arrangements and review relevant telecommunications legislation before installation.</w:t>
      </w:r>
    </w:p>
    <w:p w14:paraId="1BDB2FF6"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2. Purpose and Scope</w:t>
      </w:r>
    </w:p>
    <w:p w14:paraId="42CBA844"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The purpose of this report is to:</w:t>
      </w:r>
    </w:p>
    <w:p w14:paraId="1A02FF83" w14:textId="77777777" w:rsidR="001C3E76" w:rsidRPr="001C3E76" w:rsidRDefault="001C3E76" w:rsidP="001C3E76">
      <w:pPr>
        <w:numPr>
          <w:ilvl w:val="0"/>
          <w:numId w:val="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Examine government regulation and deregulation in the Australian telecommunications industry.</w:t>
      </w:r>
    </w:p>
    <w:p w14:paraId="00111105" w14:textId="77777777" w:rsidR="001C3E76" w:rsidRPr="001C3E76" w:rsidRDefault="001C3E76" w:rsidP="001C3E76">
      <w:pPr>
        <w:numPr>
          <w:ilvl w:val="0"/>
          <w:numId w:val="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Assess how economic conditions influence the growth and planning of networks.</w:t>
      </w:r>
    </w:p>
    <w:p w14:paraId="29C6AAC9" w14:textId="77777777" w:rsidR="001C3E76" w:rsidRPr="001C3E76" w:rsidRDefault="001C3E76" w:rsidP="001C3E76">
      <w:pPr>
        <w:numPr>
          <w:ilvl w:val="0"/>
          <w:numId w:val="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Evaluate political influences on public and commercial network service providers.</w:t>
      </w:r>
    </w:p>
    <w:p w14:paraId="45929CD0" w14:textId="77777777" w:rsidR="001C3E76" w:rsidRPr="001C3E76" w:rsidRDefault="001C3E76" w:rsidP="001C3E76">
      <w:pPr>
        <w:numPr>
          <w:ilvl w:val="0"/>
          <w:numId w:val="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Determine how these influences affect A-Plus Institute.</w:t>
      </w:r>
    </w:p>
    <w:p w14:paraId="2496BD18" w14:textId="77777777" w:rsidR="001C3E76" w:rsidRPr="001C3E76" w:rsidRDefault="001C3E76" w:rsidP="001C3E76">
      <w:pPr>
        <w:numPr>
          <w:ilvl w:val="0"/>
          <w:numId w:val="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Recommend measures to support the implementation of Network 3.</w:t>
      </w:r>
    </w:p>
    <w:p w14:paraId="45E0F9EA"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scope includes the Brisbane campus expansion, the proposed Rookwood campus connection and the access network that 3TTech intends to extend into the Rookwood area.</w:t>
      </w:r>
    </w:p>
    <w:p w14:paraId="62E068B0"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3. A-Plus Institute Project Context</w:t>
      </w:r>
    </w:p>
    <w:p w14:paraId="561D0A3E"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is a Brisbane-based training provider that has operated for approximately six years. Growth in enrolments, expressions of interest, staffing and training activities has created a bottleneck in its existing network.</w:t>
      </w:r>
    </w:p>
    <w:p w14:paraId="331ED25A"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main business requirements are:</w:t>
      </w:r>
    </w:p>
    <w:p w14:paraId="40789AC4"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Provide reliable network capacity for increased staff and students.</w:t>
      </w:r>
    </w:p>
    <w:p w14:paraId="6DD62366"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Supply enterprise Wi-Fi to the two new classroom levels.</w:t>
      </w:r>
    </w:p>
    <w:p w14:paraId="4B18E3DC"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Improve internet stability, security and network performance.</w:t>
      </w:r>
    </w:p>
    <w:p w14:paraId="14EA46AA"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Maintain compatibility with suitable existing infrastructure.</w:t>
      </w:r>
    </w:p>
    <w:p w14:paraId="7AA5B621"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Support future growth without creating another network bottleneck.</w:t>
      </w:r>
    </w:p>
    <w:p w14:paraId="4249100A"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Improve sustainability and equipment-management practices.</w:t>
      </w:r>
    </w:p>
    <w:p w14:paraId="07F939CF"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Establish a network at the Rookwood campus.</w:t>
      </w:r>
    </w:p>
    <w:p w14:paraId="7F2B7C6F"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Enable secure communication between Brisbane and Rookwood.</w:t>
      </w:r>
    </w:p>
    <w:p w14:paraId="42519E0B"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Reduce the need for long-distance travel for administrative collaboration.</w:t>
      </w:r>
    </w:p>
    <w:p w14:paraId="5028DF3E" w14:textId="77777777" w:rsidR="001C3E76" w:rsidRPr="001C3E76" w:rsidRDefault="001C3E76" w:rsidP="001C3E76">
      <w:pPr>
        <w:numPr>
          <w:ilvl w:val="0"/>
          <w:numId w:val="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Continue using 3TTech where the required service becomes available.</w:t>
      </w:r>
    </w:p>
    <w:p w14:paraId="4B091FCB"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final Network 3 design supports these requirements through redundancy, segmentation, centralised services, managed wireless access, monitoring and a secure VPN.</w:t>
      </w:r>
    </w:p>
    <w:p w14:paraId="38159985"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4. Government Regulation and Deregulation</w:t>
      </w:r>
    </w:p>
    <w:p w14:paraId="2FAF56F0"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telecommunications policy combines competition with regulation. Deregulation has allowed more carriers, carriage service providers, internet service providers and technology vendors to enter the market. It has encouraged competition, service innovation, new wireless technologies and a wider range of commercial packages.</w:t>
      </w:r>
    </w:p>
    <w:p w14:paraId="74A703EF"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However, complete deregulation would not adequately address problems such as:</w:t>
      </w:r>
    </w:p>
    <w:p w14:paraId="464EE45B"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Market concentration.</w:t>
      </w:r>
    </w:p>
    <w:p w14:paraId="5B9B4C8D"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Unequal access in regional and remote locations.</w:t>
      </w:r>
    </w:p>
    <w:p w14:paraId="6FD4A0BA"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Control of essential infrastructure by a limited number of operators.</w:t>
      </w:r>
    </w:p>
    <w:p w14:paraId="4B26E1CD"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Anti-competitive conduct.</w:t>
      </w:r>
    </w:p>
    <w:p w14:paraId="2DB15469"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Consumer protection.</w:t>
      </w:r>
    </w:p>
    <w:p w14:paraId="06FFF8F2"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Cybersecurity and national security risks.</w:t>
      </w:r>
    </w:p>
    <w:p w14:paraId="24FE0341"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Privacy and confidentiality.</w:t>
      </w:r>
    </w:p>
    <w:p w14:paraId="3FCF95F3"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Radiofrequency interference.</w:t>
      </w:r>
    </w:p>
    <w:p w14:paraId="19B8741B" w14:textId="77777777" w:rsidR="001C3E76" w:rsidRPr="001C3E76" w:rsidRDefault="001C3E76" w:rsidP="001C3E76">
      <w:pPr>
        <w:numPr>
          <w:ilvl w:val="0"/>
          <w:numId w:val="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Access to land for infrastructure installation.</w:t>
      </w:r>
    </w:p>
    <w:p w14:paraId="544AE7B4"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Consequently, the government continues to regulate carrier licensing, competition, network access, consumer safeguards, universal services, privacy, technical standards and security.</w:t>
      </w:r>
    </w:p>
    <w:p w14:paraId="58A7D18F" w14:textId="5D98AB3E"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 xml:space="preserve">The Australian Communications and Media Authority </w:t>
      </w:r>
      <w:proofErr w:type="gramStart"/>
      <w:r w:rsidRPr="001C3E76">
        <w:rPr>
          <w:rFonts w:ascii="Calibri" w:eastAsia="Times New Roman" w:hAnsi="Calibri" w:cs="Calibri"/>
          <w:color w:val="000000"/>
          <w:kern w:val="0"/>
          <w:lang w:eastAsia="en-GB"/>
          <w14:ligatures w14:val="none"/>
        </w:rPr>
        <w:t>regulates</w:t>
      </w:r>
      <w:proofErr w:type="gramEnd"/>
      <w:r w:rsidRPr="001C3E76">
        <w:rPr>
          <w:rFonts w:ascii="Calibri" w:eastAsia="Times New Roman" w:hAnsi="Calibri" w:cs="Calibri"/>
          <w:color w:val="000000"/>
          <w:kern w:val="0"/>
          <w:lang w:eastAsia="en-GB"/>
          <w14:ligatures w14:val="none"/>
        </w:rPr>
        <w:t xml:space="preserve"> carrier licensing, technical requirements, telecommunications codes and many consumer protection requirements. The Australian Competition and Consumer Commission </w:t>
      </w:r>
      <w:proofErr w:type="gramStart"/>
      <w:r w:rsidRPr="001C3E76">
        <w:rPr>
          <w:rFonts w:ascii="Calibri" w:eastAsia="Times New Roman" w:hAnsi="Calibri" w:cs="Calibri"/>
          <w:color w:val="000000"/>
          <w:kern w:val="0"/>
          <w:lang w:eastAsia="en-GB"/>
          <w14:ligatures w14:val="none"/>
        </w:rPr>
        <w:t>manages</w:t>
      </w:r>
      <w:proofErr w:type="gramEnd"/>
      <w:r w:rsidRPr="001C3E76">
        <w:rPr>
          <w:rFonts w:ascii="Calibri" w:eastAsia="Times New Roman" w:hAnsi="Calibri" w:cs="Calibri"/>
          <w:color w:val="000000"/>
          <w:kern w:val="0"/>
          <w:lang w:eastAsia="en-GB"/>
          <w14:ligatures w14:val="none"/>
        </w:rPr>
        <w:t xml:space="preserve"> telecommunications competition and access arrangements, including Parts XIB and XIC of the Competition and Consumer Act 2010. The current Act establishes a special telecommunications competition regime in addition to the general competition provisions. </w:t>
      </w:r>
      <w:r w:rsidRPr="001C3E76">
        <w:rPr>
          <w:rFonts w:ascii="Calibri" w:eastAsia="Times New Roman" w:hAnsi="Calibri" w:cs="Calibri"/>
          <w:color w:val="000000"/>
          <w:kern w:val="0"/>
          <w:lang w:eastAsia="en-GB"/>
          <w14:ligatures w14:val="none"/>
        </w:rPr>
        <w:t xml:space="preserve"> </w:t>
      </w:r>
    </w:p>
    <w:p w14:paraId="391F4DBD"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Evaluation for A-Plus Institute</w:t>
      </w:r>
    </w:p>
    <w:p w14:paraId="00F62FFE"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Deregulation benefits A-Plus Institute because the organisation can compare internet plans, equipment vendors, cloud services and support providers. Competition may improve pricing and service quality.</w:t>
      </w:r>
    </w:p>
    <w:p w14:paraId="7F9BDF10"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However, competition is less effective when only one provider can service a regional location. Although A-Plus Institute prefers 3TTech, it should still benchmark the proposed price, capacity, installation period, fault-restoration target and contractual terms against other technically available services.</w:t>
      </w:r>
    </w:p>
    <w:p w14:paraId="19C96712"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Using the same ISP for both sites may simplify billing, technical support and VPN troubleshooting. However, it also creates supplier dependency. A major 3TTech outage could affect both campuses simultaneously. The Network 3 contingency plan should therefore include an independent backup connection or documented temporary connectivity method.</w:t>
      </w:r>
    </w:p>
    <w:p w14:paraId="5E83DEF3"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5. Economic Influences on Network Growth and Planning</w:t>
      </w:r>
    </w:p>
    <w:p w14:paraId="040D0013"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5.1 Growth in demand</w:t>
      </w:r>
    </w:p>
    <w:p w14:paraId="01C88CAF"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Demand for online learning, cloud systems, video conferencing, digital assessment and wireless connectivity increases the capacity required from telecommunications networks.</w:t>
      </w:r>
    </w:p>
    <w:p w14:paraId="05C9B666"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For A-Plus Institute, higher enrolments and additional classrooms increase:</w:t>
      </w:r>
    </w:p>
    <w:p w14:paraId="2667099A"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Concurrent Wi-Fi connections.</w:t>
      </w:r>
    </w:p>
    <w:p w14:paraId="59E8194E"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Internet traffic.</w:t>
      </w:r>
    </w:p>
    <w:p w14:paraId="381F98A8"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Authentication requests.</w:t>
      </w:r>
    </w:p>
    <w:p w14:paraId="2F303E46"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File transfers.</w:t>
      </w:r>
    </w:p>
    <w:p w14:paraId="68D1C3B7"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Video and voice traffic.</w:t>
      </w:r>
    </w:p>
    <w:p w14:paraId="524E3DD6"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Backup storage requirements.</w:t>
      </w:r>
    </w:p>
    <w:p w14:paraId="1EA72C56" w14:textId="77777777" w:rsidR="001C3E76" w:rsidRPr="001C3E76" w:rsidRDefault="001C3E76" w:rsidP="001C3E76">
      <w:pPr>
        <w:numPr>
          <w:ilvl w:val="0"/>
          <w:numId w:val="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Technical support workload.</w:t>
      </w:r>
    </w:p>
    <w:p w14:paraId="0E5CA0CF"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Insufficient capacity would reduce staff productivity, interrupt classes and negatively affect students. Investment in the scalable Network 3 design is therefore economically justified because it reduces the operational cost of congestion and service interruptions.</w:t>
      </w:r>
    </w:p>
    <w:p w14:paraId="1291D635"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5.2 Capital and operating costs</w:t>
      </w:r>
    </w:p>
    <w:p w14:paraId="7FD35AC9"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project requires both capital expenditure and ongoing operating expenditure.</w:t>
      </w:r>
    </w:p>
    <w:p w14:paraId="6A4EBF50"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Capital expenditure includes:</w:t>
      </w:r>
    </w:p>
    <w:p w14:paraId="6A0E4849"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Routers and security gateways.</w:t>
      </w:r>
    </w:p>
    <w:p w14:paraId="40F80BC2"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Redundant Layer 3 core switches.</w:t>
      </w:r>
    </w:p>
    <w:p w14:paraId="06E7F942"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Access switches.</w:t>
      </w:r>
    </w:p>
    <w:p w14:paraId="0C51FC0C"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Wireless access points and controller.</w:t>
      </w:r>
    </w:p>
    <w:p w14:paraId="403F0C23"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Servers and network-attached storage.</w:t>
      </w:r>
    </w:p>
    <w:p w14:paraId="4DC161E5"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Structured cabling and fibre backbone connections.</w:t>
      </w:r>
    </w:p>
    <w:p w14:paraId="0ED57D77"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Equipment racks, UPS units and cooling.</w:t>
      </w:r>
    </w:p>
    <w:p w14:paraId="2F3AE798" w14:textId="77777777" w:rsidR="001C3E76" w:rsidRPr="001C3E76" w:rsidRDefault="001C3E76" w:rsidP="001C3E76">
      <w:pPr>
        <w:numPr>
          <w:ilvl w:val="0"/>
          <w:numId w:val="6"/>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Installation, configuration and testing.</w:t>
      </w:r>
    </w:p>
    <w:p w14:paraId="01D36FE4"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Operating expenditure includes:</w:t>
      </w:r>
    </w:p>
    <w:p w14:paraId="27781DC0"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ISP service charges.</w:t>
      </w:r>
    </w:p>
    <w:p w14:paraId="461A10C4"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Hardware and software support.</w:t>
      </w:r>
    </w:p>
    <w:p w14:paraId="7101FAA7"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Cloud services and licences.</w:t>
      </w:r>
    </w:p>
    <w:p w14:paraId="73F9D57F"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Electricity and cooling.</w:t>
      </w:r>
    </w:p>
    <w:p w14:paraId="52805A81"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Equipment maintenance.</w:t>
      </w:r>
    </w:p>
    <w:p w14:paraId="211CD9F6"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Monitoring and backup services.</w:t>
      </w:r>
    </w:p>
    <w:p w14:paraId="6AE276B3"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Staff training.</w:t>
      </w:r>
    </w:p>
    <w:p w14:paraId="0CF0A40C" w14:textId="77777777" w:rsidR="001C3E76" w:rsidRPr="001C3E76" w:rsidRDefault="001C3E76" w:rsidP="001C3E76">
      <w:pPr>
        <w:numPr>
          <w:ilvl w:val="0"/>
          <w:numId w:val="7"/>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Replacement and lifecycle costs.</w:t>
      </w:r>
    </w:p>
    <w:p w14:paraId="06D20CF2"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 low initial purchase price does not necessarily represent the best economic result. A device with limited capacity, poor support or a short lifecycle may cost more over time. A-Plus Institute should assess the total cost of ownership over at least three to five years.</w:t>
      </w:r>
    </w:p>
    <w:p w14:paraId="43475650"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5.3 Regional infrastructure costs</w:t>
      </w:r>
    </w:p>
    <w:p w14:paraId="22C70FF5"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Regional telecommunications infrastructure can be more expensive because of longer transmission distances, fewer customers, limited existing backhaul, travel costs, maintenance requirements and power availability.</w:t>
      </w:r>
    </w:p>
    <w:p w14:paraId="49BBFC20"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These conditions directly affect 3TTech’s proposed Rookwood access-network extension. The provider must determine whether expected service revenue justifies the capital and operating costs.</w:t>
      </w:r>
    </w:p>
    <w:p w14:paraId="4BC43476"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For A-Plus Institute, this may result in:</w:t>
      </w:r>
    </w:p>
    <w:p w14:paraId="411D6EBB"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Higher installation charges.</w:t>
      </w:r>
    </w:p>
    <w:p w14:paraId="212DC9F0"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Longer lead times.</w:t>
      </w:r>
    </w:p>
    <w:p w14:paraId="74A8B308"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Fewer service options.</w:t>
      </w:r>
    </w:p>
    <w:p w14:paraId="06E9389D"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Lower available speeds.</w:t>
      </w:r>
    </w:p>
    <w:p w14:paraId="3C2D9881"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More expensive fault response.</w:t>
      </w:r>
    </w:p>
    <w:p w14:paraId="3C4072EB"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Greater dependence on wireless or satellite alternatives.</w:t>
      </w:r>
    </w:p>
    <w:p w14:paraId="0F8563FC" w14:textId="77777777" w:rsidR="001C3E76" w:rsidRPr="001C3E76" w:rsidRDefault="001C3E76" w:rsidP="001C3E76">
      <w:pPr>
        <w:numPr>
          <w:ilvl w:val="0"/>
          <w:numId w:val="8"/>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need for backup power and redundant connectivity.</w:t>
      </w:r>
    </w:p>
    <w:p w14:paraId="0B598062" w14:textId="06B474C4"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Government programs can influence commercial investment. The Regional Connectivity Program funds place-based infrastructure intended to improve connectivity in regional, rural and remote areas. </w:t>
      </w:r>
      <w:r w:rsidRPr="001C3E76">
        <w:rPr>
          <w:rFonts w:ascii="Calibri" w:eastAsia="Times New Roman" w:hAnsi="Calibri" w:cs="Calibri"/>
          <w:color w:val="000000"/>
          <w:kern w:val="0"/>
          <w:lang w:eastAsia="en-GB"/>
          <w14:ligatures w14:val="none"/>
        </w:rPr>
        <w:t xml:space="preserve"> </w:t>
      </w:r>
    </w:p>
    <w:p w14:paraId="039EEE2C"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5.4 Competition and wholesale access</w:t>
      </w:r>
    </w:p>
    <w:p w14:paraId="0323B4CD"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Competition allows providers to purchase wholesale network access and offer retail services without constructing an entirely separate national network. This can lower market-entry costs and provide customers with more choices.</w:t>
      </w:r>
    </w:p>
    <w:p w14:paraId="0BDBD366" w14:textId="4362AC61"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ACCC telecommunications access regime can require access to declared services on regulated terms. This is intended to promote the long-term interests of end users and prevent an infrastructure owner from unfairly restricting competitors. </w:t>
      </w:r>
      <w:r w:rsidRPr="001C3E76">
        <w:rPr>
          <w:rFonts w:ascii="Calibri" w:eastAsia="Times New Roman" w:hAnsi="Calibri" w:cs="Calibri"/>
          <w:color w:val="000000"/>
          <w:kern w:val="0"/>
          <w:lang w:eastAsia="en-GB"/>
          <w14:ligatures w14:val="none"/>
        </w:rPr>
        <w:t xml:space="preserve"> </w:t>
      </w:r>
    </w:p>
    <w:p w14:paraId="0B49A902"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For A-Plus Institute, wholesale competition may improve the number of available service packages. However, different retail providers may still depend on the same underlying infrastructure. A second retail contract will not provide true redundancy if both connections use the same physical route.</w:t>
      </w:r>
    </w:p>
    <w:p w14:paraId="23E557A2"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5.5 Inflation, exchange rates and supply chains</w:t>
      </w:r>
    </w:p>
    <w:p w14:paraId="305FA8FD"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Enterprise networking equipment is commonly manufactured overseas. Changes in inflation, exchange rates, freight charges and international supply chains can affect:</w:t>
      </w:r>
    </w:p>
    <w:p w14:paraId="60E2BB43" w14:textId="77777777" w:rsidR="001C3E76" w:rsidRPr="001C3E76" w:rsidRDefault="001C3E76" w:rsidP="001C3E76">
      <w:pPr>
        <w:numPr>
          <w:ilvl w:val="0"/>
          <w:numId w:val="9"/>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Hardware prices.</w:t>
      </w:r>
    </w:p>
    <w:p w14:paraId="7536F2DF" w14:textId="77777777" w:rsidR="001C3E76" w:rsidRPr="001C3E76" w:rsidRDefault="001C3E76" w:rsidP="001C3E76">
      <w:pPr>
        <w:numPr>
          <w:ilvl w:val="0"/>
          <w:numId w:val="9"/>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Delivery times.</w:t>
      </w:r>
    </w:p>
    <w:p w14:paraId="581046AD" w14:textId="77777777" w:rsidR="001C3E76" w:rsidRPr="001C3E76" w:rsidRDefault="001C3E76" w:rsidP="001C3E76">
      <w:pPr>
        <w:numPr>
          <w:ilvl w:val="0"/>
          <w:numId w:val="9"/>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Vendor support charges.</w:t>
      </w:r>
    </w:p>
    <w:p w14:paraId="037449D2" w14:textId="77777777" w:rsidR="001C3E76" w:rsidRPr="001C3E76" w:rsidRDefault="001C3E76" w:rsidP="001C3E76">
      <w:pPr>
        <w:numPr>
          <w:ilvl w:val="0"/>
          <w:numId w:val="9"/>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Software subscriptions.</w:t>
      </w:r>
    </w:p>
    <w:p w14:paraId="1F40B124" w14:textId="77777777" w:rsidR="001C3E76" w:rsidRPr="001C3E76" w:rsidRDefault="001C3E76" w:rsidP="001C3E76">
      <w:pPr>
        <w:numPr>
          <w:ilvl w:val="0"/>
          <w:numId w:val="9"/>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Replacement-part availability.</w:t>
      </w:r>
    </w:p>
    <w:p w14:paraId="0FD8803B"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Supplier quotations should therefore have a stated validity period. The budget should include contingency funding and should avoid dependence on equipment that is approaching end of support.</w:t>
      </w:r>
    </w:p>
    <w:p w14:paraId="7FBC1C37"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5.6 Availability of skilled workers</w:t>
      </w:r>
    </w:p>
    <w:p w14:paraId="6E936071"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The project requires network engineers, registered cablers, wireless specialists and security personnel. Skills shortages or travel to Rookwood may increase labour costs and implementation time.</w:t>
      </w:r>
    </w:p>
    <w:p w14:paraId="26E7AFA3"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should require:</w:t>
      </w:r>
    </w:p>
    <w:p w14:paraId="2149B8F0"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Appropriately registered cablers.</w:t>
      </w:r>
    </w:p>
    <w:p w14:paraId="244895EC"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Installation records and test results.</w:t>
      </w:r>
    </w:p>
    <w:p w14:paraId="0FAC4432"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Device configuration backups.</w:t>
      </w:r>
    </w:p>
    <w:p w14:paraId="5EC0F440"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Network diagrams.</w:t>
      </w:r>
    </w:p>
    <w:p w14:paraId="2B671D08"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Staff training.</w:t>
      </w:r>
    </w:p>
    <w:p w14:paraId="2DD19752"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Remote monitoring and management.</w:t>
      </w:r>
    </w:p>
    <w:p w14:paraId="5CA6EF57" w14:textId="77777777" w:rsidR="001C3E76" w:rsidRPr="001C3E76" w:rsidRDefault="001C3E76" w:rsidP="001C3E76">
      <w:pPr>
        <w:numPr>
          <w:ilvl w:val="0"/>
          <w:numId w:val="10"/>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 support escalation arrangement.</w:t>
      </w:r>
    </w:p>
    <w:p w14:paraId="0B38D28C"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5.7 Energy and sustainability</w:t>
      </w:r>
    </w:p>
    <w:p w14:paraId="1DF1F497"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Electricity, cooling and equipment replacement contribute to operating costs. The Network 3 design should use energy-efficient equipment and power-management features where these do not reduce performance.</w:t>
      </w:r>
    </w:p>
    <w:p w14:paraId="66411361"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Centralised monitoring can identify unused ports, excessive power consumption, overheating and equipment approaching failure. Virtualisation, efficient UPS systems and responsible electronic-waste disposal can also support A-Plus Institute’s sustainability objectives.</w:t>
      </w:r>
    </w:p>
    <w:p w14:paraId="699157DD"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6. Political Influences on Network Planning</w:t>
      </w:r>
    </w:p>
    <w:p w14:paraId="07E49B25"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6.1 National broadband policy</w:t>
      </w:r>
    </w:p>
    <w:p w14:paraId="68209675"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Government decisions about broadband investment, wholesale access and the role of NBN Co affect network availability, technology and pricing.</w:t>
      </w:r>
    </w:p>
    <w:p w14:paraId="4538F34D" w14:textId="1BDEC048"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NBN Co is the default Statutory Infrastructure Provider for Australia. The SIP regime is designed to ensure access to wholesale broadband services and requires the relevant SIP to connect premises and supply wholesale services on reasonable request, subject to the legislation. </w:t>
      </w:r>
      <w:r w:rsidRPr="001C3E76">
        <w:rPr>
          <w:rFonts w:ascii="Calibri" w:eastAsia="Times New Roman" w:hAnsi="Calibri" w:cs="Calibri"/>
          <w:color w:val="000000"/>
          <w:kern w:val="0"/>
          <w:lang w:eastAsia="en-GB"/>
          <w14:ligatures w14:val="none"/>
        </w:rPr>
        <w:t xml:space="preserve"> </w:t>
      </w:r>
    </w:p>
    <w:p w14:paraId="34DAA0EC"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This policy may support broadband availability at Rookwood. However, statutory access does not automatically guarantee the enterprise-grade bandwidth, symmetry, static addressing, restoration time or service-level agreement required by A-Plus Institute.</w:t>
      </w:r>
    </w:p>
    <w:p w14:paraId="425C504E"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6.2 Regional digital inclusion</w:t>
      </w:r>
    </w:p>
    <w:p w14:paraId="6A81A09E"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Regional connectivity is a continuing political priority because poor coverage affects education, business, healthcare and community participation.</w:t>
      </w:r>
    </w:p>
    <w:p w14:paraId="09FBB6E7"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The Rookwood campus supports this objective by providing regional students with access to training and Brisbane-based resources. Reliable connectivity would reduce geographic disadvantage and support remote learning and collaboration.</w:t>
      </w:r>
    </w:p>
    <w:p w14:paraId="18A465CE"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should document the social and educational benefits of the Rookwood service because this information may assist discussions with carriers and regional infrastructure programs.</w:t>
      </w:r>
    </w:p>
    <w:p w14:paraId="75E257EA"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6.3 Universal service policy</w:t>
      </w:r>
    </w:p>
    <w:p w14:paraId="0753A22C" w14:textId="08ABD5D1"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Universal Service Obligation supports access to standard telephone services and payphones. Telstra remains responsible for supplying the standard telephone service on reasonable request under the applicable arrangements. </w:t>
      </w:r>
      <w:r w:rsidRPr="001C3E76">
        <w:rPr>
          <w:rFonts w:ascii="Calibri" w:eastAsia="Times New Roman" w:hAnsi="Calibri" w:cs="Calibri"/>
          <w:color w:val="000000"/>
          <w:kern w:val="0"/>
          <w:lang w:eastAsia="en-GB"/>
          <w14:ligatures w14:val="none"/>
        </w:rPr>
        <w:t xml:space="preserve"> </w:t>
      </w:r>
    </w:p>
    <w:p w14:paraId="2E8136B2"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The government is considering how universal telecommunications services should operate as technologies change. This creates some policy uncertainty for long-term regional planning.</w:t>
      </w:r>
    </w:p>
    <w:p w14:paraId="2E1C13CC"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should not treat the USO as a guarantee of a high-capacity enterprise data service. The project must separately verify the broadband service, VPN suitability, capacity and restoration commitment for Rookwood.</w:t>
      </w:r>
    </w:p>
    <w:p w14:paraId="06303761"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6.4 Cybersecurity and national security</w:t>
      </w:r>
    </w:p>
    <w:p w14:paraId="02C9358C"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Government policy increasingly requires carriers and carriage service providers to protect telecommunications networks from unauthorised access and interference. Relevant providers may also have notification and risk-management obligations.</w:t>
      </w:r>
    </w:p>
    <w:p w14:paraId="7C17DCE6" w14:textId="172BE44D"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This affects 3TTech’s network architecture, equipment selection, supply-chain controls and proposed changes to its Rookwood access network. </w:t>
      </w:r>
      <w:r w:rsidRPr="001C3E76">
        <w:rPr>
          <w:rFonts w:ascii="Calibri" w:eastAsia="Times New Roman" w:hAnsi="Calibri" w:cs="Calibri"/>
          <w:color w:val="000000"/>
          <w:kern w:val="0"/>
          <w:lang w:eastAsia="en-GB"/>
          <w14:ligatures w14:val="none"/>
        </w:rPr>
        <w:t xml:space="preserve"> </w:t>
      </w:r>
    </w:p>
    <w:p w14:paraId="3A8267BB"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For A-Plus Institute, this supports the security measures included in Network 3:</w:t>
      </w:r>
    </w:p>
    <w:p w14:paraId="37D24B39"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Network segmentation.</w:t>
      </w:r>
    </w:p>
    <w:p w14:paraId="199C9ED4"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Access-control lists.</w:t>
      </w:r>
    </w:p>
    <w:p w14:paraId="2885EBAE"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Secure administration.</w:t>
      </w:r>
    </w:p>
    <w:p w14:paraId="34AF42AF"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Configuration backups.</w:t>
      </w:r>
    </w:p>
    <w:p w14:paraId="429E108F"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Traffic monitoring.</w:t>
      </w:r>
    </w:p>
    <w:p w14:paraId="44EE27BF"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Protected server infrastructure.</w:t>
      </w:r>
    </w:p>
    <w:p w14:paraId="7F77B681"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Site-to-site IPsec VPN.</w:t>
      </w:r>
    </w:p>
    <w:p w14:paraId="2EA17730" w14:textId="77777777" w:rsidR="001C3E76" w:rsidRPr="001C3E76" w:rsidRDefault="001C3E76" w:rsidP="001C3E76">
      <w:pPr>
        <w:numPr>
          <w:ilvl w:val="0"/>
          <w:numId w:val="11"/>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Logging and incident-response procedures.</w:t>
      </w:r>
    </w:p>
    <w:p w14:paraId="03663DBD"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6.5 Consumer protection and regulatory enforcement</w:t>
      </w:r>
    </w:p>
    <w:p w14:paraId="045B3236"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Government policy requires telecommunications providers to improve sales practices, contracts, billing, complaints handling and assistance for vulnerable customers. These requirements influence provider operating costs but also increase customer confidence.</w:t>
      </w:r>
    </w:p>
    <w:p w14:paraId="39A1FE16" w14:textId="443F525C"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A-Plus Institute should obtain clear written information covering service inclusions, installation costs, minimum service levels, complaint escalation, termination charges and fault restoration. The current Telecommunications Consumer Protections Code remains an important source of provider obligations. </w:t>
      </w:r>
      <w:r w:rsidRPr="001C3E76">
        <w:rPr>
          <w:rFonts w:ascii="Calibri" w:eastAsia="Times New Roman" w:hAnsi="Calibri" w:cs="Calibri"/>
          <w:color w:val="000000"/>
          <w:kern w:val="0"/>
          <w:lang w:eastAsia="en-GB"/>
          <w14:ligatures w14:val="none"/>
        </w:rPr>
        <w:t xml:space="preserve"> </w:t>
      </w:r>
    </w:p>
    <w:p w14:paraId="169D5BE0" w14:textId="77777777" w:rsidR="001C3E76" w:rsidRPr="001C3E76" w:rsidRDefault="001C3E76" w:rsidP="001C3E76">
      <w:pPr>
        <w:spacing w:after="100" w:afterAutospacing="1"/>
        <w:ind w:left="0" w:firstLine="0"/>
        <w:outlineLvl w:val="2"/>
        <w:rPr>
          <w:rFonts w:ascii="Calibri" w:eastAsia="Times New Roman" w:hAnsi="Calibri" w:cs="Calibri"/>
          <w:b/>
          <w:bCs/>
          <w:color w:val="000000"/>
          <w:kern w:val="0"/>
          <w:sz w:val="27"/>
          <w:szCs w:val="27"/>
          <w:lang w:eastAsia="en-GB"/>
          <w14:ligatures w14:val="none"/>
        </w:rPr>
      </w:pPr>
      <w:r w:rsidRPr="001C3E76">
        <w:rPr>
          <w:rFonts w:ascii="Calibri" w:eastAsia="Times New Roman" w:hAnsi="Calibri" w:cs="Calibri"/>
          <w:b/>
          <w:bCs/>
          <w:color w:val="000000"/>
          <w:kern w:val="0"/>
          <w:sz w:val="27"/>
          <w:szCs w:val="27"/>
          <w:lang w:eastAsia="en-GB"/>
          <w14:ligatures w14:val="none"/>
        </w:rPr>
        <w:t>6.6 Planning, property access and community consultation</w:t>
      </w:r>
    </w:p>
    <w:p w14:paraId="2DDA5799"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Political and community expectations affect where carriers can install facilities. Carriers have certain statutory installation rights, but they must follow applicable notification, consultation, environmental and property-protection requirements.</w:t>
      </w:r>
    </w:p>
    <w:p w14:paraId="2C5F5D67"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For the Rookwood connection, 3TTech must determine whether proposed infrastructure is low impact. Non-low-impact infrastructure may require state, local or environmental approvals.</w:t>
      </w:r>
    </w:p>
    <w:p w14:paraId="618F0392"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must not begin external carrier work based only on the internal Network 3 diagram. A separate physical implementation survey and approval process is required.</w:t>
      </w:r>
    </w:p>
    <w:p w14:paraId="4688D8FF"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7. Influence on Public and Commercial Enterprises</w:t>
      </w:r>
    </w:p>
    <w:p w14:paraId="0AF98A21"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Public-policy organisations and commercial providers have related but different objectives.</w:t>
      </w:r>
    </w:p>
    <w:p w14:paraId="2234BF26"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Government organisations and regulators seek to:</w:t>
      </w:r>
    </w:p>
    <w:p w14:paraId="5C95E042" w14:textId="77777777" w:rsidR="001C3E76" w:rsidRPr="001C3E76" w:rsidRDefault="001C3E76" w:rsidP="001C3E76">
      <w:pPr>
        <w:numPr>
          <w:ilvl w:val="0"/>
          <w:numId w:val="1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Promote competition.</w:t>
      </w:r>
    </w:p>
    <w:p w14:paraId="7CC91A71" w14:textId="77777777" w:rsidR="001C3E76" w:rsidRPr="001C3E76" w:rsidRDefault="001C3E76" w:rsidP="001C3E76">
      <w:pPr>
        <w:numPr>
          <w:ilvl w:val="0"/>
          <w:numId w:val="1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Protect consumers.</w:t>
      </w:r>
    </w:p>
    <w:p w14:paraId="4A08526B" w14:textId="77777777" w:rsidR="001C3E76" w:rsidRPr="001C3E76" w:rsidRDefault="001C3E76" w:rsidP="001C3E76">
      <w:pPr>
        <w:numPr>
          <w:ilvl w:val="0"/>
          <w:numId w:val="1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Improve regional access.</w:t>
      </w:r>
    </w:p>
    <w:p w14:paraId="3C4EA5F8" w14:textId="77777777" w:rsidR="001C3E76" w:rsidRPr="001C3E76" w:rsidRDefault="001C3E76" w:rsidP="001C3E76">
      <w:pPr>
        <w:numPr>
          <w:ilvl w:val="0"/>
          <w:numId w:val="1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Maintain secure and reliable communications.</w:t>
      </w:r>
    </w:p>
    <w:p w14:paraId="3041DF6E" w14:textId="77777777" w:rsidR="001C3E76" w:rsidRPr="001C3E76" w:rsidRDefault="001C3E76" w:rsidP="001C3E76">
      <w:pPr>
        <w:numPr>
          <w:ilvl w:val="0"/>
          <w:numId w:val="1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Manage spectrum and technical standards.</w:t>
      </w:r>
    </w:p>
    <w:p w14:paraId="6A254B9C" w14:textId="77777777" w:rsidR="001C3E76" w:rsidRPr="001C3E76" w:rsidRDefault="001C3E76" w:rsidP="001C3E76">
      <w:pPr>
        <w:numPr>
          <w:ilvl w:val="0"/>
          <w:numId w:val="12"/>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Support national economic and social objectives.</w:t>
      </w:r>
    </w:p>
    <w:p w14:paraId="33D298E8"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Commercial carriers and service providers seek to:</w:t>
      </w:r>
    </w:p>
    <w:p w14:paraId="3140D213" w14:textId="77777777" w:rsidR="001C3E76" w:rsidRPr="001C3E76" w:rsidRDefault="001C3E76" w:rsidP="001C3E76">
      <w:pPr>
        <w:numPr>
          <w:ilvl w:val="0"/>
          <w:numId w:val="1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Recover infrastructure investment.</w:t>
      </w:r>
    </w:p>
    <w:p w14:paraId="1EC7FBEB" w14:textId="77777777" w:rsidR="001C3E76" w:rsidRPr="001C3E76" w:rsidRDefault="001C3E76" w:rsidP="001C3E76">
      <w:pPr>
        <w:numPr>
          <w:ilvl w:val="0"/>
          <w:numId w:val="1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Earn sustainable revenue.</w:t>
      </w:r>
    </w:p>
    <w:p w14:paraId="7918381D" w14:textId="77777777" w:rsidR="001C3E76" w:rsidRPr="001C3E76" w:rsidRDefault="001C3E76" w:rsidP="001C3E76">
      <w:pPr>
        <w:numPr>
          <w:ilvl w:val="0"/>
          <w:numId w:val="1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Control operational risk.</w:t>
      </w:r>
    </w:p>
    <w:p w14:paraId="312DB742" w14:textId="77777777" w:rsidR="001C3E76" w:rsidRPr="001C3E76" w:rsidRDefault="001C3E76" w:rsidP="001C3E76">
      <w:pPr>
        <w:numPr>
          <w:ilvl w:val="0"/>
          <w:numId w:val="1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Meet licence and compliance obligations.</w:t>
      </w:r>
    </w:p>
    <w:p w14:paraId="41DC2915" w14:textId="77777777" w:rsidR="001C3E76" w:rsidRPr="001C3E76" w:rsidRDefault="001C3E76" w:rsidP="001C3E76">
      <w:pPr>
        <w:numPr>
          <w:ilvl w:val="0"/>
          <w:numId w:val="1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Attract and retain customers.</w:t>
      </w:r>
    </w:p>
    <w:p w14:paraId="3620D6C2" w14:textId="77777777" w:rsidR="001C3E76" w:rsidRPr="001C3E76" w:rsidRDefault="001C3E76" w:rsidP="001C3E76">
      <w:pPr>
        <w:numPr>
          <w:ilvl w:val="0"/>
          <w:numId w:val="13"/>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Introduce profitable new technologies.</w:t>
      </w:r>
    </w:p>
    <w:p w14:paraId="24DB98EF"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is affected by both sets of objectives. Public policy may improve service availability at Rookwood, while 3TTech’s commercial assessment determines the service price, construction schedule and level of investment.</w:t>
      </w:r>
    </w:p>
    <w:p w14:paraId="1786D51B"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8. Overall Evaluation</w:t>
      </w:r>
    </w:p>
    <w:tbl>
      <w:tblPr>
        <w:tblStyle w:val="TableGrid"/>
        <w:tblW w:w="0" w:type="auto"/>
        <w:tblLook w:val="04A0" w:firstRow="1" w:lastRow="0" w:firstColumn="1" w:lastColumn="0" w:noHBand="0" w:noVBand="1"/>
      </w:tblPr>
      <w:tblGrid>
        <w:gridCol w:w="2470"/>
        <w:gridCol w:w="2011"/>
        <w:gridCol w:w="2421"/>
        <w:gridCol w:w="2114"/>
      </w:tblGrid>
      <w:tr w:rsidR="001C3E76" w:rsidRPr="001C3E76" w14:paraId="3CEF5652" w14:textId="77777777" w:rsidTr="001C3E76">
        <w:tc>
          <w:tcPr>
            <w:tcW w:w="0" w:type="auto"/>
            <w:hideMark/>
          </w:tcPr>
          <w:p w14:paraId="2AAA1CD7" w14:textId="77777777" w:rsidR="001C3E76" w:rsidRPr="001C3E76" w:rsidRDefault="001C3E76" w:rsidP="001C3E76">
            <w:pPr>
              <w:spacing w:beforeAutospacing="0"/>
              <w:ind w:left="0" w:firstLine="0"/>
              <w:jc w:val="center"/>
              <w:rPr>
                <w:rFonts w:ascii="Calibri" w:eastAsia="Times New Roman" w:hAnsi="Calibri" w:cs="Calibri"/>
                <w:b/>
                <w:bCs/>
                <w:kern w:val="0"/>
                <w:lang w:eastAsia="en-GB"/>
                <w14:ligatures w14:val="none"/>
              </w:rPr>
            </w:pPr>
            <w:r w:rsidRPr="001C3E76">
              <w:rPr>
                <w:rFonts w:ascii="Calibri" w:eastAsia="Times New Roman" w:hAnsi="Calibri" w:cs="Calibri"/>
                <w:b/>
                <w:bCs/>
                <w:kern w:val="0"/>
                <w:lang w:eastAsia="en-GB"/>
                <w14:ligatures w14:val="none"/>
              </w:rPr>
              <w:lastRenderedPageBreak/>
              <w:t>Influence</w:t>
            </w:r>
          </w:p>
        </w:tc>
        <w:tc>
          <w:tcPr>
            <w:tcW w:w="0" w:type="auto"/>
            <w:hideMark/>
          </w:tcPr>
          <w:p w14:paraId="5B212824" w14:textId="77777777" w:rsidR="001C3E76" w:rsidRPr="001C3E76" w:rsidRDefault="001C3E76" w:rsidP="001C3E76">
            <w:pPr>
              <w:spacing w:beforeAutospacing="0"/>
              <w:ind w:left="0" w:firstLine="0"/>
              <w:jc w:val="center"/>
              <w:rPr>
                <w:rFonts w:ascii="Calibri" w:eastAsia="Times New Roman" w:hAnsi="Calibri" w:cs="Calibri"/>
                <w:b/>
                <w:bCs/>
                <w:kern w:val="0"/>
                <w:lang w:eastAsia="en-GB"/>
                <w14:ligatures w14:val="none"/>
              </w:rPr>
            </w:pPr>
            <w:r w:rsidRPr="001C3E76">
              <w:rPr>
                <w:rFonts w:ascii="Calibri" w:eastAsia="Times New Roman" w:hAnsi="Calibri" w:cs="Calibri"/>
                <w:b/>
                <w:bCs/>
                <w:kern w:val="0"/>
                <w:lang w:eastAsia="en-GB"/>
                <w14:ligatures w14:val="none"/>
              </w:rPr>
              <w:t>Opportunity for A-Plus Institute</w:t>
            </w:r>
          </w:p>
        </w:tc>
        <w:tc>
          <w:tcPr>
            <w:tcW w:w="0" w:type="auto"/>
            <w:hideMark/>
          </w:tcPr>
          <w:p w14:paraId="220DC439" w14:textId="77777777" w:rsidR="001C3E76" w:rsidRPr="001C3E76" w:rsidRDefault="001C3E76" w:rsidP="001C3E76">
            <w:pPr>
              <w:spacing w:beforeAutospacing="0"/>
              <w:ind w:left="0" w:firstLine="0"/>
              <w:jc w:val="center"/>
              <w:rPr>
                <w:rFonts w:ascii="Calibri" w:eastAsia="Times New Roman" w:hAnsi="Calibri" w:cs="Calibri"/>
                <w:b/>
                <w:bCs/>
                <w:kern w:val="0"/>
                <w:lang w:eastAsia="en-GB"/>
                <w14:ligatures w14:val="none"/>
              </w:rPr>
            </w:pPr>
            <w:r w:rsidRPr="001C3E76">
              <w:rPr>
                <w:rFonts w:ascii="Calibri" w:eastAsia="Times New Roman" w:hAnsi="Calibri" w:cs="Calibri"/>
                <w:b/>
                <w:bCs/>
                <w:kern w:val="0"/>
                <w:lang w:eastAsia="en-GB"/>
                <w14:ligatures w14:val="none"/>
              </w:rPr>
              <w:t>Risk</w:t>
            </w:r>
          </w:p>
        </w:tc>
        <w:tc>
          <w:tcPr>
            <w:tcW w:w="0" w:type="auto"/>
            <w:hideMark/>
          </w:tcPr>
          <w:p w14:paraId="052D7BB4" w14:textId="77777777" w:rsidR="001C3E76" w:rsidRPr="001C3E76" w:rsidRDefault="001C3E76" w:rsidP="001C3E76">
            <w:pPr>
              <w:spacing w:beforeAutospacing="0"/>
              <w:ind w:left="0" w:firstLine="0"/>
              <w:jc w:val="center"/>
              <w:rPr>
                <w:rFonts w:ascii="Calibri" w:eastAsia="Times New Roman" w:hAnsi="Calibri" w:cs="Calibri"/>
                <w:b/>
                <w:bCs/>
                <w:kern w:val="0"/>
                <w:lang w:eastAsia="en-GB"/>
                <w14:ligatures w14:val="none"/>
              </w:rPr>
            </w:pPr>
            <w:r w:rsidRPr="001C3E76">
              <w:rPr>
                <w:rFonts w:ascii="Calibri" w:eastAsia="Times New Roman" w:hAnsi="Calibri" w:cs="Calibri"/>
                <w:b/>
                <w:bCs/>
                <w:kern w:val="0"/>
                <w:lang w:eastAsia="en-GB"/>
                <w14:ligatures w14:val="none"/>
              </w:rPr>
              <w:t>Required response</w:t>
            </w:r>
          </w:p>
        </w:tc>
      </w:tr>
      <w:tr w:rsidR="001C3E76" w:rsidRPr="001C3E76" w14:paraId="6FBFB273" w14:textId="77777777" w:rsidTr="001C3E76">
        <w:tc>
          <w:tcPr>
            <w:tcW w:w="0" w:type="auto"/>
            <w:hideMark/>
          </w:tcPr>
          <w:p w14:paraId="44CF6EE4"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Telecommunications competition</w:t>
            </w:r>
          </w:p>
        </w:tc>
        <w:tc>
          <w:tcPr>
            <w:tcW w:w="0" w:type="auto"/>
            <w:hideMark/>
          </w:tcPr>
          <w:p w14:paraId="64DDF844"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Better service choice and pricing</w:t>
            </w:r>
          </w:p>
        </w:tc>
        <w:tc>
          <w:tcPr>
            <w:tcW w:w="0" w:type="auto"/>
            <w:hideMark/>
          </w:tcPr>
          <w:p w14:paraId="328A47EF"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Different providers may use the same infrastructure</w:t>
            </w:r>
          </w:p>
        </w:tc>
        <w:tc>
          <w:tcPr>
            <w:tcW w:w="0" w:type="auto"/>
            <w:hideMark/>
          </w:tcPr>
          <w:p w14:paraId="7DF65FA2"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Compare physical routes and service terms</w:t>
            </w:r>
          </w:p>
        </w:tc>
      </w:tr>
      <w:tr w:rsidR="001C3E76" w:rsidRPr="001C3E76" w14:paraId="7B48541A" w14:textId="77777777" w:rsidTr="001C3E76">
        <w:tc>
          <w:tcPr>
            <w:tcW w:w="0" w:type="auto"/>
            <w:hideMark/>
          </w:tcPr>
          <w:p w14:paraId="282DD57F"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Regional investment policy</w:t>
            </w:r>
          </w:p>
        </w:tc>
        <w:tc>
          <w:tcPr>
            <w:tcW w:w="0" w:type="auto"/>
            <w:hideMark/>
          </w:tcPr>
          <w:p w14:paraId="01643C63"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Improved Rookwood connectivity</w:t>
            </w:r>
          </w:p>
        </w:tc>
        <w:tc>
          <w:tcPr>
            <w:tcW w:w="0" w:type="auto"/>
            <w:hideMark/>
          </w:tcPr>
          <w:p w14:paraId="7D6D4DDF"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Funding and rollout dates may change</w:t>
            </w:r>
          </w:p>
        </w:tc>
        <w:tc>
          <w:tcPr>
            <w:tcW w:w="0" w:type="auto"/>
            <w:hideMark/>
          </w:tcPr>
          <w:p w14:paraId="65514EC9"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Obtain written availability and delivery dates</w:t>
            </w:r>
          </w:p>
        </w:tc>
      </w:tr>
      <w:tr w:rsidR="001C3E76" w:rsidRPr="001C3E76" w14:paraId="5AB4D233" w14:textId="77777777" w:rsidTr="001C3E76">
        <w:tc>
          <w:tcPr>
            <w:tcW w:w="0" w:type="auto"/>
            <w:hideMark/>
          </w:tcPr>
          <w:p w14:paraId="20CF568B"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Using the same ISP</w:t>
            </w:r>
          </w:p>
        </w:tc>
        <w:tc>
          <w:tcPr>
            <w:tcW w:w="0" w:type="auto"/>
            <w:hideMark/>
          </w:tcPr>
          <w:p w14:paraId="4D37D7F4"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Simplified support and VPN management</w:t>
            </w:r>
          </w:p>
        </w:tc>
        <w:tc>
          <w:tcPr>
            <w:tcW w:w="0" w:type="auto"/>
            <w:hideMark/>
          </w:tcPr>
          <w:p w14:paraId="72649417"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Both sites may fail during one provider outage</w:t>
            </w:r>
          </w:p>
        </w:tc>
        <w:tc>
          <w:tcPr>
            <w:tcW w:w="0" w:type="auto"/>
            <w:hideMark/>
          </w:tcPr>
          <w:p w14:paraId="17921824"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Establish independent backup connectivity</w:t>
            </w:r>
          </w:p>
        </w:tc>
      </w:tr>
      <w:tr w:rsidR="001C3E76" w:rsidRPr="001C3E76" w14:paraId="27371069" w14:textId="77777777" w:rsidTr="001C3E76">
        <w:tc>
          <w:tcPr>
            <w:tcW w:w="0" w:type="auto"/>
            <w:hideMark/>
          </w:tcPr>
          <w:p w14:paraId="65F0E669"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Increased enrolments</w:t>
            </w:r>
          </w:p>
        </w:tc>
        <w:tc>
          <w:tcPr>
            <w:tcW w:w="0" w:type="auto"/>
            <w:hideMark/>
          </w:tcPr>
          <w:p w14:paraId="65C43BF5"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Greater revenue and service reach</w:t>
            </w:r>
          </w:p>
        </w:tc>
        <w:tc>
          <w:tcPr>
            <w:tcW w:w="0" w:type="auto"/>
            <w:hideMark/>
          </w:tcPr>
          <w:p w14:paraId="343D22D6"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Congestion and service interruptions</w:t>
            </w:r>
          </w:p>
        </w:tc>
        <w:tc>
          <w:tcPr>
            <w:tcW w:w="0" w:type="auto"/>
            <w:hideMark/>
          </w:tcPr>
          <w:p w14:paraId="286E36BF"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Maintain scalable Network 3 capacity</w:t>
            </w:r>
          </w:p>
        </w:tc>
      </w:tr>
      <w:tr w:rsidR="001C3E76" w:rsidRPr="001C3E76" w14:paraId="677D4536" w14:textId="77777777" w:rsidTr="001C3E76">
        <w:tc>
          <w:tcPr>
            <w:tcW w:w="0" w:type="auto"/>
            <w:hideMark/>
          </w:tcPr>
          <w:p w14:paraId="067D4984"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Technology development</w:t>
            </w:r>
          </w:p>
        </w:tc>
        <w:tc>
          <w:tcPr>
            <w:tcW w:w="0" w:type="auto"/>
            <w:hideMark/>
          </w:tcPr>
          <w:p w14:paraId="0F79F75E"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Faster Wi-Fi and improved services</w:t>
            </w:r>
          </w:p>
        </w:tc>
        <w:tc>
          <w:tcPr>
            <w:tcW w:w="0" w:type="auto"/>
            <w:hideMark/>
          </w:tcPr>
          <w:p w14:paraId="55137D48"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Shorter equipment lifecycles</w:t>
            </w:r>
          </w:p>
        </w:tc>
        <w:tc>
          <w:tcPr>
            <w:tcW w:w="0" w:type="auto"/>
            <w:hideMark/>
          </w:tcPr>
          <w:p w14:paraId="67BA0C78"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Use supported and upgradeable equipment</w:t>
            </w:r>
          </w:p>
        </w:tc>
      </w:tr>
      <w:tr w:rsidR="001C3E76" w:rsidRPr="001C3E76" w14:paraId="0E773C12" w14:textId="77777777" w:rsidTr="001C3E76">
        <w:tc>
          <w:tcPr>
            <w:tcW w:w="0" w:type="auto"/>
            <w:hideMark/>
          </w:tcPr>
          <w:p w14:paraId="4BD51EDB"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Security regulation</w:t>
            </w:r>
          </w:p>
        </w:tc>
        <w:tc>
          <w:tcPr>
            <w:tcW w:w="0" w:type="auto"/>
            <w:hideMark/>
          </w:tcPr>
          <w:p w14:paraId="4A0D8329"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Stronger network protection</w:t>
            </w:r>
          </w:p>
        </w:tc>
        <w:tc>
          <w:tcPr>
            <w:tcW w:w="0" w:type="auto"/>
            <w:hideMark/>
          </w:tcPr>
          <w:p w14:paraId="036DA04D"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Higher compliance and implementation costs</w:t>
            </w:r>
          </w:p>
        </w:tc>
        <w:tc>
          <w:tcPr>
            <w:tcW w:w="0" w:type="auto"/>
            <w:hideMark/>
          </w:tcPr>
          <w:p w14:paraId="1FAB6CBC"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Include security in the initial budget</w:t>
            </w:r>
          </w:p>
        </w:tc>
      </w:tr>
      <w:tr w:rsidR="001C3E76" w:rsidRPr="001C3E76" w14:paraId="44C4B7FC" w14:textId="77777777" w:rsidTr="001C3E76">
        <w:tc>
          <w:tcPr>
            <w:tcW w:w="0" w:type="auto"/>
            <w:hideMark/>
          </w:tcPr>
          <w:p w14:paraId="0F4834DE"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Inflation and supply conditions</w:t>
            </w:r>
          </w:p>
        </w:tc>
        <w:tc>
          <w:tcPr>
            <w:tcW w:w="0" w:type="auto"/>
            <w:hideMark/>
          </w:tcPr>
          <w:p w14:paraId="6020D035"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Opportunity to negotiate bulk purchasing</w:t>
            </w:r>
          </w:p>
        </w:tc>
        <w:tc>
          <w:tcPr>
            <w:tcW w:w="0" w:type="auto"/>
            <w:hideMark/>
          </w:tcPr>
          <w:p w14:paraId="65E07DDC"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Price and delivery uncertainty</w:t>
            </w:r>
          </w:p>
        </w:tc>
        <w:tc>
          <w:tcPr>
            <w:tcW w:w="0" w:type="auto"/>
            <w:hideMark/>
          </w:tcPr>
          <w:p w14:paraId="70493D61"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Use quote-validity periods and contingency funds</w:t>
            </w:r>
          </w:p>
        </w:tc>
      </w:tr>
      <w:tr w:rsidR="001C3E76" w:rsidRPr="001C3E76" w14:paraId="687E5210" w14:textId="77777777" w:rsidTr="001C3E76">
        <w:tc>
          <w:tcPr>
            <w:tcW w:w="0" w:type="auto"/>
            <w:hideMark/>
          </w:tcPr>
          <w:p w14:paraId="49D3213A"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Sustainability policy</w:t>
            </w:r>
          </w:p>
        </w:tc>
        <w:tc>
          <w:tcPr>
            <w:tcW w:w="0" w:type="auto"/>
            <w:hideMark/>
          </w:tcPr>
          <w:p w14:paraId="43AE9060"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Reduced electricity and lifecycle costs</w:t>
            </w:r>
          </w:p>
        </w:tc>
        <w:tc>
          <w:tcPr>
            <w:tcW w:w="0" w:type="auto"/>
            <w:hideMark/>
          </w:tcPr>
          <w:p w14:paraId="1AE598B5"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Efficient devices may cost more initially</w:t>
            </w:r>
          </w:p>
        </w:tc>
        <w:tc>
          <w:tcPr>
            <w:tcW w:w="0" w:type="auto"/>
            <w:hideMark/>
          </w:tcPr>
          <w:p w14:paraId="75200575" w14:textId="77777777" w:rsidR="001C3E76" w:rsidRPr="001C3E76" w:rsidRDefault="001C3E76" w:rsidP="001C3E76">
            <w:pPr>
              <w:spacing w:beforeAutospacing="0"/>
              <w:ind w:left="0" w:firstLine="0"/>
              <w:rPr>
                <w:rFonts w:ascii="Calibri" w:eastAsia="Times New Roman" w:hAnsi="Calibri" w:cs="Calibri"/>
                <w:kern w:val="0"/>
                <w:lang w:eastAsia="en-GB"/>
                <w14:ligatures w14:val="none"/>
              </w:rPr>
            </w:pPr>
            <w:r w:rsidRPr="001C3E76">
              <w:rPr>
                <w:rFonts w:ascii="Calibri" w:eastAsia="Times New Roman" w:hAnsi="Calibri" w:cs="Calibri"/>
                <w:kern w:val="0"/>
                <w:lang w:eastAsia="en-GB"/>
                <w14:ligatures w14:val="none"/>
              </w:rPr>
              <w:t>Evaluate whole-of-life cost</w:t>
            </w:r>
          </w:p>
        </w:tc>
      </w:tr>
    </w:tbl>
    <w:p w14:paraId="511F13B1"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9. Recommendations</w:t>
      </w:r>
    </w:p>
    <w:p w14:paraId="30434C03"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A-Plus Institute should:</w:t>
      </w:r>
    </w:p>
    <w:p w14:paraId="20C7D959"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Obtain written confirmation of 3TTech’s Rookwood service availability, delivery schedule and technology.</w:t>
      </w:r>
    </w:p>
    <w:p w14:paraId="2DE9DF09"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Request a business-grade service proposal covering bandwidth, static addressing, latency, restoration targets and support.</w:t>
      </w:r>
    </w:p>
    <w:p w14:paraId="001E1C7D"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Maintain the five-level Network 3 design with redundant core switching and central monitoring.</w:t>
      </w:r>
    </w:p>
    <w:p w14:paraId="1E378E13"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Complete a three-to-five-year total cost of ownership analysis.</w:t>
      </w:r>
    </w:p>
    <w:p w14:paraId="54523E41"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Include contingency funding for equipment, cabling and regional installation variations.</w:t>
      </w:r>
    </w:p>
    <w:p w14:paraId="722B132F"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Establish a backup connection that does not rely on the same physical carrier route.</w:t>
      </w:r>
    </w:p>
    <w:p w14:paraId="798BEE87"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Use equipment supported in Australia and verify product compliance.</w:t>
      </w:r>
    </w:p>
    <w:p w14:paraId="084AA602"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Require registered cablers and complete installation records.</w:t>
      </w:r>
    </w:p>
    <w:p w14:paraId="32CF6309"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Review telecommunications and privacy obligations before implementation.</w:t>
      </w:r>
    </w:p>
    <w:p w14:paraId="59170E9C"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Review regulatory and service changes annually.</w:t>
      </w:r>
    </w:p>
    <w:p w14:paraId="6498554E"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lastRenderedPageBreak/>
        <w:t>Include energy consumption, cooling and equipment disposal in the sustainability plan.</w:t>
      </w:r>
    </w:p>
    <w:p w14:paraId="430D7AFC" w14:textId="77777777" w:rsidR="001C3E76" w:rsidRPr="001C3E76" w:rsidRDefault="001C3E76" w:rsidP="001C3E76">
      <w:pPr>
        <w:numPr>
          <w:ilvl w:val="0"/>
          <w:numId w:val="14"/>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Avoid relying on historical market-share percentages when making the current procurement decision.</w:t>
      </w:r>
    </w:p>
    <w:p w14:paraId="7733F3BB"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10. Conclusion</w:t>
      </w:r>
    </w:p>
    <w:p w14:paraId="1F1A3323"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Economic and political influences create both opportunities and risks for A-Plus Institute. Competition and deregulation support innovation and service choice, while regulation protects competition, security, consumers and regional accessibility.</w:t>
      </w:r>
    </w:p>
    <w:p w14:paraId="4B289643"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Regional infrastructure cost and limited coverage remain the most important economic constraints for Rookwood. The preferred use of 3TTech is reasonable if the provider can meet the required technical and commercial conditions. However, the Institute should protect itself through written service commitments, independent backup arrangements, appropriate budgeting and continuing regulatory review.</w:t>
      </w:r>
    </w:p>
    <w:p w14:paraId="6F196C4B" w14:textId="77777777"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On this basis, the Network 3 project is recommended to proceed subject to confirmation of the Rookwood service, completion of the compliance checks and client approval.</w:t>
      </w:r>
    </w:p>
    <w:p w14:paraId="3D5C5EED" w14:textId="77777777" w:rsidR="001C3E76" w:rsidRPr="001C3E76" w:rsidRDefault="001C3E76" w:rsidP="001C3E76">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1C3E76">
        <w:rPr>
          <w:rFonts w:ascii="Calibri" w:eastAsia="Times New Roman" w:hAnsi="Calibri" w:cs="Calibri"/>
          <w:b/>
          <w:bCs/>
          <w:color w:val="000000"/>
          <w:kern w:val="0"/>
          <w:sz w:val="36"/>
          <w:szCs w:val="36"/>
          <w:lang w:eastAsia="en-GB"/>
          <w14:ligatures w14:val="none"/>
        </w:rPr>
        <w:t>11. Official References</w:t>
      </w:r>
    </w:p>
    <w:p w14:paraId="1BB2704F"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Communications and Media Authority, </w:t>
      </w:r>
      <w:hyperlink r:id="rId5" w:tgtFrame="_new" w:history="1">
        <w:r w:rsidRPr="001C3E76">
          <w:rPr>
            <w:rFonts w:ascii="Calibri" w:eastAsia="Times New Roman" w:hAnsi="Calibri" w:cs="Calibri"/>
            <w:color w:val="0000FF"/>
            <w:kern w:val="0"/>
            <w:u w:val="single"/>
            <w:lang w:eastAsia="en-GB"/>
            <w14:ligatures w14:val="none"/>
          </w:rPr>
          <w:t>About carriers and carriage service providers</w:t>
        </w:r>
      </w:hyperlink>
      <w:r w:rsidRPr="001C3E76">
        <w:rPr>
          <w:rFonts w:ascii="Calibri" w:eastAsia="Times New Roman" w:hAnsi="Calibri" w:cs="Calibri"/>
          <w:color w:val="000000"/>
          <w:kern w:val="0"/>
          <w:lang w:eastAsia="en-GB"/>
          <w14:ligatures w14:val="none"/>
        </w:rPr>
        <w:t>.</w:t>
      </w:r>
    </w:p>
    <w:p w14:paraId="278B41BF"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Competition and Consumer Commission, </w:t>
      </w:r>
      <w:hyperlink r:id="rId6" w:tgtFrame="_new" w:history="1">
        <w:r w:rsidRPr="001C3E76">
          <w:rPr>
            <w:rFonts w:ascii="Calibri" w:eastAsia="Times New Roman" w:hAnsi="Calibri" w:cs="Calibri"/>
            <w:color w:val="0000FF"/>
            <w:kern w:val="0"/>
            <w:u w:val="single"/>
            <w:lang w:eastAsia="en-GB"/>
            <w14:ligatures w14:val="none"/>
          </w:rPr>
          <w:t>Regulatory guidance documents</w:t>
        </w:r>
      </w:hyperlink>
      <w:r w:rsidRPr="001C3E76">
        <w:rPr>
          <w:rFonts w:ascii="Calibri" w:eastAsia="Times New Roman" w:hAnsi="Calibri" w:cs="Calibri"/>
          <w:color w:val="000000"/>
          <w:kern w:val="0"/>
          <w:lang w:eastAsia="en-GB"/>
          <w14:ligatures w14:val="none"/>
        </w:rPr>
        <w:t>.</w:t>
      </w:r>
    </w:p>
    <w:p w14:paraId="2465F4F6"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Government, </w:t>
      </w:r>
      <w:hyperlink r:id="rId7" w:tgtFrame="_new" w:history="1">
        <w:r w:rsidRPr="001C3E76">
          <w:rPr>
            <w:rFonts w:ascii="Calibri" w:eastAsia="Times New Roman" w:hAnsi="Calibri" w:cs="Calibri"/>
            <w:color w:val="0000FF"/>
            <w:kern w:val="0"/>
            <w:u w:val="single"/>
            <w:lang w:eastAsia="en-GB"/>
            <w14:ligatures w14:val="none"/>
          </w:rPr>
          <w:t>Competition and Consumer Act 2010</w:t>
        </w:r>
      </w:hyperlink>
      <w:r w:rsidRPr="001C3E76">
        <w:rPr>
          <w:rFonts w:ascii="Calibri" w:eastAsia="Times New Roman" w:hAnsi="Calibri" w:cs="Calibri"/>
          <w:color w:val="000000"/>
          <w:kern w:val="0"/>
          <w:lang w:eastAsia="en-GB"/>
          <w14:ligatures w14:val="none"/>
        </w:rPr>
        <w:t>.</w:t>
      </w:r>
    </w:p>
    <w:p w14:paraId="76733A29"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Government, </w:t>
      </w:r>
      <w:hyperlink r:id="rId8" w:tgtFrame="_new" w:history="1">
        <w:r w:rsidRPr="001C3E76">
          <w:rPr>
            <w:rFonts w:ascii="Calibri" w:eastAsia="Times New Roman" w:hAnsi="Calibri" w:cs="Calibri"/>
            <w:color w:val="0000FF"/>
            <w:kern w:val="0"/>
            <w:u w:val="single"/>
            <w:lang w:eastAsia="en-GB"/>
            <w14:ligatures w14:val="none"/>
          </w:rPr>
          <w:t>Regional Connectivity Program</w:t>
        </w:r>
      </w:hyperlink>
      <w:r w:rsidRPr="001C3E76">
        <w:rPr>
          <w:rFonts w:ascii="Calibri" w:eastAsia="Times New Roman" w:hAnsi="Calibri" w:cs="Calibri"/>
          <w:color w:val="000000"/>
          <w:kern w:val="0"/>
          <w:lang w:eastAsia="en-GB"/>
          <w14:ligatures w14:val="none"/>
        </w:rPr>
        <w:t>.</w:t>
      </w:r>
    </w:p>
    <w:p w14:paraId="3D8B2AF5"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Government, </w:t>
      </w:r>
      <w:hyperlink r:id="rId9" w:tgtFrame="_new" w:history="1">
        <w:r w:rsidRPr="001C3E76">
          <w:rPr>
            <w:rFonts w:ascii="Calibri" w:eastAsia="Times New Roman" w:hAnsi="Calibri" w:cs="Calibri"/>
            <w:color w:val="0000FF"/>
            <w:kern w:val="0"/>
            <w:u w:val="single"/>
            <w:lang w:eastAsia="en-GB"/>
            <w14:ligatures w14:val="none"/>
          </w:rPr>
          <w:t>Statutory Infrastructure Provider Regime</w:t>
        </w:r>
      </w:hyperlink>
      <w:r w:rsidRPr="001C3E76">
        <w:rPr>
          <w:rFonts w:ascii="Calibri" w:eastAsia="Times New Roman" w:hAnsi="Calibri" w:cs="Calibri"/>
          <w:color w:val="000000"/>
          <w:kern w:val="0"/>
          <w:lang w:eastAsia="en-GB"/>
          <w14:ligatures w14:val="none"/>
        </w:rPr>
        <w:t>.</w:t>
      </w:r>
    </w:p>
    <w:p w14:paraId="1EFBE0C8"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Australian Government, </w:t>
      </w:r>
      <w:hyperlink r:id="rId10" w:tgtFrame="_new" w:history="1">
        <w:r w:rsidRPr="001C3E76">
          <w:rPr>
            <w:rFonts w:ascii="Calibri" w:eastAsia="Times New Roman" w:hAnsi="Calibri" w:cs="Calibri"/>
            <w:color w:val="0000FF"/>
            <w:kern w:val="0"/>
            <w:u w:val="single"/>
            <w:lang w:eastAsia="en-GB"/>
            <w14:ligatures w14:val="none"/>
          </w:rPr>
          <w:t>Universal Service Obligation</w:t>
        </w:r>
      </w:hyperlink>
      <w:r w:rsidRPr="001C3E76">
        <w:rPr>
          <w:rFonts w:ascii="Calibri" w:eastAsia="Times New Roman" w:hAnsi="Calibri" w:cs="Calibri"/>
          <w:color w:val="000000"/>
          <w:kern w:val="0"/>
          <w:lang w:eastAsia="en-GB"/>
          <w14:ligatures w14:val="none"/>
        </w:rPr>
        <w:t>.</w:t>
      </w:r>
    </w:p>
    <w:p w14:paraId="3FEB2216" w14:textId="77777777" w:rsidR="001C3E76" w:rsidRPr="001C3E76" w:rsidRDefault="001C3E76" w:rsidP="001C3E76">
      <w:pPr>
        <w:numPr>
          <w:ilvl w:val="0"/>
          <w:numId w:val="15"/>
        </w:numPr>
        <w:spacing w:after="100" w:afterAutospacing="1"/>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Department of Home Affairs, </w:t>
      </w:r>
      <w:hyperlink r:id="rId11" w:tgtFrame="_new" w:history="1">
        <w:r w:rsidRPr="001C3E76">
          <w:rPr>
            <w:rFonts w:ascii="Calibri" w:eastAsia="Times New Roman" w:hAnsi="Calibri" w:cs="Calibri"/>
            <w:color w:val="0000FF"/>
            <w:kern w:val="0"/>
            <w:u w:val="single"/>
            <w:lang w:eastAsia="en-GB"/>
            <w14:ligatures w14:val="none"/>
          </w:rPr>
          <w:t>Telecommunications security reforms</w:t>
        </w:r>
      </w:hyperlink>
      <w:r w:rsidRPr="001C3E76">
        <w:rPr>
          <w:rFonts w:ascii="Calibri" w:eastAsia="Times New Roman" w:hAnsi="Calibri" w:cs="Calibri"/>
          <w:color w:val="000000"/>
          <w:kern w:val="0"/>
          <w:lang w:eastAsia="en-GB"/>
          <w14:ligatures w14:val="none"/>
        </w:rPr>
        <w:t>.</w:t>
      </w:r>
    </w:p>
    <w:p w14:paraId="3A878022" w14:textId="5E69387B" w:rsidR="001C3E76" w:rsidRPr="001C3E76" w:rsidRDefault="001C3E76" w:rsidP="001C3E76">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 xml:space="preserve">Sources reviewed on: </w:t>
      </w:r>
      <w:r>
        <w:rPr>
          <w:rFonts w:ascii="Calibri" w:eastAsia="Times New Roman" w:hAnsi="Calibri" w:cs="Calibri"/>
          <w:color w:val="000000"/>
          <w:kern w:val="0"/>
          <w:lang w:eastAsia="en-GB"/>
          <w14:ligatures w14:val="none"/>
        </w:rPr>
        <w:t>20</w:t>
      </w:r>
      <w:r w:rsidRPr="001C3E76">
        <w:rPr>
          <w:rFonts w:ascii="Calibri" w:eastAsia="Times New Roman" w:hAnsi="Calibri" w:cs="Calibri"/>
          <w:color w:val="000000"/>
          <w:kern w:val="0"/>
          <w:lang w:eastAsia="en-GB"/>
          <w14:ligatures w14:val="none"/>
        </w:rPr>
        <w:t xml:space="preserve"> </w:t>
      </w:r>
      <w:r>
        <w:rPr>
          <w:rFonts w:ascii="Calibri" w:eastAsia="Times New Roman" w:hAnsi="Calibri" w:cs="Calibri"/>
          <w:color w:val="000000"/>
          <w:kern w:val="0"/>
          <w:lang w:eastAsia="en-GB"/>
          <w14:ligatures w14:val="none"/>
        </w:rPr>
        <w:t>May</w:t>
      </w:r>
      <w:r w:rsidRPr="001C3E76">
        <w:rPr>
          <w:rFonts w:ascii="Calibri" w:eastAsia="Times New Roman" w:hAnsi="Calibri" w:cs="Calibri"/>
          <w:color w:val="000000"/>
          <w:kern w:val="0"/>
          <w:lang w:eastAsia="en-GB"/>
          <w14:ligatures w14:val="none"/>
        </w:rPr>
        <w:t xml:space="preserve"> 2026.</w:t>
      </w:r>
    </w:p>
    <w:p w14:paraId="05E4620D" w14:textId="77777777" w:rsidR="0022219C" w:rsidRPr="001C3E76" w:rsidRDefault="0022219C">
      <w:pPr>
        <w:rPr>
          <w:rFonts w:ascii="Calibri" w:hAnsi="Calibri" w:cs="Calibri"/>
        </w:rPr>
      </w:pPr>
    </w:p>
    <w:sectPr w:rsidR="0022219C" w:rsidRPr="001C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92E"/>
    <w:multiLevelType w:val="multilevel"/>
    <w:tmpl w:val="D6F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1827"/>
    <w:multiLevelType w:val="multilevel"/>
    <w:tmpl w:val="A732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92993"/>
    <w:multiLevelType w:val="multilevel"/>
    <w:tmpl w:val="58E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3720A"/>
    <w:multiLevelType w:val="multilevel"/>
    <w:tmpl w:val="734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D6ECC"/>
    <w:multiLevelType w:val="multilevel"/>
    <w:tmpl w:val="A252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3552A"/>
    <w:multiLevelType w:val="multilevel"/>
    <w:tmpl w:val="C23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07F65"/>
    <w:multiLevelType w:val="multilevel"/>
    <w:tmpl w:val="293C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755DE"/>
    <w:multiLevelType w:val="multilevel"/>
    <w:tmpl w:val="B50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33A2E"/>
    <w:multiLevelType w:val="multilevel"/>
    <w:tmpl w:val="927A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D3866"/>
    <w:multiLevelType w:val="multilevel"/>
    <w:tmpl w:val="AF8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40834"/>
    <w:multiLevelType w:val="multilevel"/>
    <w:tmpl w:val="D78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0062D"/>
    <w:multiLevelType w:val="multilevel"/>
    <w:tmpl w:val="28E6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A5F53"/>
    <w:multiLevelType w:val="multilevel"/>
    <w:tmpl w:val="A05C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52482"/>
    <w:multiLevelType w:val="multilevel"/>
    <w:tmpl w:val="8BE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3291C"/>
    <w:multiLevelType w:val="multilevel"/>
    <w:tmpl w:val="AB6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9416">
    <w:abstractNumId w:val="9"/>
  </w:num>
  <w:num w:numId="2" w16cid:durableId="498035090">
    <w:abstractNumId w:val="10"/>
  </w:num>
  <w:num w:numId="3" w16cid:durableId="1137527873">
    <w:abstractNumId w:val="8"/>
  </w:num>
  <w:num w:numId="4" w16cid:durableId="1842037313">
    <w:abstractNumId w:val="3"/>
  </w:num>
  <w:num w:numId="5" w16cid:durableId="832646824">
    <w:abstractNumId w:val="1"/>
  </w:num>
  <w:num w:numId="6" w16cid:durableId="1109548157">
    <w:abstractNumId w:val="4"/>
  </w:num>
  <w:num w:numId="7" w16cid:durableId="1967806957">
    <w:abstractNumId w:val="13"/>
  </w:num>
  <w:num w:numId="8" w16cid:durableId="1401319706">
    <w:abstractNumId w:val="2"/>
  </w:num>
  <w:num w:numId="9" w16cid:durableId="1337919830">
    <w:abstractNumId w:val="11"/>
  </w:num>
  <w:num w:numId="10" w16cid:durableId="988751858">
    <w:abstractNumId w:val="12"/>
  </w:num>
  <w:num w:numId="11" w16cid:durableId="336814997">
    <w:abstractNumId w:val="7"/>
  </w:num>
  <w:num w:numId="12" w16cid:durableId="798306744">
    <w:abstractNumId w:val="0"/>
  </w:num>
  <w:num w:numId="13" w16cid:durableId="1376613003">
    <w:abstractNumId w:val="5"/>
  </w:num>
  <w:num w:numId="14" w16cid:durableId="755976616">
    <w:abstractNumId w:val="6"/>
  </w:num>
  <w:num w:numId="15" w16cid:durableId="18519455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76"/>
    <w:rsid w:val="001C3E76"/>
    <w:rsid w:val="0022219C"/>
    <w:rsid w:val="0027064F"/>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735715"/>
  <w15:chartTrackingRefBased/>
  <w15:docId w15:val="{4FADC1F1-9EAF-F64B-8CD4-4A0C92DB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1C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E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E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E76"/>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E76"/>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E76"/>
    <w:rPr>
      <w:rFonts w:eastAsiaTheme="majorEastAsia" w:cstheme="majorBidi"/>
      <w:color w:val="272727" w:themeColor="text1" w:themeTint="D8"/>
    </w:rPr>
  </w:style>
  <w:style w:type="paragraph" w:styleId="Title">
    <w:name w:val="Title"/>
    <w:basedOn w:val="Normal"/>
    <w:next w:val="Normal"/>
    <w:link w:val="TitleChar"/>
    <w:uiPriority w:val="10"/>
    <w:qFormat/>
    <w:rsid w:val="001C3E7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E76"/>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E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3E76"/>
    <w:rPr>
      <w:i/>
      <w:iCs/>
      <w:color w:val="404040" w:themeColor="text1" w:themeTint="BF"/>
    </w:rPr>
  </w:style>
  <w:style w:type="paragraph" w:styleId="ListParagraph">
    <w:name w:val="List Paragraph"/>
    <w:basedOn w:val="Normal"/>
    <w:uiPriority w:val="34"/>
    <w:qFormat/>
    <w:rsid w:val="001C3E76"/>
    <w:pPr>
      <w:ind w:left="720"/>
      <w:contextualSpacing/>
    </w:pPr>
  </w:style>
  <w:style w:type="character" w:styleId="IntenseEmphasis">
    <w:name w:val="Intense Emphasis"/>
    <w:basedOn w:val="DefaultParagraphFont"/>
    <w:uiPriority w:val="21"/>
    <w:qFormat/>
    <w:rsid w:val="001C3E76"/>
    <w:rPr>
      <w:i/>
      <w:iCs/>
      <w:color w:val="0F4761" w:themeColor="accent1" w:themeShade="BF"/>
    </w:rPr>
  </w:style>
  <w:style w:type="paragraph" w:styleId="IntenseQuote">
    <w:name w:val="Intense Quote"/>
    <w:basedOn w:val="Normal"/>
    <w:next w:val="Normal"/>
    <w:link w:val="IntenseQuoteChar"/>
    <w:uiPriority w:val="30"/>
    <w:qFormat/>
    <w:rsid w:val="001C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E76"/>
    <w:rPr>
      <w:i/>
      <w:iCs/>
      <w:color w:val="0F4761" w:themeColor="accent1" w:themeShade="BF"/>
    </w:rPr>
  </w:style>
  <w:style w:type="character" w:styleId="IntenseReference">
    <w:name w:val="Intense Reference"/>
    <w:basedOn w:val="DefaultParagraphFont"/>
    <w:uiPriority w:val="32"/>
    <w:qFormat/>
    <w:rsid w:val="001C3E76"/>
    <w:rPr>
      <w:b/>
      <w:bCs/>
      <w:smallCaps/>
      <w:color w:val="0F4761" w:themeColor="accent1" w:themeShade="BF"/>
      <w:spacing w:val="5"/>
    </w:rPr>
  </w:style>
  <w:style w:type="paragraph" w:styleId="NormalWeb">
    <w:name w:val="Normal (Web)"/>
    <w:basedOn w:val="Normal"/>
    <w:uiPriority w:val="99"/>
    <w:semiHidden/>
    <w:unhideWhenUsed/>
    <w:rsid w:val="001C3E76"/>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C3E76"/>
  </w:style>
  <w:style w:type="character" w:styleId="Hyperlink">
    <w:name w:val="Hyperlink"/>
    <w:basedOn w:val="DefaultParagraphFont"/>
    <w:uiPriority w:val="99"/>
    <w:semiHidden/>
    <w:unhideWhenUsed/>
    <w:rsid w:val="001C3E76"/>
    <w:rPr>
      <w:color w:val="0000FF"/>
      <w:u w:val="single"/>
    </w:rPr>
  </w:style>
  <w:style w:type="table" w:styleId="TableGrid">
    <w:name w:val="Table Grid"/>
    <w:basedOn w:val="TableNormal"/>
    <w:uiPriority w:val="39"/>
    <w:rsid w:val="001C3E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rastructure.gov.au/media-communications/internet/regional-connectivity-program?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egislation.gov.au/C2004A00109/latest?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cc.gov.au/by-industry/regulated-infrastructure/regulatory-resources/regulatory-guidance-documents?utm_source=chatgpt.com" TargetMode="External"/><Relationship Id="rId11" Type="http://schemas.openxmlformats.org/officeDocument/2006/relationships/hyperlink" Target="https://www.homeaffairs.gov.au/nat-security/Pages/telecommunications-sector-security.aspx?utm_source=chatgpt.com" TargetMode="External"/><Relationship Id="rId5" Type="http://schemas.openxmlformats.org/officeDocument/2006/relationships/hyperlink" Target="https://www.acma.gov.au/about-carriers-and-carriage-service-providers?utm_source=chatgpt.com" TargetMode="External"/><Relationship Id="rId10" Type="http://schemas.openxmlformats.org/officeDocument/2006/relationships/hyperlink" Target="https://www.infrastructure.gov.au/media-communications/phone/phone-services/universal-service-obligation-voice-services?utm_source=chatgpt.com" TargetMode="External"/><Relationship Id="rId4" Type="http://schemas.openxmlformats.org/officeDocument/2006/relationships/webSettings" Target="webSettings.xml"/><Relationship Id="rId9" Type="http://schemas.openxmlformats.org/officeDocument/2006/relationships/hyperlink" Target="https://www.infrastructure.gov.au/department/media/publications/telecommunications-new-developments/si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3045</Words>
  <Characters>17362</Characters>
  <Application>Microsoft Office Word</Application>
  <DocSecurity>0</DocSecurity>
  <Lines>144</Lines>
  <Paragraphs>40</Paragraphs>
  <ScaleCrop>false</ScaleCrop>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2026-09-05T04:14:00Z</dcterms:created>
  <dcterms:modified xsi:type="dcterms:W3CDTF">2026-09-05T04:20:00Z</dcterms:modified>
</cp:coreProperties>
</file>