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ECE35" w14:textId="77777777" w:rsidR="004650C1" w:rsidRPr="004650C1" w:rsidRDefault="004650C1" w:rsidP="004650C1">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4650C1">
        <w:rPr>
          <w:rFonts w:ascii="Calibri" w:eastAsia="Times New Roman" w:hAnsi="Calibri" w:cs="Calibri"/>
          <w:b/>
          <w:bCs/>
          <w:color w:val="000000"/>
          <w:kern w:val="0"/>
          <w:sz w:val="36"/>
          <w:szCs w:val="36"/>
          <w:lang w:eastAsia="en-GB"/>
          <w14:ligatures w14:val="none"/>
        </w:rPr>
        <w:t>Report 2: Regulations and Legislation Impact on Network Planning and Accessibility</w:t>
      </w:r>
    </w:p>
    <w:p w14:paraId="49E99C39" w14:textId="45059FC1"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 xml:space="preserve">Prepared by: </w:t>
      </w:r>
      <w:r>
        <w:rPr>
          <w:rFonts w:ascii="Calibri" w:eastAsia="Times New Roman" w:hAnsi="Calibri" w:cs="Calibri"/>
          <w:color w:val="000000"/>
          <w:kern w:val="0"/>
          <w:lang w:eastAsia="en-GB"/>
          <w14:ligatures w14:val="none"/>
        </w:rPr>
        <w:t>Leonardo Matias Ciarcia</w:t>
      </w:r>
      <w:r w:rsidRPr="001C3E76">
        <w:rPr>
          <w:rFonts w:ascii="Calibri" w:eastAsia="Times New Roman" w:hAnsi="Calibri" w:cs="Calibri"/>
          <w:color w:val="000000"/>
          <w:kern w:val="0"/>
          <w:lang w:eastAsia="en-GB"/>
          <w14:ligatures w14:val="none"/>
        </w:rPr>
        <w:br/>
        <w:t xml:space="preserve">Student ID: </w:t>
      </w:r>
      <w:r>
        <w:rPr>
          <w:rFonts w:ascii="Calibri" w:eastAsia="Times New Roman" w:hAnsi="Calibri" w:cs="Calibri"/>
          <w:color w:val="000000"/>
          <w:kern w:val="0"/>
          <w:lang w:eastAsia="en-GB"/>
          <w14:ligatures w14:val="none"/>
        </w:rPr>
        <w:t>CTI20221062</w:t>
      </w:r>
      <w:r w:rsidRPr="004650C1">
        <w:rPr>
          <w:rFonts w:ascii="Calibri" w:eastAsia="Times New Roman" w:hAnsi="Calibri" w:cs="Calibri"/>
          <w:color w:val="000000"/>
          <w:kern w:val="0"/>
          <w:lang w:eastAsia="en-GB"/>
          <w14:ligatures w14:val="none"/>
        </w:rPr>
        <w:br/>
        <w:t>Project role: Assistant IT Manager / Telecommunications Technical Specialist</w:t>
      </w:r>
      <w:r w:rsidRPr="004650C1">
        <w:rPr>
          <w:rFonts w:ascii="Calibri" w:eastAsia="Times New Roman" w:hAnsi="Calibri" w:cs="Calibri"/>
          <w:color w:val="000000"/>
          <w:kern w:val="0"/>
          <w:lang w:eastAsia="en-GB"/>
          <w14:ligatures w14:val="none"/>
        </w:rPr>
        <w:br/>
        <w:t>Prepared for: A-Plus Institute</w:t>
      </w:r>
      <w:r w:rsidRPr="004650C1">
        <w:rPr>
          <w:rFonts w:ascii="Calibri" w:eastAsia="Times New Roman" w:hAnsi="Calibri" w:cs="Calibri"/>
          <w:color w:val="000000"/>
          <w:kern w:val="0"/>
          <w:lang w:eastAsia="en-GB"/>
          <w14:ligatures w14:val="none"/>
        </w:rPr>
        <w:br/>
        <w:t>Carrier and ISP considered: 3TTech</w:t>
      </w:r>
      <w:r w:rsidRPr="004650C1">
        <w:rPr>
          <w:rFonts w:ascii="Calibri" w:eastAsia="Times New Roman" w:hAnsi="Calibri" w:cs="Calibri"/>
          <w:color w:val="000000"/>
          <w:kern w:val="0"/>
          <w:lang w:eastAsia="en-GB"/>
          <w14:ligatures w14:val="none"/>
        </w:rPr>
        <w:br/>
        <w:t>Version: 1.0</w:t>
      </w:r>
      <w:r w:rsidRPr="004650C1">
        <w:rPr>
          <w:rFonts w:ascii="Calibri" w:eastAsia="Times New Roman" w:hAnsi="Calibri" w:cs="Calibri"/>
          <w:color w:val="000000"/>
          <w:kern w:val="0"/>
          <w:lang w:eastAsia="en-GB"/>
          <w14:ligatures w14:val="none"/>
        </w:rPr>
        <w:br/>
        <w:t xml:space="preserve">Date: </w:t>
      </w:r>
      <w:r>
        <w:rPr>
          <w:rFonts w:ascii="Calibri" w:eastAsia="Times New Roman" w:hAnsi="Calibri" w:cs="Calibri"/>
          <w:color w:val="000000"/>
          <w:kern w:val="0"/>
          <w:lang w:eastAsia="en-GB"/>
          <w14:ligatures w14:val="none"/>
        </w:rPr>
        <w:t>20/05/2026</w:t>
      </w:r>
    </w:p>
    <w:p w14:paraId="221B0FCD" w14:textId="77777777" w:rsidR="004650C1" w:rsidRPr="004650C1" w:rsidRDefault="004650C1" w:rsidP="004650C1">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4650C1">
        <w:rPr>
          <w:rFonts w:ascii="Calibri" w:eastAsia="Times New Roman" w:hAnsi="Calibri" w:cs="Calibri"/>
          <w:b/>
          <w:bCs/>
          <w:color w:val="000000"/>
          <w:kern w:val="0"/>
          <w:sz w:val="36"/>
          <w:szCs w:val="36"/>
          <w:lang w:eastAsia="en-GB"/>
          <w14:ligatures w14:val="none"/>
        </w:rPr>
        <w:t>1. Executive Summary</w:t>
      </w:r>
    </w:p>
    <w:p w14:paraId="0339DDD4"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This report evaluates the impact of Australian telecommunications regulations and legislation on the planning, installation and operation of the A-Plus Institute enterprise network.</w:t>
      </w:r>
    </w:p>
    <w:p w14:paraId="5DFFC3E3"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On the stated project facts, A-Plus Institute’s internal LAN and WLAN do not make the Institute a public telecommunications carrier. Carrier licensing and public-network obligations principally apply to 3TTech and any other provider that owns or operates the access-network units used to supply services to the public.</w:t>
      </w:r>
    </w:p>
    <w:p w14:paraId="380ACC4F"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A-Plus Institute nevertheless has direct responsibilities relating to privacy, cybersecurity, customer cabling, workplace safety, equipment compliance, education accessibility and its contractual relationship with the ISP.</w:t>
      </w:r>
    </w:p>
    <w:p w14:paraId="114CD250"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The main regulatory findings are:</w:t>
      </w:r>
    </w:p>
    <w:p w14:paraId="4B2CF1D9" w14:textId="77777777" w:rsidR="004650C1" w:rsidRPr="004650C1" w:rsidRDefault="004650C1" w:rsidP="004650C1">
      <w:pPr>
        <w:numPr>
          <w:ilvl w:val="0"/>
          <w:numId w:val="1"/>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 carrier licence is generally required where an owner uses network units to supply public carriage services.</w:t>
      </w:r>
    </w:p>
    <w:p w14:paraId="1646E0CF" w14:textId="77777777" w:rsidR="004650C1" w:rsidRPr="004650C1" w:rsidRDefault="004650C1" w:rsidP="004650C1">
      <w:pPr>
        <w:numPr>
          <w:ilvl w:val="0"/>
          <w:numId w:val="1"/>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 carriage service provider may use another carrier’s network but must still comply with applicable telecommunications rules.</w:t>
      </w:r>
    </w:p>
    <w:p w14:paraId="382B29E9" w14:textId="77777777" w:rsidR="004650C1" w:rsidRPr="004650C1" w:rsidRDefault="004650C1" w:rsidP="004650C1">
      <w:pPr>
        <w:numPr>
          <w:ilvl w:val="0"/>
          <w:numId w:val="1"/>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Licensed carriers have limited powers to inspect land, install low-impact facilities and maintain facilities.</w:t>
      </w:r>
    </w:p>
    <w:p w14:paraId="6AF398C6" w14:textId="77777777" w:rsidR="004650C1" w:rsidRPr="004650C1" w:rsidRDefault="004650C1" w:rsidP="004650C1">
      <w:pPr>
        <w:numPr>
          <w:ilvl w:val="0"/>
          <w:numId w:val="1"/>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Carrier powers are subject to notice, consultation, care, restoration and complaint requirements.</w:t>
      </w:r>
    </w:p>
    <w:p w14:paraId="1E38C890" w14:textId="77777777" w:rsidR="004650C1" w:rsidRPr="004650C1" w:rsidRDefault="004650C1" w:rsidP="004650C1">
      <w:pPr>
        <w:numPr>
          <w:ilvl w:val="0"/>
          <w:numId w:val="1"/>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The ACCC regulates anti-competitive telecommunications conduct under Part XIB and access to declared services under Part XIC of the Competition and Consumer Act 2010.</w:t>
      </w:r>
    </w:p>
    <w:p w14:paraId="0372EDB2" w14:textId="77777777" w:rsidR="004650C1" w:rsidRPr="004650C1" w:rsidRDefault="004650C1" w:rsidP="004650C1">
      <w:pPr>
        <w:numPr>
          <w:ilvl w:val="0"/>
          <w:numId w:val="1"/>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The USO principally supports standard telephone services and payphones.</w:t>
      </w:r>
    </w:p>
    <w:p w14:paraId="6B156DAC" w14:textId="77777777" w:rsidR="004650C1" w:rsidRPr="004650C1" w:rsidRDefault="004650C1" w:rsidP="004650C1">
      <w:pPr>
        <w:numPr>
          <w:ilvl w:val="0"/>
          <w:numId w:val="1"/>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The SIP regime supports access to wholesale broadband services.</w:t>
      </w:r>
    </w:p>
    <w:p w14:paraId="301D5F8A" w14:textId="77777777" w:rsidR="004650C1" w:rsidRPr="004650C1" w:rsidRDefault="004650C1" w:rsidP="004650C1">
      <w:pPr>
        <w:numPr>
          <w:ilvl w:val="0"/>
          <w:numId w:val="1"/>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Privacy, security, cabling, radiofrequency and accessibility requirements must be incorporated into the Network 3 planning process.</w:t>
      </w:r>
    </w:p>
    <w:p w14:paraId="71E6F4F1" w14:textId="77777777" w:rsidR="004650C1" w:rsidRPr="004650C1" w:rsidRDefault="004650C1" w:rsidP="004650C1">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4650C1">
        <w:rPr>
          <w:rFonts w:ascii="Calibri" w:eastAsia="Times New Roman" w:hAnsi="Calibri" w:cs="Calibri"/>
          <w:b/>
          <w:bCs/>
          <w:color w:val="000000"/>
          <w:kern w:val="0"/>
          <w:sz w:val="36"/>
          <w:szCs w:val="36"/>
          <w:lang w:eastAsia="en-GB"/>
          <w14:ligatures w14:val="none"/>
        </w:rPr>
        <w:t>2. Project Application</w:t>
      </w:r>
    </w:p>
    <w:p w14:paraId="444FAA27"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lastRenderedPageBreak/>
        <w:t>This report applies to:</w:t>
      </w:r>
    </w:p>
    <w:p w14:paraId="3F3F6386" w14:textId="77777777" w:rsidR="004650C1" w:rsidRPr="004650C1" w:rsidRDefault="004650C1" w:rsidP="004650C1">
      <w:pPr>
        <w:numPr>
          <w:ilvl w:val="0"/>
          <w:numId w:val="2"/>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The five-level Brisbane campus.</w:t>
      </w:r>
    </w:p>
    <w:p w14:paraId="7DD9DED9" w14:textId="77777777" w:rsidR="004650C1" w:rsidRPr="004650C1" w:rsidRDefault="004650C1" w:rsidP="004650C1">
      <w:pPr>
        <w:numPr>
          <w:ilvl w:val="0"/>
          <w:numId w:val="2"/>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The server room on Existing Level 1.</w:t>
      </w:r>
    </w:p>
    <w:p w14:paraId="2A471C80" w14:textId="77777777" w:rsidR="004650C1" w:rsidRPr="004650C1" w:rsidRDefault="004650C1" w:rsidP="004650C1">
      <w:pPr>
        <w:numPr>
          <w:ilvl w:val="0"/>
          <w:numId w:val="2"/>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The two additional classroom levels.</w:t>
      </w:r>
    </w:p>
    <w:p w14:paraId="051D231C" w14:textId="77777777" w:rsidR="004650C1" w:rsidRPr="004650C1" w:rsidRDefault="004650C1" w:rsidP="004650C1">
      <w:pPr>
        <w:numPr>
          <w:ilvl w:val="0"/>
          <w:numId w:val="2"/>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Managed wireless coverage across the Brisbane levels.</w:t>
      </w:r>
    </w:p>
    <w:p w14:paraId="49D89D06" w14:textId="77777777" w:rsidR="004650C1" w:rsidRPr="004650C1" w:rsidRDefault="004650C1" w:rsidP="004650C1">
      <w:pPr>
        <w:numPr>
          <w:ilvl w:val="0"/>
          <w:numId w:val="2"/>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The proposed Rookwood campus network.</w:t>
      </w:r>
    </w:p>
    <w:p w14:paraId="160CBD55" w14:textId="77777777" w:rsidR="004650C1" w:rsidRPr="004650C1" w:rsidRDefault="004650C1" w:rsidP="004650C1">
      <w:pPr>
        <w:numPr>
          <w:ilvl w:val="0"/>
          <w:numId w:val="2"/>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The 3TTech access-network extension.</w:t>
      </w:r>
    </w:p>
    <w:p w14:paraId="01C82AAB" w14:textId="77777777" w:rsidR="004650C1" w:rsidRPr="004650C1" w:rsidRDefault="004650C1" w:rsidP="004650C1">
      <w:pPr>
        <w:numPr>
          <w:ilvl w:val="0"/>
          <w:numId w:val="2"/>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The secure Brisbane-to-Rookwood IPsec VPN.</w:t>
      </w:r>
    </w:p>
    <w:p w14:paraId="77198BDA" w14:textId="77777777" w:rsidR="004650C1" w:rsidRPr="004650C1" w:rsidRDefault="004650C1" w:rsidP="004650C1">
      <w:pPr>
        <w:numPr>
          <w:ilvl w:val="0"/>
          <w:numId w:val="2"/>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Centralised DHCP, DNS, file, backup and monitoring services.</w:t>
      </w:r>
    </w:p>
    <w:p w14:paraId="2A173112" w14:textId="77777777" w:rsidR="004650C1" w:rsidRPr="004650C1" w:rsidRDefault="004650C1" w:rsidP="004650C1">
      <w:pPr>
        <w:numPr>
          <w:ilvl w:val="0"/>
          <w:numId w:val="2"/>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Network segmentation and controlled access for different users.</w:t>
      </w:r>
    </w:p>
    <w:p w14:paraId="56C24825" w14:textId="77777777" w:rsidR="004650C1" w:rsidRPr="004650C1" w:rsidRDefault="004650C1" w:rsidP="004650C1">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4650C1">
        <w:rPr>
          <w:rFonts w:ascii="Calibri" w:eastAsia="Times New Roman" w:hAnsi="Calibri" w:cs="Calibri"/>
          <w:b/>
          <w:bCs/>
          <w:color w:val="000000"/>
          <w:kern w:val="0"/>
          <w:sz w:val="36"/>
          <w:szCs w:val="36"/>
          <w:lang w:eastAsia="en-GB"/>
          <w14:ligatures w14:val="none"/>
        </w:rPr>
        <w:t>3. Principal Legislation and Regulatory Requirements</w:t>
      </w:r>
    </w:p>
    <w:tbl>
      <w:tblPr>
        <w:tblStyle w:val="TableGrid"/>
        <w:tblW w:w="0" w:type="auto"/>
        <w:tblLook w:val="04A0" w:firstRow="1" w:lastRow="0" w:firstColumn="1" w:lastColumn="0" w:noHBand="0" w:noVBand="1"/>
      </w:tblPr>
      <w:tblGrid>
        <w:gridCol w:w="3010"/>
        <w:gridCol w:w="3177"/>
        <w:gridCol w:w="2829"/>
      </w:tblGrid>
      <w:tr w:rsidR="004650C1" w:rsidRPr="004650C1" w14:paraId="2716AEF8" w14:textId="77777777" w:rsidTr="004650C1">
        <w:tc>
          <w:tcPr>
            <w:tcW w:w="0" w:type="auto"/>
            <w:hideMark/>
          </w:tcPr>
          <w:p w14:paraId="76568DA7" w14:textId="77777777" w:rsidR="004650C1" w:rsidRPr="004650C1" w:rsidRDefault="004650C1" w:rsidP="004650C1">
            <w:pPr>
              <w:spacing w:beforeAutospacing="0"/>
              <w:ind w:left="0" w:firstLine="0"/>
              <w:jc w:val="center"/>
              <w:rPr>
                <w:rFonts w:ascii="Calibri" w:eastAsia="Times New Roman" w:hAnsi="Calibri" w:cs="Calibri"/>
                <w:b/>
                <w:bCs/>
                <w:kern w:val="0"/>
                <w:lang w:eastAsia="en-GB"/>
                <w14:ligatures w14:val="none"/>
              </w:rPr>
            </w:pPr>
            <w:r w:rsidRPr="004650C1">
              <w:rPr>
                <w:rFonts w:ascii="Calibri" w:eastAsia="Times New Roman" w:hAnsi="Calibri" w:cs="Calibri"/>
                <w:b/>
                <w:bCs/>
                <w:kern w:val="0"/>
                <w:lang w:eastAsia="en-GB"/>
                <w14:ligatures w14:val="none"/>
              </w:rPr>
              <w:t>Legislation or requirement</w:t>
            </w:r>
          </w:p>
        </w:tc>
        <w:tc>
          <w:tcPr>
            <w:tcW w:w="0" w:type="auto"/>
            <w:hideMark/>
          </w:tcPr>
          <w:p w14:paraId="7185342E" w14:textId="77777777" w:rsidR="004650C1" w:rsidRPr="004650C1" w:rsidRDefault="004650C1" w:rsidP="004650C1">
            <w:pPr>
              <w:spacing w:beforeAutospacing="0"/>
              <w:ind w:left="0" w:firstLine="0"/>
              <w:jc w:val="center"/>
              <w:rPr>
                <w:rFonts w:ascii="Calibri" w:eastAsia="Times New Roman" w:hAnsi="Calibri" w:cs="Calibri"/>
                <w:b/>
                <w:bCs/>
                <w:kern w:val="0"/>
                <w:lang w:eastAsia="en-GB"/>
                <w14:ligatures w14:val="none"/>
              </w:rPr>
            </w:pPr>
            <w:r w:rsidRPr="004650C1">
              <w:rPr>
                <w:rFonts w:ascii="Calibri" w:eastAsia="Times New Roman" w:hAnsi="Calibri" w:cs="Calibri"/>
                <w:b/>
                <w:bCs/>
                <w:kern w:val="0"/>
                <w:lang w:eastAsia="en-GB"/>
                <w14:ligatures w14:val="none"/>
              </w:rPr>
              <w:t>Main purpose</w:t>
            </w:r>
          </w:p>
        </w:tc>
        <w:tc>
          <w:tcPr>
            <w:tcW w:w="0" w:type="auto"/>
            <w:hideMark/>
          </w:tcPr>
          <w:p w14:paraId="1E2FB3F0" w14:textId="77777777" w:rsidR="004650C1" w:rsidRPr="004650C1" w:rsidRDefault="004650C1" w:rsidP="004650C1">
            <w:pPr>
              <w:spacing w:beforeAutospacing="0"/>
              <w:ind w:left="0" w:firstLine="0"/>
              <w:jc w:val="center"/>
              <w:rPr>
                <w:rFonts w:ascii="Calibri" w:eastAsia="Times New Roman" w:hAnsi="Calibri" w:cs="Calibri"/>
                <w:b/>
                <w:bCs/>
                <w:kern w:val="0"/>
                <w:lang w:eastAsia="en-GB"/>
                <w14:ligatures w14:val="none"/>
              </w:rPr>
            </w:pPr>
            <w:r w:rsidRPr="004650C1">
              <w:rPr>
                <w:rFonts w:ascii="Calibri" w:eastAsia="Times New Roman" w:hAnsi="Calibri" w:cs="Calibri"/>
                <w:b/>
                <w:bCs/>
                <w:kern w:val="0"/>
                <w:lang w:eastAsia="en-GB"/>
                <w14:ligatures w14:val="none"/>
              </w:rPr>
              <w:t>Application to A-Plus Institute and Network 3</w:t>
            </w:r>
          </w:p>
        </w:tc>
      </w:tr>
      <w:tr w:rsidR="004650C1" w:rsidRPr="004650C1" w14:paraId="36F87734" w14:textId="77777777" w:rsidTr="004650C1">
        <w:tc>
          <w:tcPr>
            <w:tcW w:w="0" w:type="auto"/>
            <w:hideMark/>
          </w:tcPr>
          <w:p w14:paraId="2C431D16"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Telecommunications Act 1997</w:t>
            </w:r>
          </w:p>
        </w:tc>
        <w:tc>
          <w:tcPr>
            <w:tcW w:w="0" w:type="auto"/>
            <w:hideMark/>
          </w:tcPr>
          <w:p w14:paraId="25BFA94A"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Regulates carriers, CSPs, network units, facilities, industry codes, security and access powers</w:t>
            </w:r>
          </w:p>
        </w:tc>
        <w:tc>
          <w:tcPr>
            <w:tcW w:w="0" w:type="auto"/>
            <w:hideMark/>
          </w:tcPr>
          <w:p w14:paraId="44CE3C9F"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Determines 3TTech’s carrier responsibilities and rights when extending facilities to Rookwood</w:t>
            </w:r>
          </w:p>
        </w:tc>
      </w:tr>
      <w:tr w:rsidR="004650C1" w:rsidRPr="004650C1" w14:paraId="16447F7D" w14:textId="77777777" w:rsidTr="004650C1">
        <w:tc>
          <w:tcPr>
            <w:tcW w:w="0" w:type="auto"/>
            <w:hideMark/>
          </w:tcPr>
          <w:p w14:paraId="7501DEC1"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Competition and Consumer Act 2010, Parts XIB and XIC</w:t>
            </w:r>
          </w:p>
        </w:tc>
        <w:tc>
          <w:tcPr>
            <w:tcW w:w="0" w:type="auto"/>
            <w:hideMark/>
          </w:tcPr>
          <w:p w14:paraId="63CB7C49"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Prohibits anti-competitive telecommunications conduct and establishes the access regime</w:t>
            </w:r>
          </w:p>
        </w:tc>
        <w:tc>
          <w:tcPr>
            <w:tcW w:w="0" w:type="auto"/>
            <w:hideMark/>
          </w:tcPr>
          <w:p w14:paraId="106BE533"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Supports fair access and competition when A-Plus purchases carrier services</w:t>
            </w:r>
          </w:p>
        </w:tc>
      </w:tr>
      <w:tr w:rsidR="004650C1" w:rsidRPr="004650C1" w14:paraId="503CB7BA" w14:textId="77777777" w:rsidTr="004650C1">
        <w:tc>
          <w:tcPr>
            <w:tcW w:w="0" w:type="auto"/>
            <w:hideMark/>
          </w:tcPr>
          <w:p w14:paraId="5CDBAD75"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Telecommunications (Consumer Protection and Service Standards) Act 1999</w:t>
            </w:r>
          </w:p>
        </w:tc>
        <w:tc>
          <w:tcPr>
            <w:tcW w:w="0" w:type="auto"/>
            <w:hideMark/>
          </w:tcPr>
          <w:p w14:paraId="729A538B"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Establishes consumer safeguards, the USO and related service arrangements</w:t>
            </w:r>
          </w:p>
        </w:tc>
        <w:tc>
          <w:tcPr>
            <w:tcW w:w="0" w:type="auto"/>
            <w:hideMark/>
          </w:tcPr>
          <w:p w14:paraId="2583E6DF"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Influences voice-service availability, service standards and provider obligations</w:t>
            </w:r>
          </w:p>
        </w:tc>
      </w:tr>
      <w:tr w:rsidR="004650C1" w:rsidRPr="004650C1" w14:paraId="73A19D18" w14:textId="77777777" w:rsidTr="004650C1">
        <w:tc>
          <w:tcPr>
            <w:tcW w:w="0" w:type="auto"/>
            <w:hideMark/>
          </w:tcPr>
          <w:p w14:paraId="446135AF"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Privacy Act 1988 and Australian Privacy Principles</w:t>
            </w:r>
          </w:p>
        </w:tc>
        <w:tc>
          <w:tcPr>
            <w:tcW w:w="0" w:type="auto"/>
            <w:hideMark/>
          </w:tcPr>
          <w:p w14:paraId="60554F9E"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Regulates the collection, use, storage, security and disclosure of personal information</w:t>
            </w:r>
          </w:p>
        </w:tc>
        <w:tc>
          <w:tcPr>
            <w:tcW w:w="0" w:type="auto"/>
            <w:hideMark/>
          </w:tcPr>
          <w:p w14:paraId="43DC4075"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Affects student, staff, enrolment, authentication, monitoring and backup data</w:t>
            </w:r>
          </w:p>
        </w:tc>
      </w:tr>
      <w:tr w:rsidR="004650C1" w:rsidRPr="004650C1" w14:paraId="76A05CB5" w14:textId="77777777" w:rsidTr="004650C1">
        <w:tc>
          <w:tcPr>
            <w:tcW w:w="0" w:type="auto"/>
            <w:hideMark/>
          </w:tcPr>
          <w:p w14:paraId="1A14A4B2"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Telecommunications (Interception and Access) Act 1979</w:t>
            </w:r>
          </w:p>
        </w:tc>
        <w:tc>
          <w:tcPr>
            <w:tcW w:w="0" w:type="auto"/>
            <w:hideMark/>
          </w:tcPr>
          <w:p w14:paraId="24FF07A0"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Regulates interception, access to telecommunications data and provider data-retention duties</w:t>
            </w:r>
          </w:p>
        </w:tc>
        <w:tc>
          <w:tcPr>
            <w:tcW w:w="0" w:type="auto"/>
            <w:hideMark/>
          </w:tcPr>
          <w:p w14:paraId="66D43920"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Primarily applies to providers; A-Plus must prevent unauthorised interception and manage logs lawfully</w:t>
            </w:r>
          </w:p>
        </w:tc>
      </w:tr>
      <w:tr w:rsidR="004650C1" w:rsidRPr="004650C1" w14:paraId="76DD536B" w14:textId="77777777" w:rsidTr="004650C1">
        <w:tc>
          <w:tcPr>
            <w:tcW w:w="0" w:type="auto"/>
            <w:hideMark/>
          </w:tcPr>
          <w:p w14:paraId="01119507"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Radiocommunications Act 1992 and ACMA equipment rules</w:t>
            </w:r>
          </w:p>
        </w:tc>
        <w:tc>
          <w:tcPr>
            <w:tcW w:w="0" w:type="auto"/>
            <w:hideMark/>
          </w:tcPr>
          <w:p w14:paraId="1A8ED808"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Regulates spectrum use, interference and radiocommunications devices</w:t>
            </w:r>
          </w:p>
        </w:tc>
        <w:tc>
          <w:tcPr>
            <w:tcW w:w="0" w:type="auto"/>
            <w:hideMark/>
          </w:tcPr>
          <w:p w14:paraId="75025E01"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Applies to wireless access points and other radio equipment</w:t>
            </w:r>
          </w:p>
        </w:tc>
      </w:tr>
      <w:tr w:rsidR="004650C1" w:rsidRPr="004650C1" w14:paraId="328B6421" w14:textId="77777777" w:rsidTr="004650C1">
        <w:tc>
          <w:tcPr>
            <w:tcW w:w="0" w:type="auto"/>
            <w:hideMark/>
          </w:tcPr>
          <w:p w14:paraId="23D62C7B"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Telecommunications Cabling Provider Rules</w:t>
            </w:r>
          </w:p>
        </w:tc>
        <w:tc>
          <w:tcPr>
            <w:tcW w:w="0" w:type="auto"/>
            <w:hideMark/>
          </w:tcPr>
          <w:p w14:paraId="6A7520DB"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Regulates customer cabling work</w:t>
            </w:r>
          </w:p>
        </w:tc>
        <w:tc>
          <w:tcPr>
            <w:tcW w:w="0" w:type="auto"/>
            <w:hideMark/>
          </w:tcPr>
          <w:p w14:paraId="2A7A57EA"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Requires appropriate cabler registration and compliant campus cabling</w:t>
            </w:r>
          </w:p>
        </w:tc>
      </w:tr>
      <w:tr w:rsidR="004650C1" w:rsidRPr="004650C1" w14:paraId="5FFC4FCF" w14:textId="77777777" w:rsidTr="004650C1">
        <w:tc>
          <w:tcPr>
            <w:tcW w:w="0" w:type="auto"/>
            <w:hideMark/>
          </w:tcPr>
          <w:p w14:paraId="288D21B4"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lastRenderedPageBreak/>
              <w:t>AS/CA S009:2020</w:t>
            </w:r>
          </w:p>
        </w:tc>
        <w:tc>
          <w:tcPr>
            <w:tcW w:w="0" w:type="auto"/>
            <w:hideMark/>
          </w:tcPr>
          <w:p w14:paraId="4952B674"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Establishes installation requirements for customer cabling</w:t>
            </w:r>
          </w:p>
        </w:tc>
        <w:tc>
          <w:tcPr>
            <w:tcW w:w="0" w:type="auto"/>
            <w:hideMark/>
          </w:tcPr>
          <w:p w14:paraId="052E6599"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Applies to copper and fibre cabling, pathways, separation, earthing and installation records</w:t>
            </w:r>
          </w:p>
        </w:tc>
      </w:tr>
      <w:tr w:rsidR="004650C1" w:rsidRPr="004650C1" w14:paraId="6CE0F8BE" w14:textId="77777777" w:rsidTr="004650C1">
        <w:tc>
          <w:tcPr>
            <w:tcW w:w="0" w:type="auto"/>
            <w:hideMark/>
          </w:tcPr>
          <w:p w14:paraId="6D8E9F00"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Disability Discrimination Act 1992</w:t>
            </w:r>
          </w:p>
        </w:tc>
        <w:tc>
          <w:tcPr>
            <w:tcW w:w="0" w:type="auto"/>
            <w:hideMark/>
          </w:tcPr>
          <w:p w14:paraId="1376A4EF"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Prohibits discrimination in education and access to goods, services and facilities</w:t>
            </w:r>
          </w:p>
        </w:tc>
        <w:tc>
          <w:tcPr>
            <w:tcW w:w="0" w:type="auto"/>
            <w:hideMark/>
          </w:tcPr>
          <w:p w14:paraId="49A227E3"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Requires the network-supported services to be accessible to users with disability</w:t>
            </w:r>
          </w:p>
        </w:tc>
      </w:tr>
      <w:tr w:rsidR="004650C1" w:rsidRPr="004650C1" w14:paraId="64F7C6B8" w14:textId="77777777" w:rsidTr="004650C1">
        <w:tc>
          <w:tcPr>
            <w:tcW w:w="0" w:type="auto"/>
            <w:hideMark/>
          </w:tcPr>
          <w:p w14:paraId="0DB38398"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Disability Standards for Education 2005</w:t>
            </w:r>
          </w:p>
        </w:tc>
        <w:tc>
          <w:tcPr>
            <w:tcW w:w="0" w:type="auto"/>
            <w:hideMark/>
          </w:tcPr>
          <w:p w14:paraId="3ACC075B"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Requires reasonable adjustments and access to education on the same basis</w:t>
            </w:r>
          </w:p>
        </w:tc>
        <w:tc>
          <w:tcPr>
            <w:tcW w:w="0" w:type="auto"/>
            <w:hideMark/>
          </w:tcPr>
          <w:p w14:paraId="4042FD2F"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Influences access to online training, learning systems and communication services</w:t>
            </w:r>
          </w:p>
        </w:tc>
      </w:tr>
      <w:tr w:rsidR="004650C1" w:rsidRPr="004650C1" w14:paraId="686BCD50" w14:textId="77777777" w:rsidTr="004650C1">
        <w:tc>
          <w:tcPr>
            <w:tcW w:w="0" w:type="auto"/>
            <w:hideMark/>
          </w:tcPr>
          <w:p w14:paraId="108F6819"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Australian Consumer Law</w:t>
            </w:r>
          </w:p>
        </w:tc>
        <w:tc>
          <w:tcPr>
            <w:tcW w:w="0" w:type="auto"/>
            <w:hideMark/>
          </w:tcPr>
          <w:p w14:paraId="68994618"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Protects customers from misleading conduct and unfair practices</w:t>
            </w:r>
          </w:p>
        </w:tc>
        <w:tc>
          <w:tcPr>
            <w:tcW w:w="0" w:type="auto"/>
            <w:hideMark/>
          </w:tcPr>
          <w:p w14:paraId="5B22FDB4"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Applies to representations, contracts and procurement of network services and equipment</w:t>
            </w:r>
          </w:p>
        </w:tc>
      </w:tr>
      <w:tr w:rsidR="004650C1" w:rsidRPr="004650C1" w14:paraId="4D2487FF" w14:textId="77777777" w:rsidTr="004650C1">
        <w:tc>
          <w:tcPr>
            <w:tcW w:w="0" w:type="auto"/>
            <w:hideMark/>
          </w:tcPr>
          <w:p w14:paraId="0AB0579F"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Queensland WHS and electrical safety laws</w:t>
            </w:r>
          </w:p>
        </w:tc>
        <w:tc>
          <w:tcPr>
            <w:tcW w:w="0" w:type="auto"/>
            <w:hideMark/>
          </w:tcPr>
          <w:p w14:paraId="2A1E3545"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Protect workers and other persons during installation</w:t>
            </w:r>
          </w:p>
        </w:tc>
        <w:tc>
          <w:tcPr>
            <w:tcW w:w="0" w:type="auto"/>
            <w:hideMark/>
          </w:tcPr>
          <w:p w14:paraId="63EE6EFB"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Applies to site surveys, racks, cabling, power, ladders and work near electrical equipment</w:t>
            </w:r>
          </w:p>
        </w:tc>
      </w:tr>
    </w:tbl>
    <w:p w14:paraId="0D82224C" w14:textId="6E11D15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The current federal legislation should be checked using the authorised </w:t>
      </w:r>
    </w:p>
    <w:p w14:paraId="546A7D39" w14:textId="77777777" w:rsidR="004650C1" w:rsidRPr="004650C1" w:rsidRDefault="004650C1" w:rsidP="004650C1">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4650C1">
        <w:rPr>
          <w:rFonts w:ascii="Calibri" w:eastAsia="Times New Roman" w:hAnsi="Calibri" w:cs="Calibri"/>
          <w:b/>
          <w:bCs/>
          <w:color w:val="000000"/>
          <w:kern w:val="0"/>
          <w:sz w:val="36"/>
          <w:szCs w:val="36"/>
          <w:lang w:eastAsia="en-GB"/>
          <w14:ligatures w14:val="none"/>
        </w:rPr>
        <w:t>4. Carrier Licensing and Service-Provider Responsibilities</w:t>
      </w:r>
    </w:p>
    <w:p w14:paraId="1452D5B7"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 carrier generally owns network units used to supply carriage services to the public. The owner must hold a carrier licence unless a nominated carrier declaration or exemption applies.</w:t>
      </w:r>
    </w:p>
    <w:p w14:paraId="48DD976F" w14:textId="596E0DBC"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 carriage service provider does not need to own network units. It may supply services using facilities owned by a licensed or nominated carrier. Nevertheless, it must comply with relevant telecommunications and consumer rules. </w:t>
      </w:r>
      <w:r w:rsidRPr="004650C1">
        <w:rPr>
          <w:rFonts w:ascii="Calibri" w:eastAsia="Times New Roman" w:hAnsi="Calibri" w:cs="Calibri"/>
          <w:color w:val="000000"/>
          <w:kern w:val="0"/>
          <w:lang w:eastAsia="en-GB"/>
          <w14:ligatures w14:val="none"/>
        </w:rPr>
        <w:t xml:space="preserve"> </w:t>
      </w:r>
    </w:p>
    <w:p w14:paraId="780761E0" w14:textId="77777777" w:rsidR="004650C1" w:rsidRPr="004650C1" w:rsidRDefault="004650C1" w:rsidP="004650C1">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4650C1">
        <w:rPr>
          <w:rFonts w:ascii="Calibri" w:eastAsia="Times New Roman" w:hAnsi="Calibri" w:cs="Calibri"/>
          <w:b/>
          <w:bCs/>
          <w:color w:val="000000"/>
          <w:kern w:val="0"/>
          <w:sz w:val="27"/>
          <w:szCs w:val="27"/>
          <w:lang w:eastAsia="en-GB"/>
          <w14:ligatures w14:val="none"/>
        </w:rPr>
        <w:t>Application to the project</w:t>
      </w:r>
    </w:p>
    <w:p w14:paraId="4E42C56F"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On the current design:</w:t>
      </w:r>
    </w:p>
    <w:p w14:paraId="729D254A" w14:textId="77777777" w:rsidR="004650C1" w:rsidRPr="004650C1" w:rsidRDefault="004650C1" w:rsidP="004650C1">
      <w:pPr>
        <w:numPr>
          <w:ilvl w:val="0"/>
          <w:numId w:val="3"/>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3TTech is responsible for confirming its carrier or CSP status.</w:t>
      </w:r>
    </w:p>
    <w:p w14:paraId="11AC6C4A" w14:textId="77777777" w:rsidR="004650C1" w:rsidRPr="004650C1" w:rsidRDefault="004650C1" w:rsidP="004650C1">
      <w:pPr>
        <w:numPr>
          <w:ilvl w:val="0"/>
          <w:numId w:val="3"/>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3TTech must ensure that its Rookwood infrastructure is operated under the appropriate carrier arrangements.</w:t>
      </w:r>
    </w:p>
    <w:p w14:paraId="1EC315A5" w14:textId="77777777" w:rsidR="004650C1" w:rsidRPr="004650C1" w:rsidRDefault="004650C1" w:rsidP="004650C1">
      <w:pPr>
        <w:numPr>
          <w:ilvl w:val="0"/>
          <w:numId w:val="3"/>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A-Plus Institute is the customer and owner of its private internal network.</w:t>
      </w:r>
    </w:p>
    <w:p w14:paraId="3D222EB6" w14:textId="77777777" w:rsidR="004650C1" w:rsidRPr="004650C1" w:rsidRDefault="004650C1" w:rsidP="004650C1">
      <w:pPr>
        <w:numPr>
          <w:ilvl w:val="0"/>
          <w:numId w:val="3"/>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The private A-Plus LAN, WLAN and servers do not, by themselves, require A-Plus Institute to obtain a carrier licence.</w:t>
      </w:r>
    </w:p>
    <w:p w14:paraId="6366D8CD" w14:textId="77777777" w:rsidR="004650C1" w:rsidRPr="004650C1" w:rsidRDefault="004650C1" w:rsidP="004650C1">
      <w:pPr>
        <w:numPr>
          <w:ilvl w:val="0"/>
          <w:numId w:val="3"/>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A-Plus must not provide public telecommunications services outside the agreed private-campus purpose without a separate regulatory assessment.</w:t>
      </w:r>
    </w:p>
    <w:p w14:paraId="7B9824C2" w14:textId="77777777" w:rsidR="004650C1" w:rsidRPr="004650C1" w:rsidRDefault="004650C1" w:rsidP="004650C1">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4650C1">
        <w:rPr>
          <w:rFonts w:ascii="Calibri" w:eastAsia="Times New Roman" w:hAnsi="Calibri" w:cs="Calibri"/>
          <w:b/>
          <w:bCs/>
          <w:color w:val="000000"/>
          <w:kern w:val="0"/>
          <w:sz w:val="36"/>
          <w:szCs w:val="36"/>
          <w:lang w:eastAsia="en-GB"/>
          <w14:ligatures w14:val="none"/>
        </w:rPr>
        <w:lastRenderedPageBreak/>
        <w:t>5. Rights of Carriers When Installing Facilities</w:t>
      </w:r>
    </w:p>
    <w:p w14:paraId="16C72316"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Schedule 3 of the Telecommunications Act 1997 gives licensed carriers limited powers and immunities for certain activities. These may include:</w:t>
      </w:r>
    </w:p>
    <w:p w14:paraId="7099B92A" w14:textId="77777777" w:rsidR="004650C1" w:rsidRPr="004650C1" w:rsidRDefault="004650C1" w:rsidP="004650C1">
      <w:pPr>
        <w:numPr>
          <w:ilvl w:val="0"/>
          <w:numId w:val="4"/>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Inspecting land.</w:t>
      </w:r>
    </w:p>
    <w:p w14:paraId="5461669C" w14:textId="77777777" w:rsidR="004650C1" w:rsidRPr="004650C1" w:rsidRDefault="004650C1" w:rsidP="004650C1">
      <w:pPr>
        <w:numPr>
          <w:ilvl w:val="0"/>
          <w:numId w:val="4"/>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Installing defined low-impact facilities.</w:t>
      </w:r>
    </w:p>
    <w:p w14:paraId="37AA4D28" w14:textId="77777777" w:rsidR="004650C1" w:rsidRPr="004650C1" w:rsidRDefault="004650C1" w:rsidP="004650C1">
      <w:pPr>
        <w:numPr>
          <w:ilvl w:val="0"/>
          <w:numId w:val="4"/>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Maintaining telecommunications facilities.</w:t>
      </w:r>
    </w:p>
    <w:p w14:paraId="1B5ED33F" w14:textId="77777777" w:rsidR="004650C1" w:rsidRPr="004650C1" w:rsidRDefault="004650C1" w:rsidP="004650C1">
      <w:pPr>
        <w:numPr>
          <w:ilvl w:val="0"/>
          <w:numId w:val="4"/>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Entering property when statutory conditions are satisfied.</w:t>
      </w:r>
    </w:p>
    <w:p w14:paraId="1FDAD7F4" w14:textId="77777777" w:rsidR="004650C1" w:rsidRPr="004650C1" w:rsidRDefault="004650C1" w:rsidP="004650C1">
      <w:pPr>
        <w:numPr>
          <w:ilvl w:val="0"/>
          <w:numId w:val="4"/>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Using authorised employees or contractors to perform relevant work.</w:t>
      </w:r>
    </w:p>
    <w:p w14:paraId="299B6ABB" w14:textId="3B76A5CE"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 low-impact facility may be installed without normal state, territory or local planning approval when it meets the legal definition and all conditions are followed. A facility that is not low impact may require planning approval or another authorisation. </w:t>
      </w:r>
      <w:r w:rsidRPr="004650C1">
        <w:rPr>
          <w:rFonts w:ascii="Calibri" w:eastAsia="Times New Roman" w:hAnsi="Calibri" w:cs="Calibri"/>
          <w:color w:val="000000"/>
          <w:kern w:val="0"/>
          <w:lang w:eastAsia="en-GB"/>
          <w14:ligatures w14:val="none"/>
        </w:rPr>
        <w:t xml:space="preserve"> </w:t>
      </w:r>
    </w:p>
    <w:p w14:paraId="4A5A5F86"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These powers are not unlimited. Carriers must generally:</w:t>
      </w:r>
    </w:p>
    <w:p w14:paraId="080F7E7C" w14:textId="77777777" w:rsidR="004650C1" w:rsidRPr="004650C1" w:rsidRDefault="004650C1" w:rsidP="004650C1">
      <w:pPr>
        <w:numPr>
          <w:ilvl w:val="0"/>
          <w:numId w:val="5"/>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Provide written notice to affected landowners or occupiers.</w:t>
      </w:r>
    </w:p>
    <w:p w14:paraId="5574169D" w14:textId="77777777" w:rsidR="004650C1" w:rsidRPr="004650C1" w:rsidRDefault="004650C1" w:rsidP="004650C1">
      <w:pPr>
        <w:numPr>
          <w:ilvl w:val="0"/>
          <w:numId w:val="5"/>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Normally provide at least ten business days’ notice before using the relevant powers.</w:t>
      </w:r>
    </w:p>
    <w:p w14:paraId="61946E62" w14:textId="77777777" w:rsidR="004650C1" w:rsidRPr="004650C1" w:rsidRDefault="004650C1" w:rsidP="004650C1">
      <w:pPr>
        <w:numPr>
          <w:ilvl w:val="0"/>
          <w:numId w:val="5"/>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Act in accordance with good engineering practice.</w:t>
      </w:r>
    </w:p>
    <w:p w14:paraId="165B8E47" w14:textId="77777777" w:rsidR="004650C1" w:rsidRPr="004650C1" w:rsidRDefault="004650C1" w:rsidP="004650C1">
      <w:pPr>
        <w:numPr>
          <w:ilvl w:val="0"/>
          <w:numId w:val="5"/>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Minimise damage, inconvenience and interference.</w:t>
      </w:r>
    </w:p>
    <w:p w14:paraId="516E0A1E" w14:textId="77777777" w:rsidR="004650C1" w:rsidRPr="004650C1" w:rsidRDefault="004650C1" w:rsidP="004650C1">
      <w:pPr>
        <w:numPr>
          <w:ilvl w:val="0"/>
          <w:numId w:val="5"/>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Protect the safety of people and property.</w:t>
      </w:r>
    </w:p>
    <w:p w14:paraId="0586EFF4" w14:textId="77777777" w:rsidR="004650C1" w:rsidRPr="004650C1" w:rsidRDefault="004650C1" w:rsidP="004650C1">
      <w:pPr>
        <w:numPr>
          <w:ilvl w:val="0"/>
          <w:numId w:val="5"/>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Restore land after completing work.</w:t>
      </w:r>
    </w:p>
    <w:p w14:paraId="24B008F5" w14:textId="77777777" w:rsidR="004650C1" w:rsidRPr="004650C1" w:rsidRDefault="004650C1" w:rsidP="004650C1">
      <w:pPr>
        <w:numPr>
          <w:ilvl w:val="0"/>
          <w:numId w:val="5"/>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Follow the Telecommunications Code of Practice 2021.</w:t>
      </w:r>
    </w:p>
    <w:p w14:paraId="10546404" w14:textId="77777777" w:rsidR="004650C1" w:rsidRPr="004650C1" w:rsidRDefault="004650C1" w:rsidP="004650C1">
      <w:pPr>
        <w:numPr>
          <w:ilvl w:val="0"/>
          <w:numId w:val="5"/>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Investigate complaints and objections.</w:t>
      </w:r>
    </w:p>
    <w:p w14:paraId="108DAC19" w14:textId="77777777" w:rsidR="004650C1" w:rsidRPr="004650C1" w:rsidRDefault="004650C1" w:rsidP="004650C1">
      <w:pPr>
        <w:numPr>
          <w:ilvl w:val="0"/>
          <w:numId w:val="5"/>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Consider environmental and heritage requirements.</w:t>
      </w:r>
    </w:p>
    <w:p w14:paraId="260FE8DD" w14:textId="77777777" w:rsidR="004650C1" w:rsidRPr="004650C1" w:rsidRDefault="004650C1" w:rsidP="004650C1">
      <w:pPr>
        <w:numPr>
          <w:ilvl w:val="0"/>
          <w:numId w:val="5"/>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Use planning processes for facilities that are not low impact.</w:t>
      </w:r>
    </w:p>
    <w:p w14:paraId="4B653F73" w14:textId="77777777" w:rsidR="004650C1" w:rsidRPr="004650C1" w:rsidRDefault="004650C1" w:rsidP="004650C1">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4650C1">
        <w:rPr>
          <w:rFonts w:ascii="Calibri" w:eastAsia="Times New Roman" w:hAnsi="Calibri" w:cs="Calibri"/>
          <w:b/>
          <w:bCs/>
          <w:color w:val="000000"/>
          <w:kern w:val="0"/>
          <w:sz w:val="27"/>
          <w:szCs w:val="27"/>
          <w:lang w:eastAsia="en-GB"/>
          <w14:ligatures w14:val="none"/>
        </w:rPr>
        <w:t>Application to Rookwood</w:t>
      </w:r>
    </w:p>
    <w:p w14:paraId="063FFE77"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Before installing the Rookwood connection, 3TTech should:</w:t>
      </w:r>
    </w:p>
    <w:p w14:paraId="6011CCFB" w14:textId="77777777" w:rsidR="004650C1" w:rsidRPr="004650C1" w:rsidRDefault="004650C1" w:rsidP="004650C1">
      <w:pPr>
        <w:numPr>
          <w:ilvl w:val="0"/>
          <w:numId w:val="6"/>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Survey the proposed route and premises.</w:t>
      </w:r>
    </w:p>
    <w:p w14:paraId="25F1AA67" w14:textId="77777777" w:rsidR="004650C1" w:rsidRPr="004650C1" w:rsidRDefault="004650C1" w:rsidP="004650C1">
      <w:pPr>
        <w:numPr>
          <w:ilvl w:val="0"/>
          <w:numId w:val="6"/>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Classify each proposed facility.</w:t>
      </w:r>
    </w:p>
    <w:p w14:paraId="4322F681" w14:textId="77777777" w:rsidR="004650C1" w:rsidRPr="004650C1" w:rsidRDefault="004650C1" w:rsidP="004650C1">
      <w:pPr>
        <w:numPr>
          <w:ilvl w:val="0"/>
          <w:numId w:val="6"/>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Identify the property owners and occupiers.</w:t>
      </w:r>
    </w:p>
    <w:p w14:paraId="2F577879" w14:textId="77777777" w:rsidR="004650C1" w:rsidRPr="004650C1" w:rsidRDefault="004650C1" w:rsidP="004650C1">
      <w:pPr>
        <w:numPr>
          <w:ilvl w:val="0"/>
          <w:numId w:val="6"/>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Issue the required notices.</w:t>
      </w:r>
    </w:p>
    <w:p w14:paraId="49B589FB" w14:textId="77777777" w:rsidR="004650C1" w:rsidRPr="004650C1" w:rsidRDefault="004650C1" w:rsidP="004650C1">
      <w:pPr>
        <w:numPr>
          <w:ilvl w:val="0"/>
          <w:numId w:val="6"/>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Record consultation and objections.</w:t>
      </w:r>
    </w:p>
    <w:p w14:paraId="547B3BB9" w14:textId="77777777" w:rsidR="004650C1" w:rsidRPr="004650C1" w:rsidRDefault="004650C1" w:rsidP="004650C1">
      <w:pPr>
        <w:numPr>
          <w:ilvl w:val="0"/>
          <w:numId w:val="6"/>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Obtain approvals for non-low-impact facilities.</w:t>
      </w:r>
    </w:p>
    <w:p w14:paraId="16AF045F" w14:textId="77777777" w:rsidR="004650C1" w:rsidRPr="004650C1" w:rsidRDefault="004650C1" w:rsidP="004650C1">
      <w:pPr>
        <w:numPr>
          <w:ilvl w:val="0"/>
          <w:numId w:val="6"/>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Confirm electrical and structural safety.</w:t>
      </w:r>
    </w:p>
    <w:p w14:paraId="53477405" w14:textId="77777777" w:rsidR="004650C1" w:rsidRPr="004650C1" w:rsidRDefault="004650C1" w:rsidP="004650C1">
      <w:pPr>
        <w:numPr>
          <w:ilvl w:val="0"/>
          <w:numId w:val="6"/>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Protect the Institute’s operations during installation.</w:t>
      </w:r>
    </w:p>
    <w:p w14:paraId="773AD6E7" w14:textId="77777777" w:rsidR="004650C1" w:rsidRPr="004650C1" w:rsidRDefault="004650C1" w:rsidP="004650C1">
      <w:pPr>
        <w:numPr>
          <w:ilvl w:val="0"/>
          <w:numId w:val="6"/>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Repair any damage.</w:t>
      </w:r>
    </w:p>
    <w:p w14:paraId="27535C1F" w14:textId="77777777" w:rsidR="004650C1" w:rsidRPr="004650C1" w:rsidRDefault="004650C1" w:rsidP="004650C1">
      <w:pPr>
        <w:numPr>
          <w:ilvl w:val="0"/>
          <w:numId w:val="6"/>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provide as-built drawings and completion records.</w:t>
      </w:r>
    </w:p>
    <w:p w14:paraId="4401E302"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A-Plus Institute should nominate an authorised contact to receive notices and coordinate access. The Institute should also keep evidence of site-access approval, escort arrangements and restricted-area permissions.</w:t>
      </w:r>
    </w:p>
    <w:p w14:paraId="176EA416" w14:textId="77777777" w:rsidR="004650C1" w:rsidRPr="004650C1" w:rsidRDefault="004650C1" w:rsidP="004650C1">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4650C1">
        <w:rPr>
          <w:rFonts w:ascii="Calibri" w:eastAsia="Times New Roman" w:hAnsi="Calibri" w:cs="Calibri"/>
          <w:b/>
          <w:bCs/>
          <w:color w:val="000000"/>
          <w:kern w:val="0"/>
          <w:sz w:val="36"/>
          <w:szCs w:val="36"/>
          <w:lang w:eastAsia="en-GB"/>
          <w14:ligatures w14:val="none"/>
        </w:rPr>
        <w:lastRenderedPageBreak/>
        <w:t>6. ACCC Enforcement of Competition Provisions</w:t>
      </w:r>
    </w:p>
    <w:p w14:paraId="0A99AA1A"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 xml:space="preserve">The Competition and Consumer Act 2010 </w:t>
      </w:r>
      <w:proofErr w:type="gramStart"/>
      <w:r w:rsidRPr="004650C1">
        <w:rPr>
          <w:rFonts w:ascii="Calibri" w:eastAsia="Times New Roman" w:hAnsi="Calibri" w:cs="Calibri"/>
          <w:color w:val="000000"/>
          <w:kern w:val="0"/>
          <w:lang w:eastAsia="en-GB"/>
          <w14:ligatures w14:val="none"/>
        </w:rPr>
        <w:t>uses</w:t>
      </w:r>
      <w:proofErr w:type="gramEnd"/>
      <w:r w:rsidRPr="004650C1">
        <w:rPr>
          <w:rFonts w:ascii="Calibri" w:eastAsia="Times New Roman" w:hAnsi="Calibri" w:cs="Calibri"/>
          <w:color w:val="000000"/>
          <w:kern w:val="0"/>
          <w:lang w:eastAsia="en-GB"/>
          <w14:ligatures w14:val="none"/>
        </w:rPr>
        <w:t xml:space="preserve"> two specialised telecommunications mechanisms.</w:t>
      </w:r>
    </w:p>
    <w:p w14:paraId="441F4D36" w14:textId="77777777" w:rsidR="004650C1" w:rsidRPr="004650C1" w:rsidRDefault="004650C1" w:rsidP="004650C1">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4650C1">
        <w:rPr>
          <w:rFonts w:ascii="Calibri" w:eastAsia="Times New Roman" w:hAnsi="Calibri" w:cs="Calibri"/>
          <w:b/>
          <w:bCs/>
          <w:color w:val="000000"/>
          <w:kern w:val="0"/>
          <w:sz w:val="27"/>
          <w:szCs w:val="27"/>
          <w:lang w:eastAsia="en-GB"/>
          <w14:ligatures w14:val="none"/>
        </w:rPr>
        <w:t>6.1 Part XIB – Anti-competitive conduct</w:t>
      </w:r>
    </w:p>
    <w:p w14:paraId="7FE1D912"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Part XIB creates a telecommunications competition rule in addition to the general competition provisions.</w:t>
      </w:r>
    </w:p>
    <w:p w14:paraId="16517A2F"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The ACCC may:</w:t>
      </w:r>
    </w:p>
    <w:p w14:paraId="4EC90D1A" w14:textId="77777777" w:rsidR="004650C1" w:rsidRPr="004650C1" w:rsidRDefault="004650C1" w:rsidP="004650C1">
      <w:pPr>
        <w:numPr>
          <w:ilvl w:val="0"/>
          <w:numId w:val="7"/>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Investigate suspected anti-competitive conduct.</w:t>
      </w:r>
    </w:p>
    <w:p w14:paraId="120888D9" w14:textId="77777777" w:rsidR="004650C1" w:rsidRPr="004650C1" w:rsidRDefault="004650C1" w:rsidP="004650C1">
      <w:pPr>
        <w:numPr>
          <w:ilvl w:val="0"/>
          <w:numId w:val="7"/>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Issue a Part A competition notice.</w:t>
      </w:r>
    </w:p>
    <w:p w14:paraId="6C769D9C" w14:textId="77777777" w:rsidR="004650C1" w:rsidRPr="004650C1" w:rsidRDefault="004650C1" w:rsidP="004650C1">
      <w:pPr>
        <w:numPr>
          <w:ilvl w:val="0"/>
          <w:numId w:val="7"/>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Issue a Part B competition notice.</w:t>
      </w:r>
    </w:p>
    <w:p w14:paraId="1D894D07" w14:textId="77777777" w:rsidR="004650C1" w:rsidRPr="004650C1" w:rsidRDefault="004650C1" w:rsidP="004650C1">
      <w:pPr>
        <w:numPr>
          <w:ilvl w:val="0"/>
          <w:numId w:val="7"/>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Establish record-keeping rules.</w:t>
      </w:r>
    </w:p>
    <w:p w14:paraId="375CD9D7" w14:textId="77777777" w:rsidR="004650C1" w:rsidRPr="004650C1" w:rsidRDefault="004650C1" w:rsidP="004650C1">
      <w:pPr>
        <w:numPr>
          <w:ilvl w:val="0"/>
          <w:numId w:val="7"/>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Seek civil penalties and injunctions.</w:t>
      </w:r>
    </w:p>
    <w:p w14:paraId="001DCDD9" w14:textId="77777777" w:rsidR="004650C1" w:rsidRPr="004650C1" w:rsidRDefault="004650C1" w:rsidP="004650C1">
      <w:pPr>
        <w:numPr>
          <w:ilvl w:val="0"/>
          <w:numId w:val="7"/>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Support proceedings for damages or compensation.</w:t>
      </w:r>
    </w:p>
    <w:p w14:paraId="126EAEEA" w14:textId="77777777" w:rsidR="004650C1" w:rsidRPr="004650C1" w:rsidRDefault="004650C1" w:rsidP="004650C1">
      <w:pPr>
        <w:numPr>
          <w:ilvl w:val="0"/>
          <w:numId w:val="7"/>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Require information or public disclosure in applicable circumstances.</w:t>
      </w:r>
    </w:p>
    <w:p w14:paraId="3B38F983" w14:textId="40532F98"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 Part A competition notice identifies conduct that the ACCC considers anti-competitive and supports enforcement action. A Part B notice can provide evidence of a contravention in proceedings. </w:t>
      </w:r>
      <w:r w:rsidRPr="004650C1">
        <w:rPr>
          <w:rFonts w:ascii="Calibri" w:eastAsia="Times New Roman" w:hAnsi="Calibri" w:cs="Calibri"/>
          <w:color w:val="000000"/>
          <w:kern w:val="0"/>
          <w:lang w:eastAsia="en-GB"/>
          <w14:ligatures w14:val="none"/>
        </w:rPr>
        <w:t xml:space="preserve"> </w:t>
      </w:r>
    </w:p>
    <w:p w14:paraId="13C8E8C5" w14:textId="77777777" w:rsidR="004650C1" w:rsidRPr="004650C1" w:rsidRDefault="004650C1" w:rsidP="004650C1">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4650C1">
        <w:rPr>
          <w:rFonts w:ascii="Calibri" w:eastAsia="Times New Roman" w:hAnsi="Calibri" w:cs="Calibri"/>
          <w:b/>
          <w:bCs/>
          <w:color w:val="000000"/>
          <w:kern w:val="0"/>
          <w:sz w:val="27"/>
          <w:szCs w:val="27"/>
          <w:lang w:eastAsia="en-GB"/>
          <w14:ligatures w14:val="none"/>
        </w:rPr>
        <w:t>6.2 Part XIC – Telecommunications access regime</w:t>
      </w:r>
    </w:p>
    <w:p w14:paraId="1D9692E1"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 xml:space="preserve">Part XIC allows the ACCC to regulate access to </w:t>
      </w:r>
      <w:proofErr w:type="gramStart"/>
      <w:r w:rsidRPr="004650C1">
        <w:rPr>
          <w:rFonts w:ascii="Calibri" w:eastAsia="Times New Roman" w:hAnsi="Calibri" w:cs="Calibri"/>
          <w:color w:val="000000"/>
          <w:kern w:val="0"/>
          <w:lang w:eastAsia="en-GB"/>
          <w14:ligatures w14:val="none"/>
        </w:rPr>
        <w:t>particular declared</w:t>
      </w:r>
      <w:proofErr w:type="gramEnd"/>
      <w:r w:rsidRPr="004650C1">
        <w:rPr>
          <w:rFonts w:ascii="Calibri" w:eastAsia="Times New Roman" w:hAnsi="Calibri" w:cs="Calibri"/>
          <w:color w:val="000000"/>
          <w:kern w:val="0"/>
          <w:lang w:eastAsia="en-GB"/>
          <w14:ligatures w14:val="none"/>
        </w:rPr>
        <w:t xml:space="preserve"> telecommunications services.</w:t>
      </w:r>
    </w:p>
    <w:p w14:paraId="348D75E4"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The ACCC may:</w:t>
      </w:r>
    </w:p>
    <w:p w14:paraId="31F06F7D" w14:textId="77777777" w:rsidR="004650C1" w:rsidRPr="004650C1" w:rsidRDefault="004650C1" w:rsidP="004650C1">
      <w:pPr>
        <w:numPr>
          <w:ilvl w:val="0"/>
          <w:numId w:val="8"/>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Conduct inquiries into whether a service should be declared.</w:t>
      </w:r>
    </w:p>
    <w:p w14:paraId="6FF1E912" w14:textId="77777777" w:rsidR="004650C1" w:rsidRPr="004650C1" w:rsidRDefault="004650C1" w:rsidP="004650C1">
      <w:pPr>
        <w:numPr>
          <w:ilvl w:val="0"/>
          <w:numId w:val="8"/>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Declare eligible telecommunications services.</w:t>
      </w:r>
    </w:p>
    <w:p w14:paraId="2E874F80" w14:textId="77777777" w:rsidR="004650C1" w:rsidRPr="004650C1" w:rsidRDefault="004650C1" w:rsidP="004650C1">
      <w:pPr>
        <w:numPr>
          <w:ilvl w:val="0"/>
          <w:numId w:val="8"/>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Make final access determinations.</w:t>
      </w:r>
    </w:p>
    <w:p w14:paraId="1801B400" w14:textId="77777777" w:rsidR="004650C1" w:rsidRPr="004650C1" w:rsidRDefault="004650C1" w:rsidP="004650C1">
      <w:pPr>
        <w:numPr>
          <w:ilvl w:val="0"/>
          <w:numId w:val="8"/>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Assess special access undertakings.</w:t>
      </w:r>
    </w:p>
    <w:p w14:paraId="146316F4" w14:textId="77777777" w:rsidR="004650C1" w:rsidRPr="004650C1" w:rsidRDefault="004650C1" w:rsidP="004650C1">
      <w:pPr>
        <w:numPr>
          <w:ilvl w:val="0"/>
          <w:numId w:val="8"/>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Establish access terms and conditions.</w:t>
      </w:r>
    </w:p>
    <w:p w14:paraId="387455E6" w14:textId="77777777" w:rsidR="004650C1" w:rsidRPr="004650C1" w:rsidRDefault="004650C1" w:rsidP="004650C1">
      <w:pPr>
        <w:numPr>
          <w:ilvl w:val="0"/>
          <w:numId w:val="8"/>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Monitor compliance with standard access obligations.</w:t>
      </w:r>
    </w:p>
    <w:p w14:paraId="6210286D"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This regime reduces the risk that an infrastructure owner will unfairly prevent competitors from accessing essential network services.</w:t>
      </w:r>
    </w:p>
    <w:p w14:paraId="20EBCF91" w14:textId="77777777" w:rsidR="004650C1" w:rsidRPr="004650C1" w:rsidRDefault="004650C1" w:rsidP="004650C1">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4650C1">
        <w:rPr>
          <w:rFonts w:ascii="Calibri" w:eastAsia="Times New Roman" w:hAnsi="Calibri" w:cs="Calibri"/>
          <w:b/>
          <w:bCs/>
          <w:color w:val="000000"/>
          <w:kern w:val="0"/>
          <w:sz w:val="27"/>
          <w:szCs w:val="27"/>
          <w:lang w:eastAsia="en-GB"/>
          <w14:ligatures w14:val="none"/>
        </w:rPr>
        <w:t>Application to A-Plus Institute</w:t>
      </w:r>
    </w:p>
    <w:p w14:paraId="1186ABB8"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A-Plus Institute is not responsible for enforcing Parts XIB or XIC. However, these provisions affect the availability, pricing and competitive supply of services offered by 3TTech and other providers.</w:t>
      </w:r>
    </w:p>
    <w:p w14:paraId="7676749A"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lastRenderedPageBreak/>
        <w:t>The Institute should:</w:t>
      </w:r>
    </w:p>
    <w:p w14:paraId="39643214" w14:textId="77777777" w:rsidR="004650C1" w:rsidRPr="004650C1" w:rsidRDefault="004650C1" w:rsidP="004650C1">
      <w:pPr>
        <w:numPr>
          <w:ilvl w:val="0"/>
          <w:numId w:val="9"/>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Use a transparent service-procurement process.</w:t>
      </w:r>
    </w:p>
    <w:p w14:paraId="53E205F3" w14:textId="77777777" w:rsidR="004650C1" w:rsidRPr="004650C1" w:rsidRDefault="004650C1" w:rsidP="004650C1">
      <w:pPr>
        <w:numPr>
          <w:ilvl w:val="0"/>
          <w:numId w:val="9"/>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Request itemised prices and service specifications.</w:t>
      </w:r>
    </w:p>
    <w:p w14:paraId="210B2F91" w14:textId="77777777" w:rsidR="004650C1" w:rsidRPr="004650C1" w:rsidRDefault="004650C1" w:rsidP="004650C1">
      <w:pPr>
        <w:numPr>
          <w:ilvl w:val="0"/>
          <w:numId w:val="9"/>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Avoid long-term agreements without performance protections.</w:t>
      </w:r>
    </w:p>
    <w:p w14:paraId="452CA3EB" w14:textId="77777777" w:rsidR="004650C1" w:rsidRPr="004650C1" w:rsidRDefault="004650C1" w:rsidP="004650C1">
      <w:pPr>
        <w:numPr>
          <w:ilvl w:val="0"/>
          <w:numId w:val="9"/>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Record any refusal to provide access or unexplained discriminatory terms.</w:t>
      </w:r>
    </w:p>
    <w:p w14:paraId="5C994AD5" w14:textId="77777777" w:rsidR="004650C1" w:rsidRPr="004650C1" w:rsidRDefault="004650C1" w:rsidP="004650C1">
      <w:pPr>
        <w:numPr>
          <w:ilvl w:val="0"/>
          <w:numId w:val="9"/>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Escalate potential competition issues through the appropriate regulatory process.</w:t>
      </w:r>
    </w:p>
    <w:p w14:paraId="7FD8ACC2" w14:textId="77777777" w:rsidR="004650C1" w:rsidRPr="004650C1" w:rsidRDefault="004650C1" w:rsidP="004650C1">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4650C1">
        <w:rPr>
          <w:rFonts w:ascii="Calibri" w:eastAsia="Times New Roman" w:hAnsi="Calibri" w:cs="Calibri"/>
          <w:b/>
          <w:bCs/>
          <w:color w:val="000000"/>
          <w:kern w:val="0"/>
          <w:sz w:val="36"/>
          <w:szCs w:val="36"/>
          <w:lang w:eastAsia="en-GB"/>
          <w14:ligatures w14:val="none"/>
        </w:rPr>
        <w:t>7. Universal Service Obligation and Accessibility</w:t>
      </w:r>
    </w:p>
    <w:p w14:paraId="36689772" w14:textId="77777777" w:rsidR="004650C1" w:rsidRPr="004650C1" w:rsidRDefault="004650C1" w:rsidP="004650C1">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4650C1">
        <w:rPr>
          <w:rFonts w:ascii="Calibri" w:eastAsia="Times New Roman" w:hAnsi="Calibri" w:cs="Calibri"/>
          <w:b/>
          <w:bCs/>
          <w:color w:val="000000"/>
          <w:kern w:val="0"/>
          <w:sz w:val="27"/>
          <w:szCs w:val="27"/>
          <w:lang w:eastAsia="en-GB"/>
          <w14:ligatures w14:val="none"/>
        </w:rPr>
        <w:t>7.1 Universal Service Obligation</w:t>
      </w:r>
    </w:p>
    <w:p w14:paraId="6586CBC0" w14:textId="1CA8E6FB"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The USO supports access to standard telephone services and payphones throughout Australia. Telstra is the primary universal service provider and must provide standard telephone services on reasonable request under the applicable arrangements. </w:t>
      </w:r>
      <w:r w:rsidRPr="004650C1">
        <w:rPr>
          <w:rFonts w:ascii="Calibri" w:eastAsia="Times New Roman" w:hAnsi="Calibri" w:cs="Calibri"/>
          <w:color w:val="000000"/>
          <w:kern w:val="0"/>
          <w:lang w:eastAsia="en-GB"/>
          <w14:ligatures w14:val="none"/>
        </w:rPr>
        <w:t xml:space="preserve"> </w:t>
      </w:r>
    </w:p>
    <w:p w14:paraId="7F436EB2"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The USO is important for regional areas, but it does not automatically guarantee:</w:t>
      </w:r>
    </w:p>
    <w:p w14:paraId="58FA9CB9" w14:textId="77777777" w:rsidR="004650C1" w:rsidRPr="004650C1" w:rsidRDefault="004650C1" w:rsidP="004650C1">
      <w:pPr>
        <w:numPr>
          <w:ilvl w:val="0"/>
          <w:numId w:val="10"/>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High-capacity business broadband.</w:t>
      </w:r>
    </w:p>
    <w:p w14:paraId="215B3B01" w14:textId="77777777" w:rsidR="004650C1" w:rsidRPr="004650C1" w:rsidRDefault="004650C1" w:rsidP="004650C1">
      <w:pPr>
        <w:numPr>
          <w:ilvl w:val="0"/>
          <w:numId w:val="10"/>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Symmetrical upload and download speeds.</w:t>
      </w:r>
    </w:p>
    <w:p w14:paraId="43F34804" w14:textId="77777777" w:rsidR="004650C1" w:rsidRPr="004650C1" w:rsidRDefault="004650C1" w:rsidP="004650C1">
      <w:pPr>
        <w:numPr>
          <w:ilvl w:val="0"/>
          <w:numId w:val="10"/>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Static public IP addresses.</w:t>
      </w:r>
    </w:p>
    <w:p w14:paraId="671E9333" w14:textId="77777777" w:rsidR="004650C1" w:rsidRPr="004650C1" w:rsidRDefault="004650C1" w:rsidP="004650C1">
      <w:pPr>
        <w:numPr>
          <w:ilvl w:val="0"/>
          <w:numId w:val="10"/>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Low latency.</w:t>
      </w:r>
    </w:p>
    <w:p w14:paraId="1B01EBE3" w14:textId="77777777" w:rsidR="004650C1" w:rsidRPr="004650C1" w:rsidRDefault="004650C1" w:rsidP="004650C1">
      <w:pPr>
        <w:numPr>
          <w:ilvl w:val="0"/>
          <w:numId w:val="10"/>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Enterprise VPN compatibility.</w:t>
      </w:r>
    </w:p>
    <w:p w14:paraId="33C32D92" w14:textId="77777777" w:rsidR="004650C1" w:rsidRPr="004650C1" w:rsidRDefault="004650C1" w:rsidP="004650C1">
      <w:pPr>
        <w:numPr>
          <w:ilvl w:val="0"/>
          <w:numId w:val="10"/>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 commercial service-level agreement.</w:t>
      </w:r>
    </w:p>
    <w:p w14:paraId="61B8062A" w14:textId="77777777" w:rsidR="004650C1" w:rsidRPr="004650C1" w:rsidRDefault="004650C1" w:rsidP="004650C1">
      <w:pPr>
        <w:numPr>
          <w:ilvl w:val="0"/>
          <w:numId w:val="10"/>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Immediate installation.</w:t>
      </w:r>
    </w:p>
    <w:p w14:paraId="6BD16813"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Therefore, the Rookwood project cannot rely only on the USO.</w:t>
      </w:r>
    </w:p>
    <w:p w14:paraId="5B92938B" w14:textId="77777777" w:rsidR="004650C1" w:rsidRPr="004650C1" w:rsidRDefault="004650C1" w:rsidP="004650C1">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4650C1">
        <w:rPr>
          <w:rFonts w:ascii="Calibri" w:eastAsia="Times New Roman" w:hAnsi="Calibri" w:cs="Calibri"/>
          <w:b/>
          <w:bCs/>
          <w:color w:val="000000"/>
          <w:kern w:val="0"/>
          <w:sz w:val="27"/>
          <w:szCs w:val="27"/>
          <w:lang w:eastAsia="en-GB"/>
          <w14:ligatures w14:val="none"/>
        </w:rPr>
        <w:t>7.2 Statutory Infrastructure Provider regime</w:t>
      </w:r>
    </w:p>
    <w:p w14:paraId="213311E4"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The SIP regime is established under Part 19 of the Telecommunications Act 1997. NBN Co is the default SIP, although another provider may be responsible in a particular service area.</w:t>
      </w:r>
    </w:p>
    <w:p w14:paraId="3F421BDD" w14:textId="08BCDDB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The relevant SIP generally has obligations to connect premises and supply wholesale broadband services on reasonable request. The regime is intended to ensure access to broadband speeds of at least 25 Mbps download and 5 Mbps upload, or better, subject to the applicable rules. </w:t>
      </w:r>
      <w:r w:rsidRPr="004650C1">
        <w:rPr>
          <w:rFonts w:ascii="Calibri" w:eastAsia="Times New Roman" w:hAnsi="Calibri" w:cs="Calibri"/>
          <w:color w:val="000000"/>
          <w:kern w:val="0"/>
          <w:lang w:eastAsia="en-GB"/>
          <w14:ligatures w14:val="none"/>
        </w:rPr>
        <w:t xml:space="preserve"> </w:t>
      </w:r>
    </w:p>
    <w:p w14:paraId="6633C46D" w14:textId="77777777" w:rsidR="004650C1" w:rsidRPr="004650C1" w:rsidRDefault="004650C1" w:rsidP="004650C1">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4650C1">
        <w:rPr>
          <w:rFonts w:ascii="Calibri" w:eastAsia="Times New Roman" w:hAnsi="Calibri" w:cs="Calibri"/>
          <w:b/>
          <w:bCs/>
          <w:color w:val="000000"/>
          <w:kern w:val="0"/>
          <w:sz w:val="27"/>
          <w:szCs w:val="27"/>
          <w:lang w:eastAsia="en-GB"/>
          <w14:ligatures w14:val="none"/>
        </w:rPr>
        <w:t>Evaluation for Rookwood</w:t>
      </w:r>
    </w:p>
    <w:p w14:paraId="6B036CF3"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The SIP regime improves the possibility that the Rookwood premises can receive broadband access. However, the minimum statutory service may not be sufficient for simultaneous classes, video conferencing, cloud access and centralised services.</w:t>
      </w:r>
    </w:p>
    <w:p w14:paraId="7D77A0EE"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3TTech should provide a capacity forecast based on:</w:t>
      </w:r>
    </w:p>
    <w:p w14:paraId="7165D7FF" w14:textId="77777777" w:rsidR="004650C1" w:rsidRPr="004650C1" w:rsidRDefault="004650C1" w:rsidP="004650C1">
      <w:pPr>
        <w:numPr>
          <w:ilvl w:val="0"/>
          <w:numId w:val="11"/>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Student and staff numbers.</w:t>
      </w:r>
    </w:p>
    <w:p w14:paraId="6B1C567B" w14:textId="77777777" w:rsidR="004650C1" w:rsidRPr="004650C1" w:rsidRDefault="004650C1" w:rsidP="004650C1">
      <w:pPr>
        <w:numPr>
          <w:ilvl w:val="0"/>
          <w:numId w:val="11"/>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lastRenderedPageBreak/>
        <w:t>Concurrent user sessions.</w:t>
      </w:r>
    </w:p>
    <w:p w14:paraId="392EAED6" w14:textId="77777777" w:rsidR="004650C1" w:rsidRPr="004650C1" w:rsidRDefault="004650C1" w:rsidP="004650C1">
      <w:pPr>
        <w:numPr>
          <w:ilvl w:val="0"/>
          <w:numId w:val="11"/>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Video-conferencing traffic.</w:t>
      </w:r>
    </w:p>
    <w:p w14:paraId="4EF60ED9" w14:textId="77777777" w:rsidR="004650C1" w:rsidRPr="004650C1" w:rsidRDefault="004650C1" w:rsidP="004650C1">
      <w:pPr>
        <w:numPr>
          <w:ilvl w:val="0"/>
          <w:numId w:val="11"/>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Cloud and learning-management-system traffic.</w:t>
      </w:r>
    </w:p>
    <w:p w14:paraId="50A48322" w14:textId="77777777" w:rsidR="004650C1" w:rsidRPr="004650C1" w:rsidRDefault="004650C1" w:rsidP="004650C1">
      <w:pPr>
        <w:numPr>
          <w:ilvl w:val="0"/>
          <w:numId w:val="11"/>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Backups and file transfers.</w:t>
      </w:r>
    </w:p>
    <w:p w14:paraId="52478332" w14:textId="77777777" w:rsidR="004650C1" w:rsidRPr="004650C1" w:rsidRDefault="004650C1" w:rsidP="004650C1">
      <w:pPr>
        <w:numPr>
          <w:ilvl w:val="0"/>
          <w:numId w:val="11"/>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VPN overhead.</w:t>
      </w:r>
    </w:p>
    <w:p w14:paraId="1C80F8D2" w14:textId="77777777" w:rsidR="004650C1" w:rsidRPr="004650C1" w:rsidRDefault="004650C1" w:rsidP="004650C1">
      <w:pPr>
        <w:numPr>
          <w:ilvl w:val="0"/>
          <w:numId w:val="11"/>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Expected future growth.</w:t>
      </w:r>
    </w:p>
    <w:p w14:paraId="1AD65A19"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The selected service should exceed the minimum where modelling demonstrates greater demand.</w:t>
      </w:r>
    </w:p>
    <w:p w14:paraId="2C4B2156" w14:textId="77777777" w:rsidR="004650C1" w:rsidRPr="004650C1" w:rsidRDefault="004650C1" w:rsidP="004650C1">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4650C1">
        <w:rPr>
          <w:rFonts w:ascii="Calibri" w:eastAsia="Times New Roman" w:hAnsi="Calibri" w:cs="Calibri"/>
          <w:b/>
          <w:bCs/>
          <w:color w:val="000000"/>
          <w:kern w:val="0"/>
          <w:sz w:val="27"/>
          <w:szCs w:val="27"/>
          <w:lang w:eastAsia="en-GB"/>
          <w14:ligatures w14:val="none"/>
        </w:rPr>
        <w:t>7.3 Accessibility for people with disability</w:t>
      </w:r>
    </w:p>
    <w:p w14:paraId="594AB92E" w14:textId="33809560"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The Disability Discrimination Act 1992 addresses discrimination in education, access to premises and access to goods, services and facilities. The Disability Standards for Education 2005 require reasonable adjustments so students with disability can participate on the same basis as other students.</w:t>
      </w:r>
      <w:r w:rsidRPr="004650C1">
        <w:rPr>
          <w:rFonts w:ascii="Calibri" w:eastAsia="Times New Roman" w:hAnsi="Calibri" w:cs="Calibri"/>
          <w:color w:val="000000"/>
          <w:kern w:val="0"/>
          <w:lang w:eastAsia="en-GB"/>
          <w14:ligatures w14:val="none"/>
        </w:rPr>
        <w:t xml:space="preserve"> </w:t>
      </w:r>
    </w:p>
    <w:p w14:paraId="22AF0ADB"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Network planning should support:</w:t>
      </w:r>
    </w:p>
    <w:p w14:paraId="304031AD" w14:textId="77777777" w:rsidR="004650C1" w:rsidRPr="004650C1" w:rsidRDefault="004650C1" w:rsidP="004650C1">
      <w:pPr>
        <w:numPr>
          <w:ilvl w:val="0"/>
          <w:numId w:val="12"/>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Reliable access to online learning materials.</w:t>
      </w:r>
    </w:p>
    <w:p w14:paraId="29BE8394" w14:textId="77777777" w:rsidR="004650C1" w:rsidRPr="004650C1" w:rsidRDefault="004650C1" w:rsidP="004650C1">
      <w:pPr>
        <w:numPr>
          <w:ilvl w:val="0"/>
          <w:numId w:val="12"/>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Compatibility with assistive technologies.</w:t>
      </w:r>
    </w:p>
    <w:p w14:paraId="0CCA946B" w14:textId="77777777" w:rsidR="004650C1" w:rsidRPr="004650C1" w:rsidRDefault="004650C1" w:rsidP="004650C1">
      <w:pPr>
        <w:numPr>
          <w:ilvl w:val="0"/>
          <w:numId w:val="12"/>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Accessible authentication and student portals.</w:t>
      </w:r>
    </w:p>
    <w:p w14:paraId="52AC8391" w14:textId="77777777" w:rsidR="004650C1" w:rsidRPr="004650C1" w:rsidRDefault="004650C1" w:rsidP="004650C1">
      <w:pPr>
        <w:numPr>
          <w:ilvl w:val="0"/>
          <w:numId w:val="12"/>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Captioned or text-supported communications.</w:t>
      </w:r>
    </w:p>
    <w:p w14:paraId="3F404271" w14:textId="77777777" w:rsidR="004650C1" w:rsidRPr="004650C1" w:rsidRDefault="004650C1" w:rsidP="004650C1">
      <w:pPr>
        <w:numPr>
          <w:ilvl w:val="0"/>
          <w:numId w:val="12"/>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Alternative communication channels.</w:t>
      </w:r>
    </w:p>
    <w:p w14:paraId="1F41D10E" w14:textId="77777777" w:rsidR="004650C1" w:rsidRPr="004650C1" w:rsidRDefault="004650C1" w:rsidP="004650C1">
      <w:pPr>
        <w:numPr>
          <w:ilvl w:val="0"/>
          <w:numId w:val="12"/>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Adequate bandwidth for accessibility services.</w:t>
      </w:r>
    </w:p>
    <w:p w14:paraId="3AFDBE0F" w14:textId="77777777" w:rsidR="004650C1" w:rsidRPr="004650C1" w:rsidRDefault="004650C1" w:rsidP="004650C1">
      <w:pPr>
        <w:numPr>
          <w:ilvl w:val="0"/>
          <w:numId w:val="12"/>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Reasonable adjustments for students and staff.</w:t>
      </w:r>
    </w:p>
    <w:p w14:paraId="3371133A" w14:textId="77777777" w:rsidR="004650C1" w:rsidRPr="004650C1" w:rsidRDefault="004650C1" w:rsidP="004650C1">
      <w:pPr>
        <w:numPr>
          <w:ilvl w:val="0"/>
          <w:numId w:val="12"/>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National Relay Service access where required.</w:t>
      </w:r>
    </w:p>
    <w:p w14:paraId="13FB6061"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Network availability alone does not guarantee accessibility. Applications, websites, learning content and user-support procedures must also be accessible.</w:t>
      </w:r>
    </w:p>
    <w:p w14:paraId="2DAD2794" w14:textId="77777777" w:rsidR="004650C1" w:rsidRPr="004650C1" w:rsidRDefault="004650C1" w:rsidP="004650C1">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4650C1">
        <w:rPr>
          <w:rFonts w:ascii="Calibri" w:eastAsia="Times New Roman" w:hAnsi="Calibri" w:cs="Calibri"/>
          <w:b/>
          <w:bCs/>
          <w:color w:val="000000"/>
          <w:kern w:val="0"/>
          <w:sz w:val="36"/>
          <w:szCs w:val="36"/>
          <w:lang w:eastAsia="en-GB"/>
          <w14:ligatures w14:val="none"/>
        </w:rPr>
        <w:t>8. Privacy and Confidentiality</w:t>
      </w:r>
    </w:p>
    <w:p w14:paraId="66D43766"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A-Plus Institute stores information about students, staff, enrolments, assessments and business operations. Where the Privacy Act 1988 applies, the Australian Privacy Principles regulate how this information is collected, used, stored, secured and disclosed.</w:t>
      </w:r>
    </w:p>
    <w:p w14:paraId="765E2DB3" w14:textId="73D001CD"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APP 11 requires applicable organisations to take active measures to protect personal information from misuse, interference, loss and unauthorised access, modification or disclosure. </w:t>
      </w:r>
      <w:r w:rsidRPr="004650C1">
        <w:rPr>
          <w:rFonts w:ascii="Calibri" w:eastAsia="Times New Roman" w:hAnsi="Calibri" w:cs="Calibri"/>
          <w:color w:val="000000"/>
          <w:kern w:val="0"/>
          <w:lang w:eastAsia="en-GB"/>
          <w14:ligatures w14:val="none"/>
        </w:rPr>
        <w:t xml:space="preserve"> </w:t>
      </w:r>
    </w:p>
    <w:p w14:paraId="160C3094" w14:textId="085FF00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 xml:space="preserve">The Network </w:t>
      </w:r>
      <w:r>
        <w:rPr>
          <w:rFonts w:ascii="Calibri" w:eastAsia="Times New Roman" w:hAnsi="Calibri" w:cs="Calibri"/>
          <w:color w:val="000000"/>
          <w:kern w:val="0"/>
          <w:lang w:eastAsia="en-GB"/>
          <w14:ligatures w14:val="none"/>
        </w:rPr>
        <w:t>solution</w:t>
      </w:r>
      <w:r w:rsidRPr="004650C1">
        <w:rPr>
          <w:rFonts w:ascii="Calibri" w:eastAsia="Times New Roman" w:hAnsi="Calibri" w:cs="Calibri"/>
          <w:color w:val="000000"/>
          <w:kern w:val="0"/>
          <w:lang w:eastAsia="en-GB"/>
          <w14:ligatures w14:val="none"/>
        </w:rPr>
        <w:t xml:space="preserve"> privacy controls should include:</w:t>
      </w:r>
    </w:p>
    <w:p w14:paraId="6CB05DAD" w14:textId="77777777" w:rsidR="004650C1" w:rsidRPr="004650C1" w:rsidRDefault="004650C1" w:rsidP="004650C1">
      <w:pPr>
        <w:numPr>
          <w:ilvl w:val="0"/>
          <w:numId w:val="13"/>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Separate user and server network segments.</w:t>
      </w:r>
    </w:p>
    <w:p w14:paraId="4506B3BA" w14:textId="77777777" w:rsidR="004650C1" w:rsidRPr="004650C1" w:rsidRDefault="004650C1" w:rsidP="004650C1">
      <w:pPr>
        <w:numPr>
          <w:ilvl w:val="0"/>
          <w:numId w:val="13"/>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Role-based access.</w:t>
      </w:r>
    </w:p>
    <w:p w14:paraId="2D29C668" w14:textId="77777777" w:rsidR="004650C1" w:rsidRPr="004650C1" w:rsidRDefault="004650C1" w:rsidP="004650C1">
      <w:pPr>
        <w:numPr>
          <w:ilvl w:val="0"/>
          <w:numId w:val="13"/>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Strong passwords and multi-factor authentication where supported.</w:t>
      </w:r>
    </w:p>
    <w:p w14:paraId="36AD4379" w14:textId="77777777" w:rsidR="004650C1" w:rsidRPr="004650C1" w:rsidRDefault="004650C1" w:rsidP="004650C1">
      <w:pPr>
        <w:numPr>
          <w:ilvl w:val="0"/>
          <w:numId w:val="13"/>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Encryption for remote communications.</w:t>
      </w:r>
    </w:p>
    <w:p w14:paraId="30023B92" w14:textId="77777777" w:rsidR="004650C1" w:rsidRPr="004650C1" w:rsidRDefault="004650C1" w:rsidP="004650C1">
      <w:pPr>
        <w:numPr>
          <w:ilvl w:val="0"/>
          <w:numId w:val="13"/>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lastRenderedPageBreak/>
        <w:t>Secure backup storage.</w:t>
      </w:r>
    </w:p>
    <w:p w14:paraId="60B415DF" w14:textId="77777777" w:rsidR="004650C1" w:rsidRPr="004650C1" w:rsidRDefault="004650C1" w:rsidP="004650C1">
      <w:pPr>
        <w:numPr>
          <w:ilvl w:val="0"/>
          <w:numId w:val="13"/>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Restricted administrative access.</w:t>
      </w:r>
    </w:p>
    <w:p w14:paraId="77B7F0F0" w14:textId="77777777" w:rsidR="004650C1" w:rsidRPr="004650C1" w:rsidRDefault="004650C1" w:rsidP="004650C1">
      <w:pPr>
        <w:numPr>
          <w:ilvl w:val="0"/>
          <w:numId w:val="13"/>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Logging and monitoring.</w:t>
      </w:r>
    </w:p>
    <w:p w14:paraId="66A31ABA" w14:textId="77777777" w:rsidR="004650C1" w:rsidRPr="004650C1" w:rsidRDefault="004650C1" w:rsidP="004650C1">
      <w:pPr>
        <w:numPr>
          <w:ilvl w:val="0"/>
          <w:numId w:val="13"/>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Documented retention and deletion periods.</w:t>
      </w:r>
    </w:p>
    <w:p w14:paraId="1A452EDC" w14:textId="77777777" w:rsidR="004650C1" w:rsidRPr="004650C1" w:rsidRDefault="004650C1" w:rsidP="004650C1">
      <w:pPr>
        <w:numPr>
          <w:ilvl w:val="0"/>
          <w:numId w:val="13"/>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Incident-response procedures.</w:t>
      </w:r>
    </w:p>
    <w:p w14:paraId="6B2366DD" w14:textId="77777777" w:rsidR="004650C1" w:rsidRPr="004650C1" w:rsidRDefault="004650C1" w:rsidP="004650C1">
      <w:pPr>
        <w:numPr>
          <w:ilvl w:val="0"/>
          <w:numId w:val="13"/>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Regular access reviews.</w:t>
      </w:r>
    </w:p>
    <w:p w14:paraId="482E2E49" w14:textId="77777777" w:rsidR="004650C1" w:rsidRPr="004650C1" w:rsidRDefault="004650C1" w:rsidP="004650C1">
      <w:pPr>
        <w:numPr>
          <w:ilvl w:val="0"/>
          <w:numId w:val="13"/>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Secure disposal of storage devices.</w:t>
      </w:r>
    </w:p>
    <w:p w14:paraId="2EB2860E" w14:textId="77777777" w:rsidR="004650C1" w:rsidRPr="004650C1" w:rsidRDefault="004650C1" w:rsidP="004650C1">
      <w:pPr>
        <w:numPr>
          <w:ilvl w:val="0"/>
          <w:numId w:val="13"/>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Contractual privacy requirements for service providers.</w:t>
      </w:r>
    </w:p>
    <w:p w14:paraId="11CD9145" w14:textId="04CABD26"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The Notifiable Data Breaches scheme may require notification to affected individuals and the Australian Information Commissioner where an eligible breach is likely to cause serious harm. </w:t>
      </w:r>
      <w:r w:rsidRPr="004650C1">
        <w:rPr>
          <w:rFonts w:ascii="Calibri" w:eastAsia="Times New Roman" w:hAnsi="Calibri" w:cs="Calibri"/>
          <w:color w:val="000000"/>
          <w:kern w:val="0"/>
          <w:lang w:eastAsia="en-GB"/>
          <w14:ligatures w14:val="none"/>
        </w:rPr>
        <w:t xml:space="preserve"> </w:t>
      </w:r>
    </w:p>
    <w:p w14:paraId="164AB0CD" w14:textId="70ECBC84"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Part 13 of the Telecommunications Act imposes additional confidentiality and disclosure requirements on carriers and carriage service providers. These obligations primarily affect 3TTech rather than A-Plus Institute. </w:t>
      </w:r>
      <w:r w:rsidRPr="004650C1">
        <w:rPr>
          <w:rFonts w:ascii="Calibri" w:eastAsia="Times New Roman" w:hAnsi="Calibri" w:cs="Calibri"/>
          <w:color w:val="000000"/>
          <w:kern w:val="0"/>
          <w:lang w:eastAsia="en-GB"/>
          <w14:ligatures w14:val="none"/>
        </w:rPr>
        <w:t xml:space="preserve"> </w:t>
      </w:r>
    </w:p>
    <w:p w14:paraId="4A6D6CCF" w14:textId="77777777" w:rsidR="004650C1" w:rsidRPr="004650C1" w:rsidRDefault="004650C1" w:rsidP="004650C1">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4650C1">
        <w:rPr>
          <w:rFonts w:ascii="Calibri" w:eastAsia="Times New Roman" w:hAnsi="Calibri" w:cs="Calibri"/>
          <w:b/>
          <w:bCs/>
          <w:color w:val="000000"/>
          <w:kern w:val="0"/>
          <w:sz w:val="36"/>
          <w:szCs w:val="36"/>
          <w:lang w:eastAsia="en-GB"/>
          <w14:ligatures w14:val="none"/>
        </w:rPr>
        <w:t>9. Wireless and Radiofrequency Requirements</w:t>
      </w:r>
    </w:p>
    <w:p w14:paraId="62F40DD9"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Wireless equipment must operate within the permitted frequencies, power levels and technical conditions. Wi-Fi devices generally operate under low-interference-potential arrangements.</w:t>
      </w:r>
    </w:p>
    <w:p w14:paraId="47C43711"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A-Plus Institute and its suppliers should:</w:t>
      </w:r>
    </w:p>
    <w:p w14:paraId="4D815CF8" w14:textId="77777777" w:rsidR="004650C1" w:rsidRPr="004650C1" w:rsidRDefault="004650C1" w:rsidP="004650C1">
      <w:pPr>
        <w:numPr>
          <w:ilvl w:val="0"/>
          <w:numId w:val="14"/>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Purchase equipment intended for the Australian market.</w:t>
      </w:r>
    </w:p>
    <w:p w14:paraId="76D86F1B" w14:textId="77777777" w:rsidR="004650C1" w:rsidRPr="004650C1" w:rsidRDefault="004650C1" w:rsidP="004650C1">
      <w:pPr>
        <w:numPr>
          <w:ilvl w:val="0"/>
          <w:numId w:val="14"/>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Verify the Regulatory Compliance Mark or applicable compliance information.</w:t>
      </w:r>
    </w:p>
    <w:p w14:paraId="682B56EB" w14:textId="77777777" w:rsidR="004650C1" w:rsidRPr="004650C1" w:rsidRDefault="004650C1" w:rsidP="004650C1">
      <w:pPr>
        <w:numPr>
          <w:ilvl w:val="0"/>
          <w:numId w:val="14"/>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Configure approved frequencies, channels and power levels.</w:t>
      </w:r>
    </w:p>
    <w:p w14:paraId="61B255CD" w14:textId="77777777" w:rsidR="004650C1" w:rsidRPr="004650C1" w:rsidRDefault="004650C1" w:rsidP="004650C1">
      <w:pPr>
        <w:numPr>
          <w:ilvl w:val="0"/>
          <w:numId w:val="14"/>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Avoid causing interference to licensed services.</w:t>
      </w:r>
    </w:p>
    <w:p w14:paraId="119290E9" w14:textId="77777777" w:rsidR="004650C1" w:rsidRPr="004650C1" w:rsidRDefault="004650C1" w:rsidP="004650C1">
      <w:pPr>
        <w:numPr>
          <w:ilvl w:val="0"/>
          <w:numId w:val="14"/>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Investigate interference identified during the site survey.</w:t>
      </w:r>
    </w:p>
    <w:p w14:paraId="3ECE02A7" w14:textId="77777777" w:rsidR="004650C1" w:rsidRPr="004650C1" w:rsidRDefault="004650C1" w:rsidP="004650C1">
      <w:pPr>
        <w:numPr>
          <w:ilvl w:val="0"/>
          <w:numId w:val="14"/>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Keep firmware and controller software supported.</w:t>
      </w:r>
    </w:p>
    <w:p w14:paraId="00488981" w14:textId="77777777" w:rsidR="004650C1" w:rsidRPr="004650C1" w:rsidRDefault="004650C1" w:rsidP="004650C1">
      <w:pPr>
        <w:numPr>
          <w:ilvl w:val="0"/>
          <w:numId w:val="14"/>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Record wireless settings and access-point locations.</w:t>
      </w:r>
    </w:p>
    <w:p w14:paraId="79CFBC41" w14:textId="4E382478"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Equipment operating under a class licence must not cause harmful interference and may not receive protection from interference. </w:t>
      </w:r>
      <w:r w:rsidRPr="004650C1">
        <w:rPr>
          <w:rFonts w:ascii="Calibri" w:eastAsia="Times New Roman" w:hAnsi="Calibri" w:cs="Calibri"/>
          <w:color w:val="000000"/>
          <w:kern w:val="0"/>
          <w:lang w:eastAsia="en-GB"/>
          <w14:ligatures w14:val="none"/>
        </w:rPr>
        <w:t xml:space="preserve"> </w:t>
      </w:r>
    </w:p>
    <w:p w14:paraId="3175F1C4" w14:textId="77777777" w:rsidR="004650C1" w:rsidRPr="004650C1" w:rsidRDefault="004650C1" w:rsidP="004650C1">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4650C1">
        <w:rPr>
          <w:rFonts w:ascii="Calibri" w:eastAsia="Times New Roman" w:hAnsi="Calibri" w:cs="Calibri"/>
          <w:b/>
          <w:bCs/>
          <w:color w:val="000000"/>
          <w:kern w:val="0"/>
          <w:sz w:val="36"/>
          <w:szCs w:val="36"/>
          <w:lang w:eastAsia="en-GB"/>
          <w14:ligatures w14:val="none"/>
        </w:rPr>
        <w:t>10. Customer Cabling and Installation Standards</w:t>
      </w:r>
    </w:p>
    <w:p w14:paraId="14C8C080" w14:textId="79DEA85B"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Customer cabling work must be performed or appropriately supervised by a registered cabler. The work must comply with AS/CA S009:2020. </w:t>
      </w:r>
      <w:r w:rsidRPr="004650C1">
        <w:rPr>
          <w:rFonts w:ascii="Calibri" w:eastAsia="Times New Roman" w:hAnsi="Calibri" w:cs="Calibri"/>
          <w:color w:val="000000"/>
          <w:kern w:val="0"/>
          <w:lang w:eastAsia="en-GB"/>
          <w14:ligatures w14:val="none"/>
        </w:rPr>
        <w:t xml:space="preserve"> </w:t>
      </w:r>
    </w:p>
    <w:p w14:paraId="748DAF3C" w14:textId="5D80A9A0"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 xml:space="preserve">For Network </w:t>
      </w:r>
      <w:r>
        <w:rPr>
          <w:rFonts w:ascii="Calibri" w:eastAsia="Times New Roman" w:hAnsi="Calibri" w:cs="Calibri"/>
          <w:color w:val="000000"/>
          <w:kern w:val="0"/>
          <w:lang w:eastAsia="en-GB"/>
          <w14:ligatures w14:val="none"/>
        </w:rPr>
        <w:t>solution</w:t>
      </w:r>
      <w:r w:rsidRPr="004650C1">
        <w:rPr>
          <w:rFonts w:ascii="Calibri" w:eastAsia="Times New Roman" w:hAnsi="Calibri" w:cs="Calibri"/>
          <w:color w:val="000000"/>
          <w:kern w:val="0"/>
          <w:lang w:eastAsia="en-GB"/>
          <w14:ligatures w14:val="none"/>
        </w:rPr>
        <w:t>, this applies to:</w:t>
      </w:r>
    </w:p>
    <w:p w14:paraId="7A888E99" w14:textId="77777777" w:rsidR="004650C1" w:rsidRPr="004650C1" w:rsidRDefault="004650C1" w:rsidP="004650C1">
      <w:pPr>
        <w:numPr>
          <w:ilvl w:val="0"/>
          <w:numId w:val="15"/>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The backbone between the five Brisbane levels.</w:t>
      </w:r>
    </w:p>
    <w:p w14:paraId="63D382E2" w14:textId="77777777" w:rsidR="004650C1" w:rsidRPr="004650C1" w:rsidRDefault="004650C1" w:rsidP="004650C1">
      <w:pPr>
        <w:numPr>
          <w:ilvl w:val="0"/>
          <w:numId w:val="15"/>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Access-switch connections.</w:t>
      </w:r>
    </w:p>
    <w:p w14:paraId="44510951" w14:textId="77777777" w:rsidR="004650C1" w:rsidRPr="004650C1" w:rsidRDefault="004650C1" w:rsidP="004650C1">
      <w:pPr>
        <w:numPr>
          <w:ilvl w:val="0"/>
          <w:numId w:val="15"/>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Server-room cabling.</w:t>
      </w:r>
    </w:p>
    <w:p w14:paraId="73DF53DF" w14:textId="77777777" w:rsidR="004650C1" w:rsidRPr="004650C1" w:rsidRDefault="004650C1" w:rsidP="004650C1">
      <w:pPr>
        <w:numPr>
          <w:ilvl w:val="0"/>
          <w:numId w:val="15"/>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Wireless access-point cabling.</w:t>
      </w:r>
    </w:p>
    <w:p w14:paraId="59A17DFB" w14:textId="77777777" w:rsidR="004650C1" w:rsidRPr="004650C1" w:rsidRDefault="004650C1" w:rsidP="004650C1">
      <w:pPr>
        <w:numPr>
          <w:ilvl w:val="0"/>
          <w:numId w:val="15"/>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lastRenderedPageBreak/>
        <w:t>Patch panels and outlets.</w:t>
      </w:r>
    </w:p>
    <w:p w14:paraId="236AFCA6" w14:textId="77777777" w:rsidR="004650C1" w:rsidRPr="004650C1" w:rsidRDefault="004650C1" w:rsidP="004650C1">
      <w:pPr>
        <w:numPr>
          <w:ilvl w:val="0"/>
          <w:numId w:val="15"/>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Fibre and copper pathways.</w:t>
      </w:r>
    </w:p>
    <w:p w14:paraId="5A6B2673" w14:textId="77777777" w:rsidR="004650C1" w:rsidRPr="004650C1" w:rsidRDefault="004650C1" w:rsidP="004650C1">
      <w:pPr>
        <w:numPr>
          <w:ilvl w:val="0"/>
          <w:numId w:val="15"/>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Cabling near electrical services.</w:t>
      </w:r>
    </w:p>
    <w:p w14:paraId="5BAEE1D1" w14:textId="77777777" w:rsidR="004650C1" w:rsidRPr="004650C1" w:rsidRDefault="004650C1" w:rsidP="004650C1">
      <w:pPr>
        <w:numPr>
          <w:ilvl w:val="0"/>
          <w:numId w:val="15"/>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Earthing and bonding.</w:t>
      </w:r>
    </w:p>
    <w:p w14:paraId="5F19F92C" w14:textId="77777777" w:rsidR="004650C1" w:rsidRPr="004650C1" w:rsidRDefault="004650C1" w:rsidP="004650C1">
      <w:pPr>
        <w:numPr>
          <w:ilvl w:val="0"/>
          <w:numId w:val="15"/>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Fire-stopping of penetrations.</w:t>
      </w:r>
    </w:p>
    <w:p w14:paraId="0278FC8F" w14:textId="77777777" w:rsidR="004650C1" w:rsidRPr="004650C1" w:rsidRDefault="004650C1" w:rsidP="004650C1">
      <w:pPr>
        <w:numPr>
          <w:ilvl w:val="0"/>
          <w:numId w:val="15"/>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Labelling and testing.</w:t>
      </w:r>
    </w:p>
    <w:p w14:paraId="767D98D1"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The registered cabler should provide a Telecommunications Cabling Advice form describing the work and confirming compliance.</w:t>
      </w:r>
    </w:p>
    <w:p w14:paraId="4B5C83D6" w14:textId="77777777" w:rsidR="004650C1" w:rsidRPr="004650C1" w:rsidRDefault="004650C1" w:rsidP="004650C1">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4650C1">
        <w:rPr>
          <w:rFonts w:ascii="Calibri" w:eastAsia="Times New Roman" w:hAnsi="Calibri" w:cs="Calibri"/>
          <w:b/>
          <w:bCs/>
          <w:color w:val="000000"/>
          <w:kern w:val="0"/>
          <w:sz w:val="36"/>
          <w:szCs w:val="36"/>
          <w:lang w:eastAsia="en-GB"/>
          <w14:ligatures w14:val="none"/>
        </w:rPr>
        <w:t>11. Workplace and Electrical Safety</w:t>
      </w:r>
    </w:p>
    <w:p w14:paraId="373A8787"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Installation must comply with Queensland workplace health and safety and electrical safety requirements.</w:t>
      </w:r>
    </w:p>
    <w:p w14:paraId="5B6E1744"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Controls should include:</w:t>
      </w:r>
    </w:p>
    <w:p w14:paraId="297F61A6" w14:textId="77777777" w:rsidR="004650C1" w:rsidRPr="004650C1" w:rsidRDefault="004650C1" w:rsidP="004650C1">
      <w:pPr>
        <w:numPr>
          <w:ilvl w:val="0"/>
          <w:numId w:val="16"/>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Authorised site access.</w:t>
      </w:r>
    </w:p>
    <w:p w14:paraId="16D1DDE5" w14:textId="77777777" w:rsidR="004650C1" w:rsidRPr="004650C1" w:rsidRDefault="004650C1" w:rsidP="004650C1">
      <w:pPr>
        <w:numPr>
          <w:ilvl w:val="0"/>
          <w:numId w:val="16"/>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Site induction and sign-in.</w:t>
      </w:r>
    </w:p>
    <w:p w14:paraId="0C3A63B3" w14:textId="77777777" w:rsidR="004650C1" w:rsidRPr="004650C1" w:rsidRDefault="004650C1" w:rsidP="004650C1">
      <w:pPr>
        <w:numPr>
          <w:ilvl w:val="0"/>
          <w:numId w:val="16"/>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Restricted server-room access.</w:t>
      </w:r>
    </w:p>
    <w:p w14:paraId="370F84C6" w14:textId="77777777" w:rsidR="004650C1" w:rsidRPr="004650C1" w:rsidRDefault="004650C1" w:rsidP="004650C1">
      <w:pPr>
        <w:numPr>
          <w:ilvl w:val="0"/>
          <w:numId w:val="16"/>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Safe use of ladders.</w:t>
      </w:r>
    </w:p>
    <w:p w14:paraId="696562FD" w14:textId="77777777" w:rsidR="004650C1" w:rsidRPr="004650C1" w:rsidRDefault="004650C1" w:rsidP="004650C1">
      <w:pPr>
        <w:numPr>
          <w:ilvl w:val="0"/>
          <w:numId w:val="16"/>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Isolation of electrical hazards.</w:t>
      </w:r>
    </w:p>
    <w:p w14:paraId="7193738D" w14:textId="77777777" w:rsidR="004650C1" w:rsidRPr="004650C1" w:rsidRDefault="004650C1" w:rsidP="004650C1">
      <w:pPr>
        <w:numPr>
          <w:ilvl w:val="0"/>
          <w:numId w:val="16"/>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Appropriate personal protective equipment.</w:t>
      </w:r>
    </w:p>
    <w:p w14:paraId="40C4DACA" w14:textId="77777777" w:rsidR="004650C1" w:rsidRPr="004650C1" w:rsidRDefault="004650C1" w:rsidP="004650C1">
      <w:pPr>
        <w:numPr>
          <w:ilvl w:val="0"/>
          <w:numId w:val="16"/>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Cable-path inspection.</w:t>
      </w:r>
    </w:p>
    <w:p w14:paraId="5B0A46E1" w14:textId="77777777" w:rsidR="004650C1" w:rsidRPr="004650C1" w:rsidRDefault="004650C1" w:rsidP="004650C1">
      <w:pPr>
        <w:numPr>
          <w:ilvl w:val="0"/>
          <w:numId w:val="16"/>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Safe manual handling.</w:t>
      </w:r>
    </w:p>
    <w:p w14:paraId="344E1B3A" w14:textId="77777777" w:rsidR="004650C1" w:rsidRPr="004650C1" w:rsidRDefault="004650C1" w:rsidP="004650C1">
      <w:pPr>
        <w:numPr>
          <w:ilvl w:val="0"/>
          <w:numId w:val="16"/>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Management of trip hazards.</w:t>
      </w:r>
    </w:p>
    <w:p w14:paraId="337752B8" w14:textId="77777777" w:rsidR="004650C1" w:rsidRPr="004650C1" w:rsidRDefault="004650C1" w:rsidP="004650C1">
      <w:pPr>
        <w:numPr>
          <w:ilvl w:val="0"/>
          <w:numId w:val="16"/>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Protection of students and staff during work.</w:t>
      </w:r>
    </w:p>
    <w:p w14:paraId="03AD1DBC" w14:textId="77777777" w:rsidR="004650C1" w:rsidRPr="004650C1" w:rsidRDefault="004650C1" w:rsidP="004650C1">
      <w:pPr>
        <w:numPr>
          <w:ilvl w:val="0"/>
          <w:numId w:val="16"/>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Emergency and incident procedures.</w:t>
      </w:r>
    </w:p>
    <w:p w14:paraId="235A7450" w14:textId="508B206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Queensland’s electrical safety framework includes the Electrical Safety Act 2002, current Electrical Safety Regulation and relevant codes of practice. </w:t>
      </w:r>
      <w:r w:rsidRPr="004650C1">
        <w:rPr>
          <w:rFonts w:ascii="Calibri" w:eastAsia="Times New Roman" w:hAnsi="Calibri" w:cs="Calibri"/>
          <w:color w:val="000000"/>
          <w:kern w:val="0"/>
          <w:lang w:eastAsia="en-GB"/>
          <w14:ligatures w14:val="none"/>
        </w:rPr>
        <w:t xml:space="preserve"> </w:t>
      </w:r>
    </w:p>
    <w:p w14:paraId="602CF1AF" w14:textId="77777777" w:rsidR="004650C1" w:rsidRPr="004650C1" w:rsidRDefault="004650C1" w:rsidP="004650C1">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4650C1">
        <w:rPr>
          <w:rFonts w:ascii="Calibri" w:eastAsia="Times New Roman" w:hAnsi="Calibri" w:cs="Calibri"/>
          <w:b/>
          <w:bCs/>
          <w:color w:val="000000"/>
          <w:kern w:val="0"/>
          <w:sz w:val="36"/>
          <w:szCs w:val="36"/>
          <w:lang w:eastAsia="en-GB"/>
          <w14:ligatures w14:val="none"/>
        </w:rPr>
        <w:t>12. Impact on the Network Planning Process</w:t>
      </w:r>
    </w:p>
    <w:tbl>
      <w:tblPr>
        <w:tblStyle w:val="TableGrid"/>
        <w:tblW w:w="0" w:type="auto"/>
        <w:tblLook w:val="04A0" w:firstRow="1" w:lastRow="0" w:firstColumn="1" w:lastColumn="0" w:noHBand="0" w:noVBand="1"/>
      </w:tblPr>
      <w:tblGrid>
        <w:gridCol w:w="1882"/>
        <w:gridCol w:w="3752"/>
        <w:gridCol w:w="3382"/>
      </w:tblGrid>
      <w:tr w:rsidR="004650C1" w:rsidRPr="004650C1" w14:paraId="07189BE8" w14:textId="77777777" w:rsidTr="004650C1">
        <w:tc>
          <w:tcPr>
            <w:tcW w:w="0" w:type="auto"/>
            <w:hideMark/>
          </w:tcPr>
          <w:p w14:paraId="3740B17F" w14:textId="77777777" w:rsidR="004650C1" w:rsidRPr="004650C1" w:rsidRDefault="004650C1" w:rsidP="004650C1">
            <w:pPr>
              <w:spacing w:beforeAutospacing="0"/>
              <w:ind w:left="0" w:firstLine="0"/>
              <w:jc w:val="center"/>
              <w:rPr>
                <w:rFonts w:ascii="Calibri" w:eastAsia="Times New Roman" w:hAnsi="Calibri" w:cs="Calibri"/>
                <w:b/>
                <w:bCs/>
                <w:kern w:val="0"/>
                <w:lang w:eastAsia="en-GB"/>
                <w14:ligatures w14:val="none"/>
              </w:rPr>
            </w:pPr>
            <w:r w:rsidRPr="004650C1">
              <w:rPr>
                <w:rFonts w:ascii="Calibri" w:eastAsia="Times New Roman" w:hAnsi="Calibri" w:cs="Calibri"/>
                <w:b/>
                <w:bCs/>
                <w:kern w:val="0"/>
                <w:lang w:eastAsia="en-GB"/>
                <w14:ligatures w14:val="none"/>
              </w:rPr>
              <w:t>Planning stage</w:t>
            </w:r>
          </w:p>
        </w:tc>
        <w:tc>
          <w:tcPr>
            <w:tcW w:w="0" w:type="auto"/>
            <w:hideMark/>
          </w:tcPr>
          <w:p w14:paraId="47E636B1" w14:textId="77777777" w:rsidR="004650C1" w:rsidRPr="004650C1" w:rsidRDefault="004650C1" w:rsidP="004650C1">
            <w:pPr>
              <w:spacing w:beforeAutospacing="0"/>
              <w:ind w:left="0" w:firstLine="0"/>
              <w:jc w:val="center"/>
              <w:rPr>
                <w:rFonts w:ascii="Calibri" w:eastAsia="Times New Roman" w:hAnsi="Calibri" w:cs="Calibri"/>
                <w:b/>
                <w:bCs/>
                <w:kern w:val="0"/>
                <w:lang w:eastAsia="en-GB"/>
                <w14:ligatures w14:val="none"/>
              </w:rPr>
            </w:pPr>
            <w:r w:rsidRPr="004650C1">
              <w:rPr>
                <w:rFonts w:ascii="Calibri" w:eastAsia="Times New Roman" w:hAnsi="Calibri" w:cs="Calibri"/>
                <w:b/>
                <w:bCs/>
                <w:kern w:val="0"/>
                <w:lang w:eastAsia="en-GB"/>
                <w14:ligatures w14:val="none"/>
              </w:rPr>
              <w:t>Regulatory impact</w:t>
            </w:r>
          </w:p>
        </w:tc>
        <w:tc>
          <w:tcPr>
            <w:tcW w:w="0" w:type="auto"/>
            <w:hideMark/>
          </w:tcPr>
          <w:p w14:paraId="65CD112B" w14:textId="77777777" w:rsidR="004650C1" w:rsidRPr="004650C1" w:rsidRDefault="004650C1" w:rsidP="004650C1">
            <w:pPr>
              <w:spacing w:beforeAutospacing="0"/>
              <w:ind w:left="0" w:firstLine="0"/>
              <w:jc w:val="center"/>
              <w:rPr>
                <w:rFonts w:ascii="Calibri" w:eastAsia="Times New Roman" w:hAnsi="Calibri" w:cs="Calibri"/>
                <w:b/>
                <w:bCs/>
                <w:kern w:val="0"/>
                <w:lang w:eastAsia="en-GB"/>
                <w14:ligatures w14:val="none"/>
              </w:rPr>
            </w:pPr>
            <w:r w:rsidRPr="004650C1">
              <w:rPr>
                <w:rFonts w:ascii="Calibri" w:eastAsia="Times New Roman" w:hAnsi="Calibri" w:cs="Calibri"/>
                <w:b/>
                <w:bCs/>
                <w:kern w:val="0"/>
                <w:lang w:eastAsia="en-GB"/>
                <w14:ligatures w14:val="none"/>
              </w:rPr>
              <w:t>Required evidence</w:t>
            </w:r>
          </w:p>
        </w:tc>
      </w:tr>
      <w:tr w:rsidR="004650C1" w:rsidRPr="004650C1" w14:paraId="5CB40E91" w14:textId="77777777" w:rsidTr="004650C1">
        <w:tc>
          <w:tcPr>
            <w:tcW w:w="0" w:type="auto"/>
            <w:hideMark/>
          </w:tcPr>
          <w:p w14:paraId="5621BB5E"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Feasibility</w:t>
            </w:r>
          </w:p>
        </w:tc>
        <w:tc>
          <w:tcPr>
            <w:tcW w:w="0" w:type="auto"/>
            <w:hideMark/>
          </w:tcPr>
          <w:p w14:paraId="671DE5CE"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Confirm carrier status, coverage, SIP area and service availability</w:t>
            </w:r>
          </w:p>
        </w:tc>
        <w:tc>
          <w:tcPr>
            <w:tcW w:w="0" w:type="auto"/>
            <w:hideMark/>
          </w:tcPr>
          <w:p w14:paraId="0105F5D1"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Carrier confirmation and coverage results</w:t>
            </w:r>
          </w:p>
        </w:tc>
      </w:tr>
      <w:tr w:rsidR="004650C1" w:rsidRPr="004650C1" w14:paraId="20D20D49" w14:textId="77777777" w:rsidTr="004650C1">
        <w:tc>
          <w:tcPr>
            <w:tcW w:w="0" w:type="auto"/>
            <w:hideMark/>
          </w:tcPr>
          <w:p w14:paraId="029FC100"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Site survey</w:t>
            </w:r>
          </w:p>
        </w:tc>
        <w:tc>
          <w:tcPr>
            <w:tcW w:w="0" w:type="auto"/>
            <w:hideMark/>
          </w:tcPr>
          <w:p w14:paraId="45BBC04B"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Comply with access, privacy, WHS and photography restrictions</w:t>
            </w:r>
          </w:p>
        </w:tc>
        <w:tc>
          <w:tcPr>
            <w:tcW w:w="0" w:type="auto"/>
            <w:hideMark/>
          </w:tcPr>
          <w:p w14:paraId="4ECCC5EE"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Access approval, induction and survey record</w:t>
            </w:r>
          </w:p>
        </w:tc>
      </w:tr>
      <w:tr w:rsidR="004650C1" w:rsidRPr="004650C1" w14:paraId="354FA915" w14:textId="77777777" w:rsidTr="004650C1">
        <w:tc>
          <w:tcPr>
            <w:tcW w:w="0" w:type="auto"/>
            <w:hideMark/>
          </w:tcPr>
          <w:p w14:paraId="35546A7C"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Design</w:t>
            </w:r>
          </w:p>
        </w:tc>
        <w:tc>
          <w:tcPr>
            <w:tcW w:w="0" w:type="auto"/>
            <w:hideMark/>
          </w:tcPr>
          <w:p w14:paraId="0285DD09"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Include security, privacy, accessibility and compliant wireless operation</w:t>
            </w:r>
          </w:p>
        </w:tc>
        <w:tc>
          <w:tcPr>
            <w:tcW w:w="0" w:type="auto"/>
            <w:hideMark/>
          </w:tcPr>
          <w:p w14:paraId="647D4868"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Network diagram, security design and accessibility review</w:t>
            </w:r>
          </w:p>
        </w:tc>
      </w:tr>
      <w:tr w:rsidR="004650C1" w:rsidRPr="004650C1" w14:paraId="549843BB" w14:textId="77777777" w:rsidTr="004650C1">
        <w:tc>
          <w:tcPr>
            <w:tcW w:w="0" w:type="auto"/>
            <w:hideMark/>
          </w:tcPr>
          <w:p w14:paraId="4C16594E"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Procurement</w:t>
            </w:r>
          </w:p>
        </w:tc>
        <w:tc>
          <w:tcPr>
            <w:tcW w:w="0" w:type="auto"/>
            <w:hideMark/>
          </w:tcPr>
          <w:p w14:paraId="106CD48A"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Purchase compliant and supported equipment</w:t>
            </w:r>
          </w:p>
        </w:tc>
        <w:tc>
          <w:tcPr>
            <w:tcW w:w="0" w:type="auto"/>
            <w:hideMark/>
          </w:tcPr>
          <w:p w14:paraId="3A226562"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Vendor specifications and RCM information</w:t>
            </w:r>
          </w:p>
        </w:tc>
      </w:tr>
      <w:tr w:rsidR="004650C1" w:rsidRPr="004650C1" w14:paraId="44AAAD94" w14:textId="77777777" w:rsidTr="004650C1">
        <w:tc>
          <w:tcPr>
            <w:tcW w:w="0" w:type="auto"/>
            <w:hideMark/>
          </w:tcPr>
          <w:p w14:paraId="706B42AF"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Cabling</w:t>
            </w:r>
          </w:p>
        </w:tc>
        <w:tc>
          <w:tcPr>
            <w:tcW w:w="0" w:type="auto"/>
            <w:hideMark/>
          </w:tcPr>
          <w:p w14:paraId="5DEA270A"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Use registered cablers and AS/CA S009:2020</w:t>
            </w:r>
          </w:p>
        </w:tc>
        <w:tc>
          <w:tcPr>
            <w:tcW w:w="0" w:type="auto"/>
            <w:hideMark/>
          </w:tcPr>
          <w:p w14:paraId="7AE88106"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Cabler registration, test results and TCA form</w:t>
            </w:r>
          </w:p>
        </w:tc>
      </w:tr>
      <w:tr w:rsidR="004650C1" w:rsidRPr="004650C1" w14:paraId="28C56F54" w14:textId="77777777" w:rsidTr="004650C1">
        <w:tc>
          <w:tcPr>
            <w:tcW w:w="0" w:type="auto"/>
            <w:hideMark/>
          </w:tcPr>
          <w:p w14:paraId="62D1DDE8"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lastRenderedPageBreak/>
              <w:t>Carrier installation</w:t>
            </w:r>
          </w:p>
        </w:tc>
        <w:tc>
          <w:tcPr>
            <w:tcW w:w="0" w:type="auto"/>
            <w:hideMark/>
          </w:tcPr>
          <w:p w14:paraId="283AF0A3"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Classify facilities and complete notice and approval processes</w:t>
            </w:r>
          </w:p>
        </w:tc>
        <w:tc>
          <w:tcPr>
            <w:tcW w:w="0" w:type="auto"/>
            <w:hideMark/>
          </w:tcPr>
          <w:p w14:paraId="782E7182"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Notices, permits and property approvals</w:t>
            </w:r>
          </w:p>
        </w:tc>
      </w:tr>
      <w:tr w:rsidR="004650C1" w:rsidRPr="004650C1" w14:paraId="4BC31DE3" w14:textId="77777777" w:rsidTr="004650C1">
        <w:tc>
          <w:tcPr>
            <w:tcW w:w="0" w:type="auto"/>
            <w:hideMark/>
          </w:tcPr>
          <w:p w14:paraId="394CC0F5"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Implementation</w:t>
            </w:r>
          </w:p>
        </w:tc>
        <w:tc>
          <w:tcPr>
            <w:tcW w:w="0" w:type="auto"/>
            <w:hideMark/>
          </w:tcPr>
          <w:p w14:paraId="50934FDE"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Protect users and minimise disruption</w:t>
            </w:r>
          </w:p>
        </w:tc>
        <w:tc>
          <w:tcPr>
            <w:tcW w:w="0" w:type="auto"/>
            <w:hideMark/>
          </w:tcPr>
          <w:p w14:paraId="3E6BE1D2"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Implementation and rollback plans</w:t>
            </w:r>
          </w:p>
        </w:tc>
      </w:tr>
      <w:tr w:rsidR="004650C1" w:rsidRPr="004650C1" w14:paraId="1C0FAB55" w14:textId="77777777" w:rsidTr="004650C1">
        <w:tc>
          <w:tcPr>
            <w:tcW w:w="0" w:type="auto"/>
            <w:hideMark/>
          </w:tcPr>
          <w:p w14:paraId="175E7D30"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Testing</w:t>
            </w:r>
          </w:p>
        </w:tc>
        <w:tc>
          <w:tcPr>
            <w:tcW w:w="0" w:type="auto"/>
            <w:hideMark/>
          </w:tcPr>
          <w:p w14:paraId="1EF5473F"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Confirm connectivity, security, wireless performance and failover</w:t>
            </w:r>
          </w:p>
        </w:tc>
        <w:tc>
          <w:tcPr>
            <w:tcW w:w="0" w:type="auto"/>
            <w:hideMark/>
          </w:tcPr>
          <w:p w14:paraId="42BB0731"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Test plan and results</w:t>
            </w:r>
          </w:p>
        </w:tc>
      </w:tr>
      <w:tr w:rsidR="004650C1" w:rsidRPr="004650C1" w14:paraId="2970F66D" w14:textId="77777777" w:rsidTr="004650C1">
        <w:tc>
          <w:tcPr>
            <w:tcW w:w="0" w:type="auto"/>
            <w:hideMark/>
          </w:tcPr>
          <w:p w14:paraId="202CAF20"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Operation</w:t>
            </w:r>
          </w:p>
        </w:tc>
        <w:tc>
          <w:tcPr>
            <w:tcW w:w="0" w:type="auto"/>
            <w:hideMark/>
          </w:tcPr>
          <w:p w14:paraId="6D4730E5"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Monitor performance, privacy, incidents and configuration changes</w:t>
            </w:r>
          </w:p>
        </w:tc>
        <w:tc>
          <w:tcPr>
            <w:tcW w:w="0" w:type="auto"/>
            <w:hideMark/>
          </w:tcPr>
          <w:p w14:paraId="5F2BABF6"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Logs, monitoring reports and review records</w:t>
            </w:r>
          </w:p>
        </w:tc>
      </w:tr>
      <w:tr w:rsidR="004650C1" w:rsidRPr="004650C1" w14:paraId="56EF2381" w14:textId="77777777" w:rsidTr="004650C1">
        <w:tc>
          <w:tcPr>
            <w:tcW w:w="0" w:type="auto"/>
            <w:hideMark/>
          </w:tcPr>
          <w:p w14:paraId="6DAA8950"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Incident response</w:t>
            </w:r>
          </w:p>
        </w:tc>
        <w:tc>
          <w:tcPr>
            <w:tcW w:w="0" w:type="auto"/>
            <w:hideMark/>
          </w:tcPr>
          <w:p w14:paraId="4262BA79"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Assess privacy breaches, outages and reportable incidents</w:t>
            </w:r>
          </w:p>
        </w:tc>
        <w:tc>
          <w:tcPr>
            <w:tcW w:w="0" w:type="auto"/>
            <w:hideMark/>
          </w:tcPr>
          <w:p w14:paraId="609889E6"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Incident register and notifications</w:t>
            </w:r>
          </w:p>
        </w:tc>
      </w:tr>
      <w:tr w:rsidR="004650C1" w:rsidRPr="004650C1" w14:paraId="4A9B73BB" w14:textId="77777777" w:rsidTr="004650C1">
        <w:tc>
          <w:tcPr>
            <w:tcW w:w="0" w:type="auto"/>
            <w:hideMark/>
          </w:tcPr>
          <w:p w14:paraId="2F31FBBC"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Review</w:t>
            </w:r>
          </w:p>
        </w:tc>
        <w:tc>
          <w:tcPr>
            <w:tcW w:w="0" w:type="auto"/>
            <w:hideMark/>
          </w:tcPr>
          <w:p w14:paraId="2B93160B"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Keep legislation and standards current</w:t>
            </w:r>
          </w:p>
        </w:tc>
        <w:tc>
          <w:tcPr>
            <w:tcW w:w="0" w:type="auto"/>
            <w:hideMark/>
          </w:tcPr>
          <w:p w14:paraId="44C1670F" w14:textId="77777777" w:rsidR="004650C1" w:rsidRPr="004650C1" w:rsidRDefault="004650C1" w:rsidP="004650C1">
            <w:pPr>
              <w:spacing w:beforeAutospacing="0"/>
              <w:ind w:left="0" w:firstLine="0"/>
              <w:rPr>
                <w:rFonts w:ascii="Calibri" w:eastAsia="Times New Roman" w:hAnsi="Calibri" w:cs="Calibri"/>
                <w:kern w:val="0"/>
                <w:lang w:eastAsia="en-GB"/>
                <w14:ligatures w14:val="none"/>
              </w:rPr>
            </w:pPr>
            <w:r w:rsidRPr="004650C1">
              <w:rPr>
                <w:rFonts w:ascii="Calibri" w:eastAsia="Times New Roman" w:hAnsi="Calibri" w:cs="Calibri"/>
                <w:kern w:val="0"/>
                <w:lang w:eastAsia="en-GB"/>
                <w14:ligatures w14:val="none"/>
              </w:rPr>
              <w:t>Annual compliance-review record</w:t>
            </w:r>
          </w:p>
        </w:tc>
      </w:tr>
    </w:tbl>
    <w:p w14:paraId="48B39923" w14:textId="77777777" w:rsidR="004650C1" w:rsidRPr="004650C1" w:rsidRDefault="004650C1" w:rsidP="004650C1">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4650C1">
        <w:rPr>
          <w:rFonts w:ascii="Calibri" w:eastAsia="Times New Roman" w:hAnsi="Calibri" w:cs="Calibri"/>
          <w:b/>
          <w:bCs/>
          <w:color w:val="000000"/>
          <w:kern w:val="0"/>
          <w:sz w:val="36"/>
          <w:szCs w:val="36"/>
          <w:lang w:eastAsia="en-GB"/>
          <w14:ligatures w14:val="none"/>
        </w:rPr>
        <w:t>13. Compliance Recommendations</w:t>
      </w:r>
    </w:p>
    <w:p w14:paraId="2D06A324"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A-Plus Institute should:</w:t>
      </w:r>
    </w:p>
    <w:p w14:paraId="72AD643B" w14:textId="77777777" w:rsidR="004650C1" w:rsidRPr="004650C1" w:rsidRDefault="004650C1" w:rsidP="004650C1">
      <w:pPr>
        <w:numPr>
          <w:ilvl w:val="0"/>
          <w:numId w:val="17"/>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Confirm 3TTech’s carrier or carriage service provider status.</w:t>
      </w:r>
    </w:p>
    <w:p w14:paraId="00EB2891" w14:textId="77777777" w:rsidR="004650C1" w:rsidRPr="004650C1" w:rsidRDefault="004650C1" w:rsidP="004650C1">
      <w:pPr>
        <w:numPr>
          <w:ilvl w:val="0"/>
          <w:numId w:val="17"/>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Obtain written confirmation of the relevant Rookwood SIP and access technology.</w:t>
      </w:r>
    </w:p>
    <w:p w14:paraId="58800330" w14:textId="77777777" w:rsidR="004650C1" w:rsidRPr="004650C1" w:rsidRDefault="004650C1" w:rsidP="004650C1">
      <w:pPr>
        <w:numPr>
          <w:ilvl w:val="0"/>
          <w:numId w:val="17"/>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Verify that 3TTech follows the required property-access and notification process.</w:t>
      </w:r>
    </w:p>
    <w:p w14:paraId="42073157" w14:textId="77777777" w:rsidR="004650C1" w:rsidRPr="004650C1" w:rsidRDefault="004650C1" w:rsidP="004650C1">
      <w:pPr>
        <w:numPr>
          <w:ilvl w:val="0"/>
          <w:numId w:val="17"/>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Use registered cablers for all fixed customer cabling.</w:t>
      </w:r>
    </w:p>
    <w:p w14:paraId="28FCA0F0" w14:textId="77777777" w:rsidR="004650C1" w:rsidRPr="004650C1" w:rsidRDefault="004650C1" w:rsidP="004650C1">
      <w:pPr>
        <w:numPr>
          <w:ilvl w:val="0"/>
          <w:numId w:val="17"/>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Obtain cabling compliance, labelling and test records.</w:t>
      </w:r>
    </w:p>
    <w:p w14:paraId="7EB6D1DA" w14:textId="77777777" w:rsidR="004650C1" w:rsidRPr="004650C1" w:rsidRDefault="004650C1" w:rsidP="004650C1">
      <w:pPr>
        <w:numPr>
          <w:ilvl w:val="0"/>
          <w:numId w:val="17"/>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Purchase Australian-compliant wireless and networking equipment.</w:t>
      </w:r>
    </w:p>
    <w:p w14:paraId="469DA104" w14:textId="77777777" w:rsidR="004650C1" w:rsidRPr="004650C1" w:rsidRDefault="004650C1" w:rsidP="004650C1">
      <w:pPr>
        <w:numPr>
          <w:ilvl w:val="0"/>
          <w:numId w:val="17"/>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Maintain the Network 3 segmentation, access controls, logging and VPN security.</w:t>
      </w:r>
    </w:p>
    <w:p w14:paraId="2836E3DB" w14:textId="77777777" w:rsidR="004650C1" w:rsidRPr="004650C1" w:rsidRDefault="004650C1" w:rsidP="004650C1">
      <w:pPr>
        <w:numPr>
          <w:ilvl w:val="0"/>
          <w:numId w:val="17"/>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Complete a privacy impact and data-retention review.</w:t>
      </w:r>
    </w:p>
    <w:p w14:paraId="5CD01462" w14:textId="77777777" w:rsidR="004650C1" w:rsidRPr="004650C1" w:rsidRDefault="004650C1" w:rsidP="004650C1">
      <w:pPr>
        <w:numPr>
          <w:ilvl w:val="0"/>
          <w:numId w:val="17"/>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Establish an incident and eligible-data-breach response procedure.</w:t>
      </w:r>
    </w:p>
    <w:p w14:paraId="35AAECE9" w14:textId="77777777" w:rsidR="004650C1" w:rsidRPr="004650C1" w:rsidRDefault="004650C1" w:rsidP="004650C1">
      <w:pPr>
        <w:numPr>
          <w:ilvl w:val="0"/>
          <w:numId w:val="17"/>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Review online systems for accessibility and reasonable adjustments.</w:t>
      </w:r>
    </w:p>
    <w:p w14:paraId="794F8367" w14:textId="77777777" w:rsidR="004650C1" w:rsidRPr="004650C1" w:rsidRDefault="004650C1" w:rsidP="004650C1">
      <w:pPr>
        <w:numPr>
          <w:ilvl w:val="0"/>
          <w:numId w:val="17"/>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Include service levels, privacy, security and outage notification in the ISP contract.</w:t>
      </w:r>
    </w:p>
    <w:p w14:paraId="7A7101AC" w14:textId="77777777" w:rsidR="004650C1" w:rsidRPr="004650C1" w:rsidRDefault="004650C1" w:rsidP="004650C1">
      <w:pPr>
        <w:numPr>
          <w:ilvl w:val="0"/>
          <w:numId w:val="17"/>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Review applicable legislation before major network changes.</w:t>
      </w:r>
    </w:p>
    <w:p w14:paraId="5C5A1C0B" w14:textId="77777777" w:rsidR="004650C1" w:rsidRPr="004650C1" w:rsidRDefault="004650C1" w:rsidP="004650C1">
      <w:pPr>
        <w:numPr>
          <w:ilvl w:val="0"/>
          <w:numId w:val="17"/>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Retain all approvals, test results, notices and signed client decisions in the project evidence folder.</w:t>
      </w:r>
    </w:p>
    <w:p w14:paraId="07F2B5E1" w14:textId="77777777" w:rsidR="004650C1" w:rsidRPr="004650C1" w:rsidRDefault="004650C1" w:rsidP="004650C1">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4650C1">
        <w:rPr>
          <w:rFonts w:ascii="Calibri" w:eastAsia="Times New Roman" w:hAnsi="Calibri" w:cs="Calibri"/>
          <w:b/>
          <w:bCs/>
          <w:color w:val="000000"/>
          <w:kern w:val="0"/>
          <w:sz w:val="36"/>
          <w:szCs w:val="36"/>
          <w:lang w:eastAsia="en-GB"/>
          <w14:ligatures w14:val="none"/>
        </w:rPr>
        <w:t>14. Conclusion</w:t>
      </w:r>
    </w:p>
    <w:p w14:paraId="05383117"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Australian telecommunications legislation affects every stage of the A-Plus Institute project, from feasibility and carrier access to cabling, wireless configuration, privacy, security and service availability.</w:t>
      </w:r>
    </w:p>
    <w:p w14:paraId="57BFE33F"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3TTech holds the principal carrier-related obligations for the proposed Rookwood access network. A-Plus Institute remains responsible for ensuring that its private network, procurement, student information, workplace activities and educational services meet the applicable requirements.</w:t>
      </w:r>
    </w:p>
    <w:p w14:paraId="777DC1F3"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 xml:space="preserve">The Network 3 design is consistent with the main regulatory objectives because it includes redundancy, segmentation, managed wireless infrastructure, protected central services, monitoring and an encrypted VPN. Final implementation should proceed only after carrier </w:t>
      </w:r>
      <w:r w:rsidRPr="004650C1">
        <w:rPr>
          <w:rFonts w:ascii="Calibri" w:eastAsia="Times New Roman" w:hAnsi="Calibri" w:cs="Calibri"/>
          <w:color w:val="000000"/>
          <w:kern w:val="0"/>
          <w:lang w:eastAsia="en-GB"/>
          <w14:ligatures w14:val="none"/>
        </w:rPr>
        <w:lastRenderedPageBreak/>
        <w:t>availability, property access, cabling compliance, privacy, security and accessibility checks have been documented.</w:t>
      </w:r>
    </w:p>
    <w:p w14:paraId="2E866DDB" w14:textId="77777777"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This report is an operational compliance assessment. Formal legal interpretations should be confirmed by an appropriately qualified adviser when required.</w:t>
      </w:r>
    </w:p>
    <w:p w14:paraId="763137A8" w14:textId="77777777" w:rsidR="004650C1" w:rsidRPr="004650C1" w:rsidRDefault="004650C1" w:rsidP="004650C1">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4650C1">
        <w:rPr>
          <w:rFonts w:ascii="Calibri" w:eastAsia="Times New Roman" w:hAnsi="Calibri" w:cs="Calibri"/>
          <w:b/>
          <w:bCs/>
          <w:color w:val="000000"/>
          <w:kern w:val="0"/>
          <w:sz w:val="36"/>
          <w:szCs w:val="36"/>
          <w:lang w:eastAsia="en-GB"/>
          <w14:ligatures w14:val="none"/>
        </w:rPr>
        <w:t>15. Official References</w:t>
      </w:r>
    </w:p>
    <w:p w14:paraId="593124B6" w14:textId="77777777" w:rsidR="004650C1" w:rsidRPr="004650C1" w:rsidRDefault="004650C1" w:rsidP="004650C1">
      <w:pPr>
        <w:numPr>
          <w:ilvl w:val="0"/>
          <w:numId w:val="18"/>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Australian Communications and Media Authority, </w:t>
      </w:r>
      <w:hyperlink r:id="rId5" w:tgtFrame="_new" w:history="1">
        <w:r w:rsidRPr="004650C1">
          <w:rPr>
            <w:rFonts w:ascii="Calibri" w:eastAsia="Times New Roman" w:hAnsi="Calibri" w:cs="Calibri"/>
            <w:color w:val="0000FF"/>
            <w:kern w:val="0"/>
            <w:u w:val="single"/>
            <w:lang w:eastAsia="en-GB"/>
            <w14:ligatures w14:val="none"/>
          </w:rPr>
          <w:t>About carriers and carriage service providers</w:t>
        </w:r>
      </w:hyperlink>
      <w:r w:rsidRPr="004650C1">
        <w:rPr>
          <w:rFonts w:ascii="Calibri" w:eastAsia="Times New Roman" w:hAnsi="Calibri" w:cs="Calibri"/>
          <w:color w:val="000000"/>
          <w:kern w:val="0"/>
          <w:lang w:eastAsia="en-GB"/>
          <w14:ligatures w14:val="none"/>
        </w:rPr>
        <w:t>.</w:t>
      </w:r>
    </w:p>
    <w:p w14:paraId="4D5A3D8C" w14:textId="77777777" w:rsidR="004650C1" w:rsidRPr="004650C1" w:rsidRDefault="004650C1" w:rsidP="004650C1">
      <w:pPr>
        <w:numPr>
          <w:ilvl w:val="0"/>
          <w:numId w:val="18"/>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Australian Communications and Media Authority, </w:t>
      </w:r>
      <w:hyperlink r:id="rId6" w:tgtFrame="_new" w:history="1">
        <w:r w:rsidRPr="004650C1">
          <w:rPr>
            <w:rFonts w:ascii="Calibri" w:eastAsia="Times New Roman" w:hAnsi="Calibri" w:cs="Calibri"/>
            <w:color w:val="0000FF"/>
            <w:kern w:val="0"/>
            <w:u w:val="single"/>
            <w:lang w:eastAsia="en-GB"/>
            <w14:ligatures w14:val="none"/>
          </w:rPr>
          <w:t>Property access rules for telcos</w:t>
        </w:r>
      </w:hyperlink>
      <w:r w:rsidRPr="004650C1">
        <w:rPr>
          <w:rFonts w:ascii="Calibri" w:eastAsia="Times New Roman" w:hAnsi="Calibri" w:cs="Calibri"/>
          <w:color w:val="000000"/>
          <w:kern w:val="0"/>
          <w:lang w:eastAsia="en-GB"/>
          <w14:ligatures w14:val="none"/>
        </w:rPr>
        <w:t>.</w:t>
      </w:r>
    </w:p>
    <w:p w14:paraId="19F7FF20" w14:textId="77777777" w:rsidR="004650C1" w:rsidRPr="004650C1" w:rsidRDefault="004650C1" w:rsidP="004650C1">
      <w:pPr>
        <w:numPr>
          <w:ilvl w:val="0"/>
          <w:numId w:val="18"/>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Australian Communications and Media Authority, </w:t>
      </w:r>
      <w:hyperlink r:id="rId7" w:tgtFrame="_new" w:history="1">
        <w:r w:rsidRPr="004650C1">
          <w:rPr>
            <w:rFonts w:ascii="Calibri" w:eastAsia="Times New Roman" w:hAnsi="Calibri" w:cs="Calibri"/>
            <w:color w:val="0000FF"/>
            <w:kern w:val="0"/>
            <w:u w:val="single"/>
            <w:lang w:eastAsia="en-GB"/>
            <w14:ligatures w14:val="none"/>
          </w:rPr>
          <w:t>Cabling Provider Rules</w:t>
        </w:r>
      </w:hyperlink>
      <w:r w:rsidRPr="004650C1">
        <w:rPr>
          <w:rFonts w:ascii="Calibri" w:eastAsia="Times New Roman" w:hAnsi="Calibri" w:cs="Calibri"/>
          <w:color w:val="000000"/>
          <w:kern w:val="0"/>
          <w:lang w:eastAsia="en-GB"/>
          <w14:ligatures w14:val="none"/>
        </w:rPr>
        <w:t>.</w:t>
      </w:r>
    </w:p>
    <w:p w14:paraId="5A032B3E" w14:textId="77777777" w:rsidR="004650C1" w:rsidRPr="004650C1" w:rsidRDefault="004650C1" w:rsidP="004650C1">
      <w:pPr>
        <w:numPr>
          <w:ilvl w:val="0"/>
          <w:numId w:val="18"/>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Australian Communications and Media Authority, </w:t>
      </w:r>
      <w:hyperlink r:id="rId8" w:tgtFrame="_new" w:history="1">
        <w:r w:rsidRPr="004650C1">
          <w:rPr>
            <w:rFonts w:ascii="Calibri" w:eastAsia="Times New Roman" w:hAnsi="Calibri" w:cs="Calibri"/>
            <w:color w:val="0000FF"/>
            <w:kern w:val="0"/>
            <w:u w:val="single"/>
            <w:lang w:eastAsia="en-GB"/>
            <w14:ligatures w14:val="none"/>
          </w:rPr>
          <w:t>Australian cabling standards</w:t>
        </w:r>
      </w:hyperlink>
      <w:r w:rsidRPr="004650C1">
        <w:rPr>
          <w:rFonts w:ascii="Calibri" w:eastAsia="Times New Roman" w:hAnsi="Calibri" w:cs="Calibri"/>
          <w:color w:val="000000"/>
          <w:kern w:val="0"/>
          <w:lang w:eastAsia="en-GB"/>
          <w14:ligatures w14:val="none"/>
        </w:rPr>
        <w:t>.</w:t>
      </w:r>
    </w:p>
    <w:p w14:paraId="469EC157" w14:textId="77777777" w:rsidR="004650C1" w:rsidRPr="004650C1" w:rsidRDefault="004650C1" w:rsidP="004650C1">
      <w:pPr>
        <w:numPr>
          <w:ilvl w:val="0"/>
          <w:numId w:val="18"/>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Australian Government, </w:t>
      </w:r>
      <w:hyperlink r:id="rId9" w:tgtFrame="_new" w:history="1">
        <w:r w:rsidRPr="004650C1">
          <w:rPr>
            <w:rFonts w:ascii="Calibri" w:eastAsia="Times New Roman" w:hAnsi="Calibri" w:cs="Calibri"/>
            <w:color w:val="0000FF"/>
            <w:kern w:val="0"/>
            <w:u w:val="single"/>
            <w:lang w:eastAsia="en-GB"/>
            <w14:ligatures w14:val="none"/>
          </w:rPr>
          <w:t>Telecommunications Act 1997</w:t>
        </w:r>
      </w:hyperlink>
      <w:r w:rsidRPr="004650C1">
        <w:rPr>
          <w:rFonts w:ascii="Calibri" w:eastAsia="Times New Roman" w:hAnsi="Calibri" w:cs="Calibri"/>
          <w:color w:val="000000"/>
          <w:kern w:val="0"/>
          <w:lang w:eastAsia="en-GB"/>
          <w14:ligatures w14:val="none"/>
        </w:rPr>
        <w:t>.</w:t>
      </w:r>
    </w:p>
    <w:p w14:paraId="536BFBF3" w14:textId="77777777" w:rsidR="004650C1" w:rsidRPr="004650C1" w:rsidRDefault="004650C1" w:rsidP="004650C1">
      <w:pPr>
        <w:numPr>
          <w:ilvl w:val="0"/>
          <w:numId w:val="18"/>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Australian Government, </w:t>
      </w:r>
      <w:hyperlink r:id="rId10" w:tgtFrame="_new" w:history="1">
        <w:r w:rsidRPr="004650C1">
          <w:rPr>
            <w:rFonts w:ascii="Calibri" w:eastAsia="Times New Roman" w:hAnsi="Calibri" w:cs="Calibri"/>
            <w:color w:val="0000FF"/>
            <w:kern w:val="0"/>
            <w:u w:val="single"/>
            <w:lang w:eastAsia="en-GB"/>
            <w14:ligatures w14:val="none"/>
          </w:rPr>
          <w:t>Competition and Consumer Act 2010</w:t>
        </w:r>
      </w:hyperlink>
      <w:r w:rsidRPr="004650C1">
        <w:rPr>
          <w:rFonts w:ascii="Calibri" w:eastAsia="Times New Roman" w:hAnsi="Calibri" w:cs="Calibri"/>
          <w:color w:val="000000"/>
          <w:kern w:val="0"/>
          <w:lang w:eastAsia="en-GB"/>
          <w14:ligatures w14:val="none"/>
        </w:rPr>
        <w:t>.</w:t>
      </w:r>
    </w:p>
    <w:p w14:paraId="70AD6ED8" w14:textId="77777777" w:rsidR="004650C1" w:rsidRPr="004650C1" w:rsidRDefault="004650C1" w:rsidP="004650C1">
      <w:pPr>
        <w:numPr>
          <w:ilvl w:val="0"/>
          <w:numId w:val="18"/>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Australian Government, </w:t>
      </w:r>
      <w:hyperlink r:id="rId11" w:tgtFrame="_new" w:history="1">
        <w:r w:rsidRPr="004650C1">
          <w:rPr>
            <w:rFonts w:ascii="Calibri" w:eastAsia="Times New Roman" w:hAnsi="Calibri" w:cs="Calibri"/>
            <w:color w:val="0000FF"/>
            <w:kern w:val="0"/>
            <w:u w:val="single"/>
            <w:lang w:eastAsia="en-GB"/>
            <w14:ligatures w14:val="none"/>
          </w:rPr>
          <w:t>Telecommunications (Consumer Protection and Service Standards) Act 1999</w:t>
        </w:r>
      </w:hyperlink>
      <w:r w:rsidRPr="004650C1">
        <w:rPr>
          <w:rFonts w:ascii="Calibri" w:eastAsia="Times New Roman" w:hAnsi="Calibri" w:cs="Calibri"/>
          <w:color w:val="000000"/>
          <w:kern w:val="0"/>
          <w:lang w:eastAsia="en-GB"/>
          <w14:ligatures w14:val="none"/>
        </w:rPr>
        <w:t>.</w:t>
      </w:r>
    </w:p>
    <w:p w14:paraId="48823EF1" w14:textId="77777777" w:rsidR="004650C1" w:rsidRPr="004650C1" w:rsidRDefault="004650C1" w:rsidP="004650C1">
      <w:pPr>
        <w:numPr>
          <w:ilvl w:val="0"/>
          <w:numId w:val="18"/>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Australian Government, </w:t>
      </w:r>
      <w:hyperlink r:id="rId12" w:tgtFrame="_new" w:history="1">
        <w:r w:rsidRPr="004650C1">
          <w:rPr>
            <w:rFonts w:ascii="Calibri" w:eastAsia="Times New Roman" w:hAnsi="Calibri" w:cs="Calibri"/>
            <w:color w:val="0000FF"/>
            <w:kern w:val="0"/>
            <w:u w:val="single"/>
            <w:lang w:eastAsia="en-GB"/>
            <w14:ligatures w14:val="none"/>
          </w:rPr>
          <w:t>Privacy Act 1988</w:t>
        </w:r>
      </w:hyperlink>
      <w:r w:rsidRPr="004650C1">
        <w:rPr>
          <w:rFonts w:ascii="Calibri" w:eastAsia="Times New Roman" w:hAnsi="Calibri" w:cs="Calibri"/>
          <w:color w:val="000000"/>
          <w:kern w:val="0"/>
          <w:lang w:eastAsia="en-GB"/>
          <w14:ligatures w14:val="none"/>
        </w:rPr>
        <w:t>.</w:t>
      </w:r>
    </w:p>
    <w:p w14:paraId="47B581BC" w14:textId="77777777" w:rsidR="004650C1" w:rsidRPr="004650C1" w:rsidRDefault="004650C1" w:rsidP="004650C1">
      <w:pPr>
        <w:numPr>
          <w:ilvl w:val="0"/>
          <w:numId w:val="18"/>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Australian Government, </w:t>
      </w:r>
      <w:hyperlink r:id="rId13" w:tgtFrame="_new" w:history="1">
        <w:r w:rsidRPr="004650C1">
          <w:rPr>
            <w:rFonts w:ascii="Calibri" w:eastAsia="Times New Roman" w:hAnsi="Calibri" w:cs="Calibri"/>
            <w:color w:val="0000FF"/>
            <w:kern w:val="0"/>
            <w:u w:val="single"/>
            <w:lang w:eastAsia="en-GB"/>
            <w14:ligatures w14:val="none"/>
          </w:rPr>
          <w:t>Disability Discrimination Act 1992</w:t>
        </w:r>
      </w:hyperlink>
      <w:r w:rsidRPr="004650C1">
        <w:rPr>
          <w:rFonts w:ascii="Calibri" w:eastAsia="Times New Roman" w:hAnsi="Calibri" w:cs="Calibri"/>
          <w:color w:val="000000"/>
          <w:kern w:val="0"/>
          <w:lang w:eastAsia="en-GB"/>
          <w14:ligatures w14:val="none"/>
        </w:rPr>
        <w:t>.</w:t>
      </w:r>
    </w:p>
    <w:p w14:paraId="193EEF80" w14:textId="77777777" w:rsidR="004650C1" w:rsidRPr="004650C1" w:rsidRDefault="004650C1" w:rsidP="004650C1">
      <w:pPr>
        <w:numPr>
          <w:ilvl w:val="0"/>
          <w:numId w:val="18"/>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Office of the Australian Information Commissioner, </w:t>
      </w:r>
      <w:hyperlink r:id="rId14" w:tgtFrame="_new" w:history="1">
        <w:r w:rsidRPr="004650C1">
          <w:rPr>
            <w:rFonts w:ascii="Calibri" w:eastAsia="Times New Roman" w:hAnsi="Calibri" w:cs="Calibri"/>
            <w:color w:val="0000FF"/>
            <w:kern w:val="0"/>
            <w:u w:val="single"/>
            <w:lang w:eastAsia="en-GB"/>
            <w14:ligatures w14:val="none"/>
          </w:rPr>
          <w:t>Telecommunications privacy</w:t>
        </w:r>
      </w:hyperlink>
      <w:r w:rsidRPr="004650C1">
        <w:rPr>
          <w:rFonts w:ascii="Calibri" w:eastAsia="Times New Roman" w:hAnsi="Calibri" w:cs="Calibri"/>
          <w:color w:val="000000"/>
          <w:kern w:val="0"/>
          <w:lang w:eastAsia="en-GB"/>
          <w14:ligatures w14:val="none"/>
        </w:rPr>
        <w:t>.</w:t>
      </w:r>
    </w:p>
    <w:p w14:paraId="1E76D20D" w14:textId="77777777" w:rsidR="004650C1" w:rsidRPr="004650C1" w:rsidRDefault="004650C1" w:rsidP="004650C1">
      <w:pPr>
        <w:numPr>
          <w:ilvl w:val="0"/>
          <w:numId w:val="18"/>
        </w:numPr>
        <w:spacing w:after="100" w:afterAutospacing="1"/>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Australian Government, </w:t>
      </w:r>
      <w:hyperlink r:id="rId15" w:tgtFrame="_new" w:history="1">
        <w:r w:rsidRPr="004650C1">
          <w:rPr>
            <w:rFonts w:ascii="Calibri" w:eastAsia="Times New Roman" w:hAnsi="Calibri" w:cs="Calibri"/>
            <w:color w:val="0000FF"/>
            <w:kern w:val="0"/>
            <w:u w:val="single"/>
            <w:lang w:eastAsia="en-GB"/>
            <w14:ligatures w14:val="none"/>
          </w:rPr>
          <w:t>Universal access to broadband services</w:t>
        </w:r>
      </w:hyperlink>
      <w:r w:rsidRPr="004650C1">
        <w:rPr>
          <w:rFonts w:ascii="Calibri" w:eastAsia="Times New Roman" w:hAnsi="Calibri" w:cs="Calibri"/>
          <w:color w:val="000000"/>
          <w:kern w:val="0"/>
          <w:lang w:eastAsia="en-GB"/>
          <w14:ligatures w14:val="none"/>
        </w:rPr>
        <w:t>.</w:t>
      </w:r>
    </w:p>
    <w:p w14:paraId="4F64FA50" w14:textId="3115AEAA" w:rsidR="004650C1" w:rsidRPr="004650C1" w:rsidRDefault="004650C1" w:rsidP="004650C1">
      <w:pPr>
        <w:spacing w:after="100" w:afterAutospacing="1"/>
        <w:ind w:left="0" w:firstLine="0"/>
        <w:rPr>
          <w:rFonts w:ascii="Calibri" w:eastAsia="Times New Roman" w:hAnsi="Calibri" w:cs="Calibri"/>
          <w:color w:val="000000"/>
          <w:kern w:val="0"/>
          <w:lang w:eastAsia="en-GB"/>
          <w14:ligatures w14:val="none"/>
        </w:rPr>
      </w:pPr>
      <w:r w:rsidRPr="004650C1">
        <w:rPr>
          <w:rFonts w:ascii="Calibri" w:eastAsia="Times New Roman" w:hAnsi="Calibri" w:cs="Calibri"/>
          <w:color w:val="000000"/>
          <w:kern w:val="0"/>
          <w:lang w:eastAsia="en-GB"/>
          <w14:ligatures w14:val="none"/>
        </w:rPr>
        <w:t xml:space="preserve">Sources reviewed on: </w:t>
      </w:r>
      <w:r>
        <w:rPr>
          <w:rFonts w:ascii="Calibri" w:eastAsia="Times New Roman" w:hAnsi="Calibri" w:cs="Calibri"/>
          <w:color w:val="000000"/>
          <w:kern w:val="0"/>
          <w:lang w:eastAsia="en-GB"/>
          <w14:ligatures w14:val="none"/>
        </w:rPr>
        <w:t>20 May 2026</w:t>
      </w:r>
    </w:p>
    <w:p w14:paraId="70C31F22" w14:textId="77777777" w:rsidR="0022219C" w:rsidRPr="004650C1" w:rsidRDefault="0022219C">
      <w:pPr>
        <w:rPr>
          <w:rFonts w:ascii="Calibri" w:hAnsi="Calibri" w:cs="Calibri"/>
        </w:rPr>
      </w:pPr>
    </w:p>
    <w:sectPr w:rsidR="0022219C" w:rsidRPr="004650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0F9"/>
    <w:multiLevelType w:val="multilevel"/>
    <w:tmpl w:val="178E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8369A"/>
    <w:multiLevelType w:val="multilevel"/>
    <w:tmpl w:val="C4F8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057D6"/>
    <w:multiLevelType w:val="multilevel"/>
    <w:tmpl w:val="CB18F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1C65AB"/>
    <w:multiLevelType w:val="multilevel"/>
    <w:tmpl w:val="1808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51FF5"/>
    <w:multiLevelType w:val="multilevel"/>
    <w:tmpl w:val="5E46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E1CDB"/>
    <w:multiLevelType w:val="multilevel"/>
    <w:tmpl w:val="6B3C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F7410"/>
    <w:multiLevelType w:val="multilevel"/>
    <w:tmpl w:val="DB18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652D5"/>
    <w:multiLevelType w:val="multilevel"/>
    <w:tmpl w:val="E9C4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A74D77"/>
    <w:multiLevelType w:val="multilevel"/>
    <w:tmpl w:val="18864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C37B1E"/>
    <w:multiLevelType w:val="multilevel"/>
    <w:tmpl w:val="2480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821C8"/>
    <w:multiLevelType w:val="multilevel"/>
    <w:tmpl w:val="4EA2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D42AFF"/>
    <w:multiLevelType w:val="multilevel"/>
    <w:tmpl w:val="47B0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401BA4"/>
    <w:multiLevelType w:val="multilevel"/>
    <w:tmpl w:val="533E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202631"/>
    <w:multiLevelType w:val="multilevel"/>
    <w:tmpl w:val="A730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AC45A0"/>
    <w:multiLevelType w:val="multilevel"/>
    <w:tmpl w:val="BEAC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A11F94"/>
    <w:multiLevelType w:val="multilevel"/>
    <w:tmpl w:val="474E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205BD8"/>
    <w:multiLevelType w:val="multilevel"/>
    <w:tmpl w:val="6BD2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FF6268"/>
    <w:multiLevelType w:val="multilevel"/>
    <w:tmpl w:val="0290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8409292">
    <w:abstractNumId w:val="17"/>
  </w:num>
  <w:num w:numId="2" w16cid:durableId="370694654">
    <w:abstractNumId w:val="10"/>
  </w:num>
  <w:num w:numId="3" w16cid:durableId="462698636">
    <w:abstractNumId w:val="5"/>
  </w:num>
  <w:num w:numId="4" w16cid:durableId="1203982514">
    <w:abstractNumId w:val="3"/>
  </w:num>
  <w:num w:numId="5" w16cid:durableId="879051514">
    <w:abstractNumId w:val="16"/>
  </w:num>
  <w:num w:numId="6" w16cid:durableId="2117753729">
    <w:abstractNumId w:val="8"/>
  </w:num>
  <w:num w:numId="7" w16cid:durableId="1910576133">
    <w:abstractNumId w:val="9"/>
  </w:num>
  <w:num w:numId="8" w16cid:durableId="1877042004">
    <w:abstractNumId w:val="12"/>
  </w:num>
  <w:num w:numId="9" w16cid:durableId="585304841">
    <w:abstractNumId w:val="13"/>
  </w:num>
  <w:num w:numId="10" w16cid:durableId="233661687">
    <w:abstractNumId w:val="4"/>
  </w:num>
  <w:num w:numId="11" w16cid:durableId="1516579729">
    <w:abstractNumId w:val="11"/>
  </w:num>
  <w:num w:numId="12" w16cid:durableId="2092654173">
    <w:abstractNumId w:val="6"/>
  </w:num>
  <w:num w:numId="13" w16cid:durableId="1126268382">
    <w:abstractNumId w:val="14"/>
  </w:num>
  <w:num w:numId="14" w16cid:durableId="1381511931">
    <w:abstractNumId w:val="1"/>
  </w:num>
  <w:num w:numId="15" w16cid:durableId="877157845">
    <w:abstractNumId w:val="0"/>
  </w:num>
  <w:num w:numId="16" w16cid:durableId="1827240901">
    <w:abstractNumId w:val="15"/>
  </w:num>
  <w:num w:numId="17" w16cid:durableId="1684160666">
    <w:abstractNumId w:val="2"/>
  </w:num>
  <w:num w:numId="18" w16cid:durableId="3810952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0C1"/>
    <w:rsid w:val="0022219C"/>
    <w:rsid w:val="0027064F"/>
    <w:rsid w:val="004650C1"/>
    <w:rsid w:val="006367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C5BB6FA"/>
  <w15:chartTrackingRefBased/>
  <w15:docId w15:val="{29C4B839-4CA3-C64E-AD50-E82AC7AEA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before="100" w:beforeAutospacing="1" w:after="100" w:line="276"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next w:val="Normal"/>
    <w:link w:val="Heading1Char"/>
    <w:uiPriority w:val="9"/>
    <w:qFormat/>
    <w:rsid w:val="004650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50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50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0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0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0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0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0C1"/>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0C1"/>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50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50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0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0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0C1"/>
    <w:rPr>
      <w:rFonts w:eastAsiaTheme="majorEastAsia" w:cstheme="majorBidi"/>
      <w:color w:val="272727" w:themeColor="text1" w:themeTint="D8"/>
    </w:rPr>
  </w:style>
  <w:style w:type="paragraph" w:styleId="Title">
    <w:name w:val="Title"/>
    <w:basedOn w:val="Normal"/>
    <w:next w:val="Normal"/>
    <w:link w:val="TitleChar"/>
    <w:uiPriority w:val="10"/>
    <w:qFormat/>
    <w:rsid w:val="004650C1"/>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0C1"/>
    <w:pPr>
      <w:numPr>
        <w:ilvl w:val="1"/>
      </w:numPr>
      <w:spacing w:after="160"/>
      <w:ind w:left="35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0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650C1"/>
    <w:rPr>
      <w:i/>
      <w:iCs/>
      <w:color w:val="404040" w:themeColor="text1" w:themeTint="BF"/>
    </w:rPr>
  </w:style>
  <w:style w:type="paragraph" w:styleId="ListParagraph">
    <w:name w:val="List Paragraph"/>
    <w:basedOn w:val="Normal"/>
    <w:uiPriority w:val="34"/>
    <w:qFormat/>
    <w:rsid w:val="004650C1"/>
    <w:pPr>
      <w:ind w:left="720"/>
      <w:contextualSpacing/>
    </w:pPr>
  </w:style>
  <w:style w:type="character" w:styleId="IntenseEmphasis">
    <w:name w:val="Intense Emphasis"/>
    <w:basedOn w:val="DefaultParagraphFont"/>
    <w:uiPriority w:val="21"/>
    <w:qFormat/>
    <w:rsid w:val="004650C1"/>
    <w:rPr>
      <w:i/>
      <w:iCs/>
      <w:color w:val="0F4761" w:themeColor="accent1" w:themeShade="BF"/>
    </w:rPr>
  </w:style>
  <w:style w:type="paragraph" w:styleId="IntenseQuote">
    <w:name w:val="Intense Quote"/>
    <w:basedOn w:val="Normal"/>
    <w:next w:val="Normal"/>
    <w:link w:val="IntenseQuoteChar"/>
    <w:uiPriority w:val="30"/>
    <w:qFormat/>
    <w:rsid w:val="00465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0C1"/>
    <w:rPr>
      <w:i/>
      <w:iCs/>
      <w:color w:val="0F4761" w:themeColor="accent1" w:themeShade="BF"/>
    </w:rPr>
  </w:style>
  <w:style w:type="character" w:styleId="IntenseReference">
    <w:name w:val="Intense Reference"/>
    <w:basedOn w:val="DefaultParagraphFont"/>
    <w:uiPriority w:val="32"/>
    <w:qFormat/>
    <w:rsid w:val="004650C1"/>
    <w:rPr>
      <w:b/>
      <w:bCs/>
      <w:smallCaps/>
      <w:color w:val="0F4761" w:themeColor="accent1" w:themeShade="BF"/>
      <w:spacing w:val="5"/>
    </w:rPr>
  </w:style>
  <w:style w:type="paragraph" w:styleId="NormalWeb">
    <w:name w:val="Normal (Web)"/>
    <w:basedOn w:val="Normal"/>
    <w:uiPriority w:val="99"/>
    <w:semiHidden/>
    <w:unhideWhenUsed/>
    <w:rsid w:val="004650C1"/>
    <w:pPr>
      <w:spacing w:after="100" w:afterAutospacing="1"/>
      <w:ind w:left="0" w:firstLine="0"/>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4650C1"/>
  </w:style>
  <w:style w:type="character" w:styleId="Hyperlink">
    <w:name w:val="Hyperlink"/>
    <w:basedOn w:val="DefaultParagraphFont"/>
    <w:uiPriority w:val="99"/>
    <w:semiHidden/>
    <w:unhideWhenUsed/>
    <w:rsid w:val="004650C1"/>
    <w:rPr>
      <w:color w:val="0000FF"/>
      <w:u w:val="single"/>
    </w:rPr>
  </w:style>
  <w:style w:type="table" w:styleId="TableGrid">
    <w:name w:val="Table Grid"/>
    <w:basedOn w:val="TableNormal"/>
    <w:uiPriority w:val="39"/>
    <w:rsid w:val="004650C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ma.gov.au/australian-cabling-standards?utm_source=chatgpt.com" TargetMode="External"/><Relationship Id="rId13" Type="http://schemas.openxmlformats.org/officeDocument/2006/relationships/hyperlink" Target="https://www.legislation.gov.au/C2004A04426/latest?utm_source=chatgpt.com" TargetMode="External"/><Relationship Id="rId3" Type="http://schemas.openxmlformats.org/officeDocument/2006/relationships/settings" Target="settings.xml"/><Relationship Id="rId7" Type="http://schemas.openxmlformats.org/officeDocument/2006/relationships/hyperlink" Target="https://www.acma.gov.au/cabling-provider-rules?utm_source=chatgpt.com" TargetMode="External"/><Relationship Id="rId12" Type="http://schemas.openxmlformats.org/officeDocument/2006/relationships/hyperlink" Target="https://www.legislation.gov.au/C2004A03712/lates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acma.gov.au/property-access-rules-telcos?utm_source=chatgpt.com" TargetMode="External"/><Relationship Id="rId11" Type="http://schemas.openxmlformats.org/officeDocument/2006/relationships/hyperlink" Target="https://www.legislation.gov.au/C2004A00441/latest?utm_source=chatgpt.com" TargetMode="External"/><Relationship Id="rId5" Type="http://schemas.openxmlformats.org/officeDocument/2006/relationships/hyperlink" Target="https://www.acma.gov.au/about-carriers-and-carriage-service-providers?utm_source=chatgpt.com" TargetMode="External"/><Relationship Id="rId15" Type="http://schemas.openxmlformats.org/officeDocument/2006/relationships/hyperlink" Target="https://www.infrastructure.gov.au/media-communications/internet/universal-access-broadband-services?utm_source=chatgpt.com" TargetMode="External"/><Relationship Id="rId10" Type="http://schemas.openxmlformats.org/officeDocument/2006/relationships/hyperlink" Target="https://www.legislation.gov.au/C2004A00109/latest?utm_source=chatgpt.com" TargetMode="External"/><Relationship Id="rId4" Type="http://schemas.openxmlformats.org/officeDocument/2006/relationships/webSettings" Target="webSettings.xml"/><Relationship Id="rId9" Type="http://schemas.openxmlformats.org/officeDocument/2006/relationships/hyperlink" Target="https://www.legislation.gov.au/Details/C2021C00558?utm_source=chatgpt.com" TargetMode="External"/><Relationship Id="rId14" Type="http://schemas.openxmlformats.org/officeDocument/2006/relationships/hyperlink" Target="https://www.oaic.gov.au/privacy/privacy-legislation/related-legislation/telecommunication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3196</Words>
  <Characters>18223</Characters>
  <Application>Microsoft Office Word</Application>
  <DocSecurity>0</DocSecurity>
  <Lines>151</Lines>
  <Paragraphs>42</Paragraphs>
  <ScaleCrop>false</ScaleCrop>
  <Company/>
  <LinksUpToDate>false</LinksUpToDate>
  <CharactersWithSpaces>21377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CTI20221062 Leonardo</dc:creator>
  <cp:keywords/>
  <dc:description/>
  <cp:lastModifiedBy>CTI20221062 Leonardo</cp:lastModifiedBy>
  <cp:revision>1</cp:revision>
  <dcterms:created xsi:type="dcterms:W3CDTF">2026-09-05T04:22:00Z</dcterms:created>
  <dcterms:modified xsi:type="dcterms:W3CDTF">2026-09-05T04:24:00Z</dcterms:modified>
</cp:coreProperties>
</file>