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3A17"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A-PLUS INSTITUTE</w:t>
      </w:r>
    </w:p>
    <w:p w14:paraId="2E6241DF"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ICTNPL413 – EVALUATE NETWORKING REGULATIONS AND LEGISLATION FOR THE TELECOMMUNICATIONS INDUSTRY</w:t>
      </w:r>
    </w:p>
    <w:p w14:paraId="0A85E6BA"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SUMMARY REPORT 1: IMPACT OF LEGISLATION ON NETWORK PLANNING</w:t>
      </w:r>
    </w:p>
    <w:p w14:paraId="4DF11176" w14:textId="40D93D2F"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1C3E76">
        <w:rPr>
          <w:rFonts w:ascii="Calibri" w:eastAsia="Times New Roman" w:hAnsi="Calibri" w:cs="Calibri"/>
          <w:color w:val="000000"/>
          <w:kern w:val="0"/>
          <w:lang w:eastAsia="en-GB"/>
          <w14:ligatures w14:val="none"/>
        </w:rPr>
        <w:t xml:space="preserve">Prepared by: </w:t>
      </w:r>
      <w:r>
        <w:rPr>
          <w:rFonts w:ascii="Calibri" w:eastAsia="Times New Roman" w:hAnsi="Calibri" w:cs="Calibri"/>
          <w:color w:val="000000"/>
          <w:kern w:val="0"/>
          <w:lang w:eastAsia="en-GB"/>
          <w14:ligatures w14:val="none"/>
        </w:rPr>
        <w:t>Leonardo Matias Ciarcia</w:t>
      </w:r>
      <w:r w:rsidRPr="001C3E76">
        <w:rPr>
          <w:rFonts w:ascii="Calibri" w:eastAsia="Times New Roman" w:hAnsi="Calibri" w:cs="Calibri"/>
          <w:color w:val="000000"/>
          <w:kern w:val="0"/>
          <w:lang w:eastAsia="en-GB"/>
          <w14:ligatures w14:val="none"/>
        </w:rPr>
        <w:br/>
        <w:t xml:space="preserve">Student ID: </w:t>
      </w:r>
      <w:r>
        <w:rPr>
          <w:rFonts w:ascii="Calibri" w:eastAsia="Times New Roman" w:hAnsi="Calibri" w:cs="Calibri"/>
          <w:color w:val="000000"/>
          <w:kern w:val="0"/>
          <w:lang w:eastAsia="en-GB"/>
          <w14:ligatures w14:val="none"/>
        </w:rPr>
        <w:t>CTI20221062</w:t>
      </w:r>
      <w:r w:rsidRPr="00A129E9">
        <w:rPr>
          <w:rFonts w:ascii="Calibri" w:eastAsia="Times New Roman" w:hAnsi="Calibri" w:cs="Calibri"/>
          <w:color w:val="000000"/>
          <w:kern w:val="0"/>
          <w:lang w:eastAsia="en-GB"/>
          <w14:ligatures w14:val="none"/>
        </w:rPr>
        <w:br/>
        <w:t>Prepared for: A-Plus Institute</w:t>
      </w:r>
      <w:r w:rsidRPr="00A129E9">
        <w:rPr>
          <w:rFonts w:ascii="Calibri" w:eastAsia="Times New Roman" w:hAnsi="Calibri" w:cs="Calibri"/>
          <w:color w:val="000000"/>
          <w:kern w:val="0"/>
          <w:lang w:eastAsia="en-GB"/>
          <w14:ligatures w14:val="none"/>
        </w:rPr>
        <w:br/>
        <w:t>Date: </w:t>
      </w:r>
      <w:r>
        <w:rPr>
          <w:rFonts w:ascii="Calibri" w:eastAsia="Times New Roman" w:hAnsi="Calibri" w:cs="Calibri"/>
          <w:color w:val="000000"/>
          <w:kern w:val="0"/>
          <w:lang w:eastAsia="en-GB"/>
          <w14:ligatures w14:val="none"/>
        </w:rPr>
        <w:t>16/05/2026</w:t>
      </w:r>
      <w:r w:rsidRPr="00A129E9">
        <w:rPr>
          <w:rFonts w:ascii="Calibri" w:eastAsia="Times New Roman" w:hAnsi="Calibri" w:cs="Calibri"/>
          <w:color w:val="000000"/>
          <w:kern w:val="0"/>
          <w:lang w:eastAsia="en-GB"/>
          <w14:ligatures w14:val="none"/>
        </w:rPr>
        <w:br/>
        <w:t>Version: 1.0</w:t>
      </w:r>
    </w:p>
    <w:p w14:paraId="3437B5EF" w14:textId="77777777" w:rsidR="00A129E9" w:rsidRPr="00A129E9" w:rsidRDefault="00A129E9" w:rsidP="00A129E9">
      <w:pPr>
        <w:numPr>
          <w:ilvl w:val="0"/>
          <w:numId w:val="1"/>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Purpose</w:t>
      </w:r>
    </w:p>
    <w:p w14:paraId="584B5209"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This summary explains how Australian telecommunications legislation and regulations affect the planning of the A-Plus Institute Network Solution. The project involves expanding the Brisbane campus to five operational levels, providing wireless coverage to the two new classroom levels, retaining the server room on Existing Level 1 and securely connecting the Brisbane and Rookwood campuses through 3TTech.</w:t>
      </w:r>
    </w:p>
    <w:p w14:paraId="5C9716A8" w14:textId="77777777" w:rsidR="00A129E9" w:rsidRPr="00A129E9" w:rsidRDefault="00A129E9" w:rsidP="00A129E9">
      <w:pPr>
        <w:numPr>
          <w:ilvl w:val="0"/>
          <w:numId w:val="2"/>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Impact on Network Planning</w:t>
      </w:r>
    </w:p>
    <w:p w14:paraId="2B4D20BF"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The Telecommunications Act 1997 affects the planning of the external connection because 3TTech must confirm that it holds the appropriate carrier or carriage service provider status. Before extending services to Rookwood, 3TTech must determine whether the proposed facilities are low-impact facilities and identify any property notices, consultation or planning approvals required.</w:t>
      </w:r>
    </w:p>
    <w:p w14:paraId="48EE0093"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 xml:space="preserve">The Competition and Consumer Act 2010 </w:t>
      </w:r>
      <w:proofErr w:type="gramStart"/>
      <w:r w:rsidRPr="00A129E9">
        <w:rPr>
          <w:rFonts w:ascii="Calibri" w:eastAsia="Times New Roman" w:hAnsi="Calibri" w:cs="Calibri"/>
          <w:color w:val="000000"/>
          <w:kern w:val="0"/>
          <w:lang w:eastAsia="en-GB"/>
          <w14:ligatures w14:val="none"/>
        </w:rPr>
        <w:t>affects</w:t>
      </w:r>
      <w:proofErr w:type="gramEnd"/>
      <w:r w:rsidRPr="00A129E9">
        <w:rPr>
          <w:rFonts w:ascii="Calibri" w:eastAsia="Times New Roman" w:hAnsi="Calibri" w:cs="Calibri"/>
          <w:color w:val="000000"/>
          <w:kern w:val="0"/>
          <w:lang w:eastAsia="en-GB"/>
          <w14:ligatures w14:val="none"/>
        </w:rPr>
        <w:t xml:space="preserve"> provider selection, pricing and access to telecommunications infrastructure. Parts XIB and XIC support competition and access to declared network services. A-Plus Institute should therefore compare available services, obtain itemised quotations and ensure that the 3TTech agreement contains clear performance, installation and fault-restoration conditions.</w:t>
      </w:r>
    </w:p>
    <w:p w14:paraId="6D98E24A"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Privacy requirements affect the design of the internal network because A-Plus Institute stores student, staff, enrolment and assessment information. The Network Solution must include access controls, separate network segments, secure remote access, encryption, logging, backups and an incident-response procedure.</w:t>
      </w:r>
    </w:p>
    <w:p w14:paraId="1D2E1763"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The Radiocommunications Act 1992 and related ACMA requirements influence the selection and configuration of wireless access points. Equipment must be suitable for use in Australia and must operate within permitted frequency, channel and power conditions.</w:t>
      </w:r>
    </w:p>
    <w:p w14:paraId="0C43F707"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The Cabling Provider Rules require fixed customer cabling to be installed or supervised by an appropriately registered cabler. Cabling between the five Brisbane levels, the server room, access switches and wireless access points must comply with AS/CA S009:2020. Cabling test results and a Telecommunications Cabling Advice form should be retained as evidence.</w:t>
      </w:r>
    </w:p>
    <w:p w14:paraId="266874A7"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lastRenderedPageBreak/>
        <w:t>Queensland workplace health and safety and electrical safety requirements also affect installation planning. Site access, electrical hazards, ladders, cable pathways, restricted rooms and disruption to classes must be addressed in the site survey and implementation plan.</w:t>
      </w:r>
    </w:p>
    <w:p w14:paraId="104FEB7C" w14:textId="77777777" w:rsidR="00A129E9" w:rsidRPr="00A129E9" w:rsidRDefault="00A129E9" w:rsidP="00A129E9">
      <w:pPr>
        <w:numPr>
          <w:ilvl w:val="0"/>
          <w:numId w:val="3"/>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Application to the Network Solution</w:t>
      </w:r>
    </w:p>
    <w:p w14:paraId="6509AC17"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The legislation supports the following planning decisions:</w:t>
      </w:r>
    </w:p>
    <w:p w14:paraId="3F1BE977"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Two redundant Layer 3 core switches to reduce service interruption.</w:t>
      </w:r>
    </w:p>
    <w:p w14:paraId="2CD83E6B"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Managed switches and wireless access points across the five Brisbane levels.</w:t>
      </w:r>
    </w:p>
    <w:p w14:paraId="7EDF4D95"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Network segmentation for administrative, staff, student, guest, server and management traffic.</w:t>
      </w:r>
    </w:p>
    <w:p w14:paraId="57B04E9B"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Centralised DHCP, DNS, file, backup and monitoring services.</w:t>
      </w:r>
    </w:p>
    <w:p w14:paraId="21C4655B"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A protected server room on Existing Level 1.</w:t>
      </w:r>
    </w:p>
    <w:p w14:paraId="06710DC2"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An encrypted site-to-site IPsec VPN between Brisbane and Rookwood.</w:t>
      </w:r>
    </w:p>
    <w:p w14:paraId="3A2979B5"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Monitoring, configuration backups and incident-response procedures.</w:t>
      </w:r>
    </w:p>
    <w:p w14:paraId="642EF15D" w14:textId="77777777" w:rsidR="00A129E9" w:rsidRPr="00A129E9" w:rsidRDefault="00A129E9" w:rsidP="00A129E9">
      <w:pPr>
        <w:numPr>
          <w:ilvl w:val="0"/>
          <w:numId w:val="4"/>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Use of registered cablers and compliant equipment.</w:t>
      </w:r>
    </w:p>
    <w:p w14:paraId="77EE6A1A" w14:textId="77777777" w:rsidR="00A129E9" w:rsidRPr="00A129E9" w:rsidRDefault="00A129E9" w:rsidP="00A129E9">
      <w:pPr>
        <w:numPr>
          <w:ilvl w:val="0"/>
          <w:numId w:val="5"/>
        </w:numPr>
        <w:spacing w:after="100" w:afterAutospacing="1"/>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Conclusion</w:t>
      </w:r>
    </w:p>
    <w:p w14:paraId="1069682D"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Australian legislation must be considered from the beginning of the project rather than after installation. It affects feasibility, site access, equipment selection, cabling, security, privacy, testing and ongoing network management.</w:t>
      </w:r>
    </w:p>
    <w:p w14:paraId="36CE3C12" w14:textId="77777777"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The Network Solution can proceed after 3TTech confirms Rookwood service availability, required property-access processes are completed, compliant equipment is selected and all cabling, privacy, security and safety requirements are documented.</w:t>
      </w:r>
    </w:p>
    <w:p w14:paraId="20E36172" w14:textId="12475AD5"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Trainer initials:</w:t>
      </w:r>
      <w:r>
        <w:rPr>
          <w:rFonts w:ascii="Calibri" w:eastAsia="Times New Roman" w:hAnsi="Calibri" w:cs="Calibri"/>
          <w:color w:val="000000"/>
          <w:kern w:val="0"/>
          <w:lang w:eastAsia="en-GB"/>
          <w14:ligatures w14:val="none"/>
        </w:rPr>
        <w:t xml:space="preserve"> DS</w:t>
      </w:r>
    </w:p>
    <w:p w14:paraId="4E1E2343" w14:textId="2A320E66" w:rsidR="00A129E9" w:rsidRPr="00A129E9" w:rsidRDefault="00A129E9" w:rsidP="00A129E9">
      <w:pPr>
        <w:spacing w:after="100" w:afterAutospacing="1"/>
        <w:ind w:left="0" w:firstLine="0"/>
        <w:rPr>
          <w:rFonts w:ascii="Calibri" w:eastAsia="Times New Roman" w:hAnsi="Calibri" w:cs="Calibri"/>
          <w:color w:val="000000"/>
          <w:kern w:val="0"/>
          <w:lang w:eastAsia="en-GB"/>
          <w14:ligatures w14:val="none"/>
        </w:rPr>
      </w:pPr>
      <w:r w:rsidRPr="00A129E9">
        <w:rPr>
          <w:rFonts w:ascii="Calibri" w:eastAsia="Times New Roman" w:hAnsi="Calibri" w:cs="Calibri"/>
          <w:color w:val="000000"/>
          <w:kern w:val="0"/>
          <w:lang w:eastAsia="en-GB"/>
          <w14:ligatures w14:val="none"/>
        </w:rPr>
        <w:t xml:space="preserve">Date: </w:t>
      </w:r>
      <w:r>
        <w:rPr>
          <w:rFonts w:ascii="Calibri" w:eastAsia="Times New Roman" w:hAnsi="Calibri" w:cs="Calibri"/>
          <w:color w:val="000000"/>
          <w:kern w:val="0"/>
          <w:lang w:eastAsia="en-GB"/>
          <w14:ligatures w14:val="none"/>
        </w:rPr>
        <w:t>18/05/2026</w:t>
      </w:r>
    </w:p>
    <w:p w14:paraId="6EC852C0" w14:textId="77777777" w:rsidR="0022219C" w:rsidRPr="00A129E9" w:rsidRDefault="0022219C">
      <w:pPr>
        <w:rPr>
          <w:rFonts w:ascii="Calibri" w:hAnsi="Calibri" w:cs="Calibri"/>
        </w:rPr>
      </w:pPr>
    </w:p>
    <w:sectPr w:rsidR="0022219C" w:rsidRPr="00A12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265"/>
    <w:multiLevelType w:val="multilevel"/>
    <w:tmpl w:val="391AF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62590"/>
    <w:multiLevelType w:val="multilevel"/>
    <w:tmpl w:val="76BA2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55C9B"/>
    <w:multiLevelType w:val="multilevel"/>
    <w:tmpl w:val="BFD2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225DD"/>
    <w:multiLevelType w:val="multilevel"/>
    <w:tmpl w:val="6EC62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D5DD1"/>
    <w:multiLevelType w:val="multilevel"/>
    <w:tmpl w:val="BC0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9001">
    <w:abstractNumId w:val="2"/>
  </w:num>
  <w:num w:numId="2" w16cid:durableId="605700919">
    <w:abstractNumId w:val="0"/>
  </w:num>
  <w:num w:numId="3" w16cid:durableId="574166085">
    <w:abstractNumId w:val="3"/>
  </w:num>
  <w:num w:numId="4" w16cid:durableId="2106029228">
    <w:abstractNumId w:val="4"/>
  </w:num>
  <w:num w:numId="5" w16cid:durableId="64422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E9"/>
    <w:rsid w:val="0022219C"/>
    <w:rsid w:val="0027064F"/>
    <w:rsid w:val="0063672A"/>
    <w:rsid w:val="00A129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61F328"/>
  <w15:chartTrackingRefBased/>
  <w15:docId w15:val="{9534BD0D-C2FE-1B42-8894-CA3FDA01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A12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E9"/>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E9"/>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E9"/>
    <w:rPr>
      <w:rFonts w:eastAsiaTheme="majorEastAsia" w:cstheme="majorBidi"/>
      <w:color w:val="272727" w:themeColor="text1" w:themeTint="D8"/>
    </w:rPr>
  </w:style>
  <w:style w:type="paragraph" w:styleId="Title">
    <w:name w:val="Title"/>
    <w:basedOn w:val="Normal"/>
    <w:next w:val="Normal"/>
    <w:link w:val="TitleChar"/>
    <w:uiPriority w:val="10"/>
    <w:qFormat/>
    <w:rsid w:val="00A129E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E9"/>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9E9"/>
    <w:rPr>
      <w:i/>
      <w:iCs/>
      <w:color w:val="404040" w:themeColor="text1" w:themeTint="BF"/>
    </w:rPr>
  </w:style>
  <w:style w:type="paragraph" w:styleId="ListParagraph">
    <w:name w:val="List Paragraph"/>
    <w:basedOn w:val="Normal"/>
    <w:uiPriority w:val="34"/>
    <w:qFormat/>
    <w:rsid w:val="00A129E9"/>
    <w:pPr>
      <w:ind w:left="720"/>
      <w:contextualSpacing/>
    </w:pPr>
  </w:style>
  <w:style w:type="character" w:styleId="IntenseEmphasis">
    <w:name w:val="Intense Emphasis"/>
    <w:basedOn w:val="DefaultParagraphFont"/>
    <w:uiPriority w:val="21"/>
    <w:qFormat/>
    <w:rsid w:val="00A129E9"/>
    <w:rPr>
      <w:i/>
      <w:iCs/>
      <w:color w:val="0F4761" w:themeColor="accent1" w:themeShade="BF"/>
    </w:rPr>
  </w:style>
  <w:style w:type="paragraph" w:styleId="IntenseQuote">
    <w:name w:val="Intense Quote"/>
    <w:basedOn w:val="Normal"/>
    <w:next w:val="Normal"/>
    <w:link w:val="IntenseQuoteChar"/>
    <w:uiPriority w:val="30"/>
    <w:qFormat/>
    <w:rsid w:val="00A12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E9"/>
    <w:rPr>
      <w:i/>
      <w:iCs/>
      <w:color w:val="0F4761" w:themeColor="accent1" w:themeShade="BF"/>
    </w:rPr>
  </w:style>
  <w:style w:type="character" w:styleId="IntenseReference">
    <w:name w:val="Intense Reference"/>
    <w:basedOn w:val="DefaultParagraphFont"/>
    <w:uiPriority w:val="32"/>
    <w:qFormat/>
    <w:rsid w:val="00A129E9"/>
    <w:rPr>
      <w:b/>
      <w:bCs/>
      <w:smallCaps/>
      <w:color w:val="0F4761" w:themeColor="accent1" w:themeShade="BF"/>
      <w:spacing w:val="5"/>
    </w:rPr>
  </w:style>
  <w:style w:type="paragraph" w:customStyle="1" w:styleId="isselectedend">
    <w:name w:val="isselectedend"/>
    <w:basedOn w:val="Normal"/>
    <w:rsid w:val="00A129E9"/>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129E9"/>
  </w:style>
  <w:style w:type="character" w:customStyle="1" w:styleId="text-token-text-primary">
    <w:name w:val="text-token-text-primary"/>
    <w:basedOn w:val="DefaultParagraphFont"/>
    <w:rsid w:val="00A129E9"/>
  </w:style>
  <w:style w:type="paragraph" w:styleId="NormalWeb">
    <w:name w:val="Normal (Web)"/>
    <w:basedOn w:val="Normal"/>
    <w:uiPriority w:val="99"/>
    <w:semiHidden/>
    <w:unhideWhenUsed/>
    <w:rsid w:val="00A129E9"/>
    <w:pPr>
      <w:spacing w:after="100" w:afterAutospacing="1"/>
      <w:ind w:lef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2026-09-05T04:31:00Z</dcterms:created>
  <dcterms:modified xsi:type="dcterms:W3CDTF">2026-09-05T04:34:00Z</dcterms:modified>
</cp:coreProperties>
</file>