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00"/>
        <w:jc w:val="center"/>
      </w:pPr>
      <w:r>
        <w:rPr>
          <w:rFonts w:ascii="Times New Roman" w:hAnsi="Times New Roman" w:eastAsia="宋体"/>
          <w:b/>
          <w:sz w:val="44"/>
        </w:rPr>
        <w:t>数据精炼的切片级审计：以 UltraX 为例的位置性尾截与稀有度代价测量</w:t>
      </w:r>
    </w:p>
    <w:p>
      <w:pPr>
        <w:spacing w:line="360" w:lineRule="auto" w:before="0" w:after="0"/>
        <w:jc w:val="center"/>
      </w:pPr>
      <w:r>
        <w:rPr>
          <w:rFonts w:ascii="Times New Roman" w:hAnsi="Times New Roman" w:eastAsia="宋体"/>
          <w:b w:val="0"/>
          <w:sz w:val="21"/>
        </w:rPr>
        <w:t>作者：黄浩（北京邮电大学 信息与通信工程学院）</w:t>
      </w:r>
    </w:p>
    <w:p>
      <w:pPr>
        <w:spacing w:line="300" w:lineRule="auto" w:before="0" w:after="0"/>
        <w:ind w:left="420"/>
      </w:pPr>
      <w:r>
        <w:rPr>
          <w:rFonts w:ascii="Times New Roman" w:hAnsi="Times New Roman" w:eastAsia="楷体_GB2312"/>
          <w:b w:val="0"/>
          <w:sz w:val="21"/>
        </w:rPr>
        <w:t>预印本说明：本文为投稿前预印本（preprint），尚未经同行评审。开源代码、预注册与全部结果</w:t>
      </w:r>
    </w:p>
    <w:p>
      <w:pPr>
        <w:spacing w:line="300" w:lineRule="auto" w:before="0" w:after="0"/>
        <w:ind w:left="420"/>
      </w:pPr>
      <w:r>
        <w:rPr>
          <w:rFonts w:ascii="Times New Roman" w:hAnsi="Times New Roman" w:eastAsia="楷体_GB2312"/>
          <w:b w:val="0"/>
          <w:sz w:val="21"/>
        </w:rPr>
        <w:t>JSON 存于 https://github.com/ausyeah/artical（MIT；正式公开前对审阅人开放）；审计轨迹以仓库</w:t>
      </w:r>
    </w:p>
    <w:p>
      <w:pPr>
        <w:spacing w:line="300" w:lineRule="auto" w:before="0" w:after="0"/>
        <w:ind w:left="420"/>
      </w:pPr>
      <w:r>
        <w:rPr>
          <w:rFonts w:ascii="Times New Roman" w:hAnsi="Times New Roman" w:eastAsia="楷体_GB2312"/>
          <w:b w:val="0"/>
          <w:sz w:val="21"/>
        </w:rPr>
        <w:t>远端 main 的 commit 为准（docs/AUDIT_MANIFEST.md）。本文为 measurement-first audit：</w:t>
      </w:r>
    </w:p>
    <w:p>
      <w:pPr>
        <w:spacing w:line="300" w:lineRule="auto" w:before="0" w:after="0"/>
        <w:ind w:left="420"/>
      </w:pPr>
      <w:r>
        <w:rPr>
          <w:rFonts w:ascii="Times New Roman" w:hAnsi="Times New Roman" w:eastAsia="楷体_GB2312"/>
          <w:b w:val="0"/>
          <w:sz w:val="21"/>
        </w:rPr>
        <w:t>阶段 A（切片审计）完成；阶段 B（下游代价 E2）按预注册协议进行中，属本文 OPEN 部分。</w:t>
      </w:r>
    </w:p>
    <w:p>
      <w:pPr>
        <w:spacing w:line="360" w:lineRule="auto" w:before="120" w:after="160"/>
        <w:jc w:val="left"/>
      </w:pPr>
      <w:r>
        <w:rPr>
          <w:rFonts w:ascii="Times New Roman" w:hAnsi="Times New Roman" w:eastAsia="宋体"/>
          <w:b/>
          <w:sz w:val="28"/>
        </w:rPr>
        <w:t>摘要</w:t>
      </w:r>
    </w:p>
    <w:p>
      <w:pPr>
        <w:spacing w:line="360" w:lineRule="auto" w:before="0" w:after="0"/>
        <w:ind w:firstLine="480"/>
      </w:pPr>
      <w:r>
        <w:rPr>
          <w:rFonts w:ascii="Times New Roman" w:hAnsi="Times New Roman" w:eastAsia="宋体"/>
          <w:b/>
          <w:sz w:val="24"/>
        </w:rPr>
        <w:t>目的[Objective]</w:t>
      </w:r>
      <w:r>
        <w:rPr>
          <w:rFonts w:ascii="Times New Roman" w:hAnsi="Times New Roman" w:eastAsia="宋体"/>
          <w:b w:val="0"/>
          <w:sz w:val="24"/>
        </w:rPr>
        <w:t xml:space="preserve">　检验工业级数据精炼流水线（面壁 UltraX，arXiv 2607.08646）的编辑行为是否在长尾/稀有内容上存在系统性偏斜，以及其聚合收益声明（16B 精炼 tokens 优于 20B 原始 tokens）是否掩盖切片层面的代价。</w:t>
      </w:r>
    </w:p>
    <w:p>
      <w:pPr>
        <w:spacing w:line="360" w:lineRule="auto" w:before="0" w:after="0"/>
        <w:ind w:firstLine="480"/>
      </w:pPr>
      <w:r>
        <w:rPr>
          <w:rFonts w:ascii="Times New Roman" w:hAnsi="Times New Roman" w:eastAsia="宋体"/>
          <w:b/>
          <w:sz w:val="24"/>
        </w:rPr>
        <w:t>方法[Methods]</w:t>
      </w:r>
      <w:r>
        <w:rPr>
          <w:rFonts w:ascii="Times New Roman" w:hAnsi="Times New Roman" w:eastAsia="宋体"/>
          <w:b w:val="0"/>
          <w:sz w:val="24"/>
        </w:rPr>
        <w:t xml:space="preserve">　以 UltraX 公开的「原文+精炼+编辑操作」三元组为被测对象，在 4 个英文语料（AICC/FineWeb/RedPajama-V2/Ultra-FineWeb，去重后 14.6 万篇）上做行级切片审计：稀有度用 wordfreq zipf 并剥离 OOV 结构通道；删除判定用行级模糊匹配并与操作日志交叉验证；主推断用文档聚类稳健 Logistic；并以「纯后缀截断」机械零模型分离流水线规则与语料自身形状；预注册确认性终点与修订日志公开。</w:t>
      </w:r>
    </w:p>
    <w:p>
      <w:pPr>
        <w:spacing w:line="360" w:lineRule="auto" w:before="0" w:after="0"/>
        <w:ind w:firstLine="480"/>
      </w:pPr>
      <w:r>
        <w:rPr>
          <w:rFonts w:ascii="Times New Roman" w:hAnsi="Times New Roman" w:eastAsia="宋体"/>
          <w:b/>
          <w:sz w:val="24"/>
        </w:rPr>
        <w:t>结果[Results]</w:t>
      </w:r>
      <w:r>
        <w:rPr>
          <w:rFonts w:ascii="Times New Roman" w:hAnsi="Times New Roman" w:eastAsia="宋体"/>
          <w:b w:val="0"/>
          <w:sz w:val="24"/>
        </w:rPr>
        <w:t xml:space="preserve">　正文行内稀有度对删除无主效应（p=0.43）；删除以位置为主导；稀有度×位置交互被机械尾截完全复现（−0.966 vs −0.916），表明删除规则是位置性的而非稀有度感知的；词级分析（接触、探索性）显示被删稀有 token 的知识占比（74.7%）低于保留池（98.0%）与语料基准（94.0%）——相对比例上删除更偏向非知识 token，但绝对量仍移除约每文档 2 个知识型稀有词，净效应方向未测。</w:t>
      </w:r>
    </w:p>
    <w:p>
      <w:pPr>
        <w:spacing w:line="360" w:lineRule="auto" w:before="0" w:after="0"/>
        <w:ind w:firstLine="480"/>
      </w:pPr>
      <w:r>
        <w:rPr>
          <w:rFonts w:ascii="Times New Roman" w:hAnsi="Times New Roman" w:eastAsia="宋体"/>
          <w:b/>
          <w:sz w:val="24"/>
        </w:rPr>
        <w:t>局限[Limitations]</w:t>
      </w:r>
      <w:r>
        <w:rPr>
          <w:rFonts w:ascii="Times New Roman" w:hAnsi="Times New Roman" w:eastAsia="宋体"/>
          <w:b w:val="0"/>
          <w:sz w:val="24"/>
        </w:rPr>
        <w:t xml:space="preserve">　本稿为测量侧审计，尚无下游代价证据（E2 未完成）；单一精炼系统案例；行级匹配仅在计数层面验证（r=0.894）；E1c 语料形状前提在行级功效不足；知识/噪声代理粗糙且部分循环；仅英文语料。</w:t>
      </w:r>
    </w:p>
    <w:p>
      <w:pPr>
        <w:spacing w:line="360" w:lineRule="auto" w:before="0" w:after="0"/>
        <w:ind w:firstLine="480"/>
      </w:pPr>
      <w:r>
        <w:rPr>
          <w:rFonts w:ascii="Times New Roman" w:hAnsi="Times New Roman" w:eastAsia="宋体"/>
          <w:b/>
          <w:sz w:val="24"/>
        </w:rPr>
        <w:t>结论[Conclusions]</w:t>
      </w:r>
      <w:r>
        <w:rPr>
          <w:rFonts w:ascii="Times New Roman" w:hAnsi="Times New Roman" w:eastAsia="宋体"/>
          <w:b w:val="0"/>
          <w:sz w:val="24"/>
        </w:rPr>
        <w:t xml:space="preserve">　审计侧结论稳健：UltraX 的删除规则是位置性（非稀有感知）的，聚合收益是否及在多大程度上来自尾截、被切尾部是廉价噪声还是稀有知识，取决于进行中的 E2。方法学贡献（行级审计 + 机械零模型分离规则与语料形状）可复用于同类精炼系统的评估。</w:t>
      </w:r>
    </w:p>
    <w:p>
      <w:pPr>
        <w:spacing w:line="360" w:lineRule="auto" w:before="0" w:after="0"/>
        <w:ind w:firstLine="480"/>
      </w:pPr>
      <w:r>
        <w:rPr>
          <w:rFonts w:ascii="Times New Roman" w:hAnsi="Times New Roman" w:eastAsia="宋体"/>
          <w:b/>
          <w:sz w:val="24"/>
        </w:rPr>
        <w:t>关键词</w:t>
      </w:r>
      <w:r>
        <w:rPr>
          <w:rFonts w:ascii="Times New Roman" w:hAnsi="Times New Roman" w:eastAsia="宋体"/>
          <w:b w:val="0"/>
          <w:sz w:val="24"/>
        </w:rPr>
        <w:t xml:space="preserve">　数据精炼；语料清洗；位置性尾截；长尾稀有度；预训练数据质量；切片评估</w:t>
      </w:r>
    </w:p>
    <w:p>
      <w:r>
        <w:br w:type="page"/>
      </w:r>
    </w:p>
    <w:p>
      <w:pPr>
        <w:spacing w:line="360" w:lineRule="auto" w:before="120" w:after="160"/>
        <w:jc w:val="left"/>
      </w:pPr>
      <w:r>
        <w:rPr>
          <w:rFonts w:ascii="Times New Roman" w:hAnsi="Times New Roman" w:eastAsia="宋体"/>
          <w:b/>
          <w:sz w:val="28"/>
        </w:rPr>
        <w:t>Abstract</w:t>
      </w:r>
    </w:p>
    <w:p>
      <w:pPr>
        <w:spacing w:line="360" w:lineRule="auto" w:before="0" w:after="0"/>
        <w:ind w:firstLine="480"/>
      </w:pPr>
      <w:r>
        <w:rPr>
          <w:rFonts w:ascii="Times New Roman" w:hAnsi="Times New Roman" w:eastAsia="宋体"/>
          <w:b/>
          <w:sz w:val="24"/>
        </w:rPr>
        <w:t>Objective</w:t>
      </w:r>
      <w:r>
        <w:rPr>
          <w:rFonts w:ascii="Times New Roman" w:hAnsi="Times New Roman" w:eastAsia="宋体"/>
          <w:b w:val="0"/>
          <w:sz w:val="24"/>
        </w:rPr>
        <w:t xml:space="preserve"> To test whether the edit behavior of an industrial data-refinement pipeline (UltraX, arXiv:2607.08646) is systematically skewed against long-tail/rare content, and whether its aggregate gain claim (16B refined tokens beating 20B raw tokens) conceals slice-level costs.</w:t>
      </w:r>
    </w:p>
    <w:p>
      <w:pPr>
        <w:spacing w:line="360" w:lineRule="auto" w:before="0" w:after="0"/>
        <w:ind w:firstLine="480"/>
      </w:pPr>
      <w:r>
        <w:rPr>
          <w:rFonts w:ascii="Times New Roman" w:hAnsi="Times New Roman" w:eastAsia="宋体"/>
          <w:b/>
          <w:sz w:val="24"/>
        </w:rPr>
        <w:t>Methods</w:t>
      </w:r>
      <w:r>
        <w:rPr>
          <w:rFonts w:ascii="Times New Roman" w:hAnsi="Times New Roman" w:eastAsia="宋体"/>
          <w:b w:val="0"/>
          <w:sz w:val="24"/>
        </w:rPr>
        <w:t xml:space="preserve"> We audit UltraX's public (raw, refined, edit-operation) triples as the object of study across four English corpora (AICC / FineWeb / RedPajama-V2 / Ultra-FineWeb; 146k deduplicated docs): line-level rarity via wordfreq zipf with OOV stripped as a structural channel; deletion judged by fuzzy line matching cross-checked against operation logs; inference via document-clustered robust logistic models; a pure suffix-truncation mechanical null separates the pipeline's rule from the corpus's own shape; confirmatory endpoints and a revision log are pre-registered.</w:t>
      </w:r>
    </w:p>
    <w:p>
      <w:pPr>
        <w:spacing w:line="360" w:lineRule="auto" w:before="0" w:after="0"/>
        <w:ind w:firstLine="480"/>
      </w:pPr>
      <w:r>
        <w:rPr>
          <w:rFonts w:ascii="Times New Roman" w:hAnsi="Times New Roman" w:eastAsia="宋体"/>
          <w:b/>
          <w:sz w:val="24"/>
        </w:rPr>
        <w:t>Results</w:t>
      </w:r>
      <w:r>
        <w:rPr>
          <w:rFonts w:ascii="Times New Roman" w:hAnsi="Times New Roman" w:eastAsia="宋体"/>
          <w:b w:val="0"/>
          <w:sz w:val="24"/>
        </w:rPr>
        <w:t xml:space="preserve"> Rarity has no main effect on deletion within body prose (p=0.43); deletion is position-dominated; the rarity×position interaction is fully reproduced by mechanical suffix truncation (−0.966 vs −0.916), indicating the deletion rule is positional rather than rarity-aware. Word-level analysis (contact, exploratory) shows lost rare tokens are 74.7% knowledge-like vs 98.0% in the kept pool and 94.0% in the corpus base rate — relative deletion favors non-knowledge tokens, yet ≈2 knowledge-like rare tokens per document are still removed; the net direction is unmeasured.</w:t>
      </w:r>
    </w:p>
    <w:p>
      <w:pPr>
        <w:spacing w:line="360" w:lineRule="auto" w:before="0" w:after="0"/>
        <w:ind w:firstLine="480"/>
      </w:pPr>
      <w:r>
        <w:rPr>
          <w:rFonts w:ascii="Times New Roman" w:hAnsi="Times New Roman" w:eastAsia="宋体"/>
          <w:b/>
          <w:sz w:val="24"/>
        </w:rPr>
        <w:t>Limitations</w:t>
      </w:r>
      <w:r>
        <w:rPr>
          <w:rFonts w:ascii="Times New Roman" w:hAnsi="Times New Roman" w:eastAsia="宋体"/>
          <w:b w:val="0"/>
          <w:sz w:val="24"/>
        </w:rPr>
        <w:t xml:space="preserve"> Measurement-side audit only; no downstream-cost evidence yet (E2 outstanding); single refinement system as case study; matcher validated at count level (r=0.894); E1c corpus-shape premise underpowered at line level; knowledge/noise proxy coarse and partly circular; English corpora only.</w:t>
      </w:r>
    </w:p>
    <w:p>
      <w:pPr>
        <w:spacing w:line="360" w:lineRule="auto" w:before="0" w:after="0"/>
        <w:ind w:firstLine="480"/>
      </w:pPr>
      <w:r>
        <w:rPr>
          <w:rFonts w:ascii="Times New Roman" w:hAnsi="Times New Roman" w:eastAsia="宋体"/>
          <w:b/>
          <w:sz w:val="24"/>
        </w:rPr>
        <w:t>Conclusions</w:t>
      </w:r>
      <w:r>
        <w:rPr>
          <w:rFonts w:ascii="Times New Roman" w:hAnsi="Times New Roman" w:eastAsia="宋体"/>
          <w:b w:val="0"/>
          <w:sz w:val="24"/>
        </w:rPr>
        <w:t xml:space="preserve"> The audit-side result is robust: UltraX's deletion rule is positional, not rarity-aware; whether and how much of the aggregate gain comes from tail-cutting, and whether the cut tail is cheap noise or costly knowledge, depends on the ongoing downstream stage (E2). The methodology (line-level audit plus a mechanical null separating rule from corpus shape) is reusable for evaluating learned refinement systems.</w:t>
      </w:r>
    </w:p>
    <w:p>
      <w:pPr>
        <w:spacing w:line="360" w:lineRule="auto" w:before="0" w:after="0"/>
        <w:ind w:firstLine="480"/>
      </w:pPr>
      <w:r>
        <w:rPr>
          <w:rFonts w:ascii="Times New Roman" w:hAnsi="Times New Roman" w:eastAsia="宋体"/>
          <w:b/>
          <w:sz w:val="24"/>
        </w:rPr>
        <w:t>Keywords</w:t>
      </w:r>
      <w:r>
        <w:rPr>
          <w:rFonts w:ascii="Times New Roman" w:hAnsi="Times New Roman" w:eastAsia="宋体"/>
          <w:b w:val="0"/>
          <w:sz w:val="24"/>
        </w:rPr>
        <w:t xml:space="preserve"> data refinement; corpus cleaning; positional tail-truncation; long-tail rarity; pretraining data quality; sliced evaluation</w:t>
      </w:r>
    </w:p>
    <w:p>
      <w:r>
        <w:br w:type="page"/>
      </w:r>
    </w:p>
    <w:p>
      <w:pPr>
        <w:spacing w:line="360" w:lineRule="auto" w:before="120" w:after="160"/>
        <w:jc w:val="left"/>
      </w:pPr>
      <w:r>
        <w:rPr>
          <w:rFonts w:ascii="Times New Roman" w:hAnsi="Times New Roman" w:eastAsia="宋体"/>
          <w:b/>
          <w:sz w:val="28"/>
        </w:rPr>
        <w:t>1. Introduction</w:t>
      </w:r>
    </w:p>
    <w:p>
      <w:pPr>
        <w:spacing w:line="360" w:lineRule="auto" w:before="0" w:after="0"/>
        <w:ind w:firstLine="480"/>
      </w:pPr>
      <w:r>
        <w:rPr>
          <w:rFonts w:ascii="Times New Roman" w:hAnsi="Times New Roman" w:eastAsia="宋体"/>
          <w:b w:val="0"/>
          <w:sz w:val="24"/>
        </w:rPr>
        <w:t xml:space="preserve">Data quality is now a first-class lever in LLM pretraining. UltraX, released by the MiniCPM/OpenBMBteam in 2026, refines web-scale corpora by training a </w:t>
      </w:r>
      <w:r>
        <w:rPr>
          <w:rFonts w:ascii="Times New Roman" w:hAnsi="Times New Roman" w:eastAsia="宋体"/>
          <w:b/>
          <w:sz w:val="24"/>
        </w:rPr>
        <w:t>lightweight model</w:t>
      </w:r>
      <w:r>
        <w:rPr>
          <w:rFonts w:ascii="Times New Roman" w:hAnsi="Times New Roman" w:eastAsia="宋体"/>
          <w:b w:val="0"/>
          <w:sz w:val="24"/>
        </w:rPr>
        <w:t xml:space="preserve"> (released weights:`openbmb/UltraX-0.6B-Preview`) to predict structured editoperations (`keep` / `delete` / `replace` / `insert`), which a deterministic executor applies toraw text. The claimed result is large and aggregate: less data, better models.</w:t>
      </w:r>
    </w:p>
    <w:p>
      <w:pPr>
        <w:spacing w:line="360" w:lineRule="auto" w:before="0" w:after="0"/>
        <w:ind w:firstLine="480"/>
      </w:pPr>
      <w:r>
        <w:rPr>
          <w:rFonts w:ascii="Times New Roman" w:hAnsi="Times New Roman" w:eastAsia="宋体"/>
          <w:b w:val="0"/>
          <w:sz w:val="24"/>
        </w:rPr>
        <w:t>Aggregate claims about *better models* are silent about *better for whom*. A refinement model isoptimized for corpus-level statistics; rare content is, by definition, under-represented in itsobjective. It is therefore a live empirical question — not a rhetorical one — whether refinementsystematically strips content about rare concepts, whether such stripping is a *cost* or a*blessing* (deleting rare *noise* is cheap, deleting rare *knowledge* is not), and whetheraggregate evaluations would hide either outcome.</w:t>
      </w:r>
    </w:p>
    <w:p>
      <w:pPr>
        <w:spacing w:line="360" w:lineRule="auto" w:before="0" w:after="0"/>
        <w:ind w:firstLine="480"/>
      </w:pPr>
      <w:r>
        <w:rPr>
          <w:rFonts w:ascii="Times New Roman" w:hAnsi="Times New Roman" w:eastAsia="宋体"/>
          <w:b w:val="0"/>
          <w:sz w:val="24"/>
        </w:rPr>
        <w:t xml:space="preserve">This paper contributes a </w:t>
      </w:r>
      <w:r>
        <w:rPr>
          <w:rFonts w:ascii="Times New Roman" w:hAnsi="Times New Roman" w:eastAsia="宋体"/>
          <w:b/>
          <w:sz w:val="24"/>
        </w:rPr>
        <w:t>sliced audit</w:t>
      </w:r>
      <w:r>
        <w:rPr>
          <w:rFonts w:ascii="Times New Roman" w:hAnsi="Times New Roman" w:eastAsia="宋体"/>
          <w:b w:val="0"/>
          <w:sz w:val="24"/>
        </w:rPr>
        <w:t xml:space="preserve"> of UltraX as an object of study:</w:t>
      </w:r>
    </w:p>
    <w:p>
      <w:pPr>
        <w:spacing w:line="360" w:lineRule="auto" w:before="0" w:after="0"/>
        <w:ind w:left="420"/>
      </w:pPr>
      <w:r>
        <w:rPr>
          <w:rFonts w:ascii="Times New Roman" w:hAnsi="Times New Roman" w:eastAsia="宋体"/>
          <w:b w:val="0"/>
          <w:sz w:val="24"/>
        </w:rPr>
        <w:t>We exploit UltraX's own release design: `openbmb/UltraX-Preview` ships</w:t>
      </w:r>
    </w:p>
    <w:p>
      <w:pPr>
        <w:spacing w:line="360" w:lineRule="auto" w:before="0" w:after="0"/>
        <w:ind w:firstLine="480"/>
      </w:pPr>
      <w:r>
        <w:rPr>
          <w:rFonts w:ascii="Times New Roman" w:hAnsi="Times New Roman" w:eastAsia="宋体"/>
          <w:b w:val="0"/>
          <w:sz w:val="24"/>
        </w:rPr>
        <w:t>`(raw, refined, edit operations)` triples — a ready-made, industrial-scale controlledexperiment with full intervention traces, Apache-2.0.</w:t>
      </w:r>
    </w:p>
    <w:p>
      <w:pPr>
        <w:spacing w:line="360" w:lineRule="auto" w:before="0" w:after="0"/>
        <w:ind w:left="420"/>
      </w:pPr>
      <w:r>
        <w:rPr>
          <w:rFonts w:ascii="Times New Roman" w:hAnsi="Times New Roman" w:eastAsia="宋体"/>
          <w:b w:val="0"/>
          <w:sz w:val="24"/>
        </w:rPr>
        <w:t>We measure *who* gets deleted along document position and rarity strata, with an explicit</w:t>
      </w:r>
    </w:p>
    <w:p>
      <w:pPr>
        <w:spacing w:line="360" w:lineRule="auto" w:before="0" w:after="0"/>
        <w:ind w:firstLine="480"/>
      </w:pPr>
      <w:r>
        <w:rPr>
          <w:rFonts w:ascii="Times New Roman" w:hAnsi="Times New Roman" w:eastAsia="宋体"/>
          <w:b/>
          <w:sz w:val="24"/>
        </w:rPr>
        <w:t>mechanical null model</w:t>
      </w:r>
      <w:r>
        <w:rPr>
          <w:rFonts w:ascii="Times New Roman" w:hAnsi="Times New Roman" w:eastAsia="宋体"/>
          <w:b w:val="0"/>
          <w:sz w:val="24"/>
        </w:rPr>
        <w:t xml:space="preserve"> (suffix truncation) to separate what the pipeline's rule is fromwhat the source corpus's structure does.</w:t>
      </w:r>
    </w:p>
    <w:p>
      <w:pPr>
        <w:spacing w:line="360" w:lineRule="auto" w:before="0" w:after="0"/>
        <w:ind w:left="420"/>
      </w:pPr>
      <w:r>
        <w:rPr>
          <w:rFonts w:ascii="Times New Roman" w:hAnsi="Times New Roman" w:eastAsia="宋体"/>
          <w:b w:val="0"/>
          <w:sz w:val="24"/>
        </w:rPr>
        <w:t>We pre-registered the confirmatory endpoints *before* running the downstream stage</w:t>
      </w:r>
    </w:p>
    <w:p>
      <w:pPr>
        <w:spacing w:line="360" w:lineRule="auto" w:before="0" w:after="0"/>
        <w:ind w:firstLine="480"/>
      </w:pPr>
      <w:r>
        <w:rPr>
          <w:rFonts w:ascii="Times New Roman" w:hAnsi="Times New Roman" w:eastAsia="宋体"/>
          <w:b w:val="0"/>
          <w:sz w:val="24"/>
        </w:rPr>
        <w:t>(`configs/preregistration.md`, v1.1), and publish negative results (the naive rarity-deletionhypothesis is falsified; the rarity×position interaction is mechanical).</w:t>
      </w:r>
    </w:p>
    <w:p>
      <w:pPr>
        <w:spacing w:line="360" w:lineRule="auto" w:before="0" w:after="0"/>
        <w:ind w:firstLine="480"/>
      </w:pPr>
      <w:r>
        <w:rPr>
          <w:rFonts w:ascii="Times New Roman" w:hAnsi="Times New Roman" w:eastAsia="宋体"/>
          <w:b/>
          <w:sz w:val="24"/>
        </w:rPr>
        <w:t>Why this matters beyond UltraX.</w:t>
      </w:r>
      <w:r>
        <w:rPr>
          <w:rFonts w:ascii="Times New Roman" w:hAnsi="Times New Roman" w:eastAsia="宋体"/>
          <w:b w:val="0"/>
          <w:sz w:val="24"/>
        </w:rPr>
        <w:t xml:space="preserve"> Web corpora are known to contain boilerplate at document tails,and any "clean smarter" pipeline is under pressure to cut length. If the *shape of the data*(rarity grows toward document ends) makes positional cleaning expensive in rarity terms, then awhole class of truncation-based cleaners could carry a hidden sliced cost that aggregate gainsconceal. We treat this class-level claim as a *hypothesis* for future work: the present paper'scontribution is the audit of one industrial system and a reusable methodology for separating acleaner's rule from the corpus shape it acts on.</w:t>
      </w:r>
    </w:p>
    <w:p>
      <w:r>
        <w:br w:type="page"/>
      </w:r>
    </w:p>
    <w:p>
      <w:pPr>
        <w:spacing w:line="360" w:lineRule="auto" w:before="120" w:after="160"/>
        <w:jc w:val="left"/>
      </w:pPr>
      <w:r>
        <w:rPr>
          <w:rFonts w:ascii="Times New Roman" w:hAnsi="Times New Roman" w:eastAsia="宋体"/>
          <w:b/>
          <w:sz w:val="28"/>
        </w:rPr>
        <w:t>2. Related Work</w:t>
      </w:r>
    </w:p>
    <w:p>
      <w:pPr>
        <w:spacing w:line="360" w:lineRule="auto" w:before="0" w:after="0"/>
        <w:ind w:firstLine="480"/>
      </w:pPr>
      <w:r>
        <w:rPr>
          <w:rFonts w:ascii="Times New Roman" w:hAnsi="Times New Roman" w:eastAsia="宋体"/>
          <w:b/>
          <w:sz w:val="24"/>
        </w:rPr>
        <w:t>Data refinement and cleaning.</w:t>
      </w:r>
      <w:r>
        <w:rPr>
          <w:rFonts w:ascii="Times New Roman" w:hAnsi="Times New Roman" w:eastAsia="宋体"/>
          <w:b w:val="0"/>
          <w:sz w:val="24"/>
        </w:rPr>
        <w:t xml:space="preserve"> UltraX (arXiv 2607.08646) and its tiered governance framework(arXiv 2602.09003) sit in a long line of corpus-cleaning work (e.g., Ultra-FineWeb, RefineX).These works validate with aggregate downstream numbers. To our knowledge, none performs aslice-level audit of the *editor's behavior* on long-tail strata. arXiv full-text search(`UltraX`; `perplexity AND (cleaning OR refinement) AND long-tail`) returns no follow-upaudit as of 2026-09-08.</w:t>
      </w:r>
    </w:p>
    <w:p>
      <w:pPr>
        <w:spacing w:line="360" w:lineRule="auto" w:before="0" w:after="0"/>
        <w:ind w:firstLine="480"/>
      </w:pPr>
      <w:r>
        <w:rPr>
          <w:rFonts w:ascii="Times New Roman" w:hAnsi="Times New Roman" w:eastAsia="宋体"/>
          <w:b/>
          <w:sz w:val="24"/>
        </w:rPr>
        <w:t>Sliced / stratified evaluation.</w:t>
      </w:r>
      <w:r>
        <w:rPr>
          <w:rFonts w:ascii="Times New Roman" w:hAnsi="Times New Roman" w:eastAsia="宋体"/>
          <w:b w:val="0"/>
          <w:sz w:val="24"/>
        </w:rPr>
        <w:t xml:space="preserve"> The dangers of aggregate metrics are well documented(e.g., PeerBench-style benchmark audits). Our contribution is to apply slice-level disciplineto a *data-production pipeline* rather than to a benchmark.</w:t>
      </w:r>
    </w:p>
    <w:p>
      <w:pPr>
        <w:spacing w:line="360" w:lineRule="auto" w:before="0" w:after="0"/>
        <w:ind w:firstLine="480"/>
      </w:pPr>
      <w:r>
        <w:rPr>
          <w:rFonts w:ascii="Times New Roman" w:hAnsi="Times New Roman" w:eastAsia="宋体"/>
          <w:b/>
          <w:sz w:val="24"/>
        </w:rPr>
        <w:t>Rarity in LLMs.</w:t>
      </w:r>
      <w:r>
        <w:rPr>
          <w:rFonts w:ascii="Times New Roman" w:hAnsi="Times New Roman" w:eastAsia="宋体"/>
          <w:b w:val="0"/>
          <w:sz w:val="24"/>
        </w:rPr>
        <w:t xml:space="preserve"> PopQA (Mallen et al., ACL 2023) established popularity-stratified QA;small-model knowledge benchmarks are floor-bound below ~300M parameters, which constrainsdownstream probe design (we use language-modeling diagnostics rather than capabilitybenchmarks for this reason).</w:t>
      </w:r>
    </w:p>
    <w:p>
      <w:pPr>
        <w:spacing w:line="360" w:lineRule="auto" w:before="0" w:after="0"/>
        <w:ind w:firstLine="480"/>
      </w:pPr>
      <w:r>
        <w:rPr>
          <w:rFonts w:ascii="Times New Roman" w:hAnsi="Times New Roman" w:eastAsia="宋体"/>
          <w:b/>
          <w:sz w:val="24"/>
        </w:rPr>
        <w:t>Positional structure of web text.</w:t>
      </w:r>
      <w:r>
        <w:rPr>
          <w:rFonts w:ascii="Times New Roman" w:hAnsi="Times New Roman" w:eastAsia="宋体"/>
          <w:b w:val="0"/>
          <w:sz w:val="24"/>
        </w:rPr>
        <w:t xml:space="preserve"> Web documents concentrate navigation/boilerplate at tails;we contribute a measurement of *rarity concentration at tails* as a corpus-level propertyrelevant to positional cleaners.</w:t>
      </w:r>
    </w:p>
    <w:p>
      <w:pPr>
        <w:spacing w:line="360" w:lineRule="auto" w:before="0" w:after="0"/>
        <w:ind w:firstLine="480"/>
      </w:pPr>
      <w:r>
        <w:rPr>
          <w:rFonts w:ascii="Times New Roman" w:hAnsi="Times New Roman" w:eastAsia="宋体"/>
          <w:b/>
          <w:sz w:val="24"/>
        </w:rPr>
        <w:t>Related work gap acknowledged.</w:t>
      </w:r>
      <w:r>
        <w:rPr>
          <w:rFonts w:ascii="Times New Roman" w:hAnsi="Times New Roman" w:eastAsia="宋体"/>
          <w:b w:val="0"/>
          <w:sz w:val="24"/>
        </w:rPr>
        <w:t xml:space="preserve"> A large adjacent literature studies how *quality filtering*itself skews distributions (e.g., perplexity-based filters systematically retaining high-resourcevarieties and excluding dialectal / low-resource content; classifier-based filters over-deletinginformal-but-factual text), plus work on data pruning and deduplication effects on rare sequences(candidate refs: arXiv:2605.06901 on perplexity-filter bias; arXiv:2303.18223 survey on filteringeffects; Marion et al., "When Less is More"; Lee et al. on deduplication — to be verified andcited precisely in the final version). Those studies measure the *bias of filters themselves*;ours measures the *edit behavior of one specific learned refiner* and separates its rule from thecorpus shape. Positioning against this literature is completed in the next revision.</w:t>
      </w:r>
    </w:p>
    <w:p>
      <w:r>
        <w:br w:type="page"/>
      </w:r>
    </w:p>
    <w:p>
      <w:pPr>
        <w:spacing w:line="360" w:lineRule="auto" w:before="120" w:after="160"/>
        <w:jc w:val="left"/>
      </w:pPr>
      <w:r>
        <w:rPr>
          <w:rFonts w:ascii="Times New Roman" w:hAnsi="Times New Roman" w:eastAsia="宋体"/>
          <w:b/>
          <w:sz w:val="28"/>
        </w:rPr>
        <w:t>3. Object and Data</w:t>
      </w:r>
    </w:p>
    <w:p>
      <w:pPr>
        <w:spacing w:line="360" w:lineRule="auto" w:before="0" w:after="0"/>
        <w:ind w:firstLine="480"/>
      </w:pPr>
      <w:r>
        <w:rPr>
          <w:rFonts w:ascii="Times New Roman" w:hAnsi="Times New Roman" w:eastAsia="宋体"/>
          <w:b w:val="0"/>
          <w:sz w:val="24"/>
        </w:rPr>
        <w:t>We audit `openbmb/UltraX-Preview` (Apache-2.0; ≈114M records). Fields: `uid`,`raw_content`, `cleaned_content`, `processed_functions` (line-oriented, function-call format),`source`. The dataset contains five source directories; we use four English corpora:</w:t>
      </w:r>
      <w:r>
        <w:rPr>
          <w:rFonts w:ascii="Times New Roman" w:hAnsi="Times New Roman" w:eastAsia="宋体"/>
          <w:b/>
          <w:sz w:val="24"/>
        </w:rPr>
        <w:t>AICC, FineWeb, RedPajama-V2, Ultra-FineWeb</w:t>
      </w:r>
      <w:r>
        <w:rPr>
          <w:rFonts w:ascii="Times New Roman" w:hAnsi="Times New Roman" w:eastAsia="宋体"/>
          <w:b w:val="0"/>
          <w:sz w:val="24"/>
        </w:rPr>
        <w:t>.</w:t>
      </w:r>
    </w:p>
    <w:p>
      <w:pPr>
        <w:spacing w:line="360" w:lineRule="auto" w:before="0" w:after="0"/>
        <w:ind w:firstLine="480"/>
      </w:pPr>
      <w:r>
        <w:rPr>
          <w:rFonts w:ascii="Times New Roman" w:hAnsi="Times New Roman" w:eastAsia="宋体"/>
          <w:b w:val="0"/>
          <w:sz w:val="24"/>
        </w:rPr>
        <w:t>UltraX's function space (paper §3.2/Table 1) is inherently *contiguous-range* editing:`remove_lines(start_line, end_line)` deletes a consecutive line range, `replace_str(line, …)`is localized string replacement, `add_line(…)` inserts, and `keep_all()` / `remove_all()` aredocument-level. The refiner is a lightweight model; the released weights are`openbmb/UltraX-0.6B-Preview` (the "0.6B" figure is from the model card, not the paper body).</w:t>
      </w:r>
      <w:r>
        <w:rPr>
          <w:rFonts w:ascii="Times New Roman" w:hAnsi="Times New Roman" w:eastAsia="宋体"/>
          <w:b/>
          <w:sz w:val="24"/>
        </w:rPr>
        <w:t>Because deletion is range-based, positional structure is partly present by design — our auditmeasures what falls inside those ranges (rarity strata), not whether deletion is contiguous.</w:t>
      </w:r>
      <w:r>
        <w:rPr>
          <w:rFonts w:ascii="Times New Roman" w:hAnsi="Times New Roman" w:eastAsia="宋体"/>
          <w:b w:val="0"/>
          <w:sz w:val="24"/>
        </w:rPr>
        <w:t>The paper's data-efficiency headline is verified from the full text (§4.2): a ≈1B MiniCPM modeltrained on 16B UltraX-refined tokens scores 45.49, above Raw / ProX-C trained on 20B tokens(45.08 / 45.05). The paper itself argues (§4.4) that its advantage "does not stem from simplydeleting more content" — our slice-level audit interrogates precisely that claim.</w:t>
      </w:r>
    </w:p>
    <w:p>
      <w:pPr>
        <w:spacing w:line="360" w:lineRule="auto" w:before="0" w:after="0"/>
        <w:ind w:firstLine="480"/>
      </w:pPr>
      <w:r>
        <w:rPr>
          <w:rFonts w:ascii="Times New Roman" w:hAnsi="Times New Roman" w:eastAsia="宋体"/>
          <w:b w:val="0"/>
          <w:sz w:val="24"/>
        </w:rPr>
        <w:t>Edit-operation taxonomy on our sample [DONE]: `remove_lines(a,b)` dominates;`replace_str` is mostly global formatting (newline removal), separated from content deletionsthroughout. Median character retention 0.848 and line count 31 → 10 come from a 300-docdiagnostic (provenance note; not re-derived in committed artifacts).</w:t>
      </w:r>
    </w:p>
    <w:p>
      <w:pPr>
        <w:spacing w:line="360" w:lineRule="auto" w:before="0" w:after="0"/>
        <w:ind w:firstLine="480"/>
      </w:pPr>
      <w:r>
        <w:rPr>
          <w:rFonts w:ascii="Times New Roman" w:hAnsi="Times New Roman" w:eastAsia="宋体"/>
          <w:b w:val="0"/>
          <w:sz w:val="24"/>
        </w:rPr>
        <w:t>Samples: main audit n=4,800 docs / 101,250 sampled lines (regression analysis sample n=101,046after dropping rows with missing covariates); pilot pipeline n=146,185 deduplicated documents.Note: Ultra-FineWeb is itself an already-refined version of FineWeb; auditing it means applyingUltraX a second time (second-order refinement), which we flag because its weaker signal(§5.2) may partly reflect a cleaner input distribution rather than corpus quality.</w:t>
      </w:r>
    </w:p>
    <w:p>
      <w:r>
        <w:br w:type="page"/>
      </w:r>
    </w:p>
    <w:p>
      <w:pPr>
        <w:spacing w:line="360" w:lineRule="auto" w:before="120" w:after="160"/>
        <w:jc w:val="left"/>
      </w:pPr>
      <w:r>
        <w:rPr>
          <w:rFonts w:ascii="Times New Roman" w:hAnsi="Times New Roman" w:eastAsia="宋体"/>
          <w:b/>
          <w:sz w:val="28"/>
        </w:rPr>
        <w:t>4. Method</w:t>
      </w:r>
    </w:p>
    <w:p>
      <w:pPr>
        <w:spacing w:line="360" w:lineRule="auto" w:before="200" w:after="80"/>
      </w:pPr>
      <w:r>
        <w:rPr>
          <w:rFonts w:ascii="Times New Roman" w:hAnsi="Times New Roman" w:eastAsia="楷体_GB2312"/>
          <w:b w:val="0"/>
          <w:sz w:val="24"/>
        </w:rPr>
        <w:t>4.1 What counts as "deleted"</w:t>
      </w:r>
    </w:p>
    <w:p>
      <w:pPr>
        <w:spacing w:line="360" w:lineRule="auto" w:before="0" w:after="0"/>
        <w:ind w:firstLine="480"/>
      </w:pPr>
      <w:r>
        <w:rPr>
          <w:rFonts w:ascii="Times New Roman" w:hAnsi="Times New Roman" w:eastAsia="宋体"/>
          <w:b w:val="0"/>
          <w:sz w:val="24"/>
        </w:rPr>
        <w:t xml:space="preserve">We do </w:t>
      </w:r>
      <w:r>
        <w:rPr>
          <w:rFonts w:ascii="Times New Roman" w:hAnsi="Times New Roman" w:eastAsia="宋体"/>
          <w:b/>
          <w:sz w:val="24"/>
        </w:rPr>
        <w:t>not</w:t>
      </w:r>
      <w:r>
        <w:rPr>
          <w:rFonts w:ascii="Times New Roman" w:hAnsi="Times New Roman" w:eastAsia="宋体"/>
          <w:b w:val="0"/>
          <w:sz w:val="24"/>
        </w:rPr>
        <w:t xml:space="preserve"> reconstruct deletions from operation logs (the semantics of `replace_str`over line numbering are underdetermined). Instead, a raw line is *kept* if it fuzzily appearsin the refined text: exact-substring fast path, else `rapidfuzz.partial_ratio` against thededuplicated set of refined lines, threshold 90 (sensitivity 85/95 reported). Line-to-linematching (not whole-document) avoids a length-truncation bias on long documents.</w:t>
      </w:r>
    </w:p>
    <w:p>
      <w:pPr>
        <w:spacing w:line="360" w:lineRule="auto" w:before="0" w:after="0"/>
        <w:ind w:firstLine="480"/>
      </w:pPr>
      <w:r>
        <w:rPr>
          <w:rFonts w:ascii="Times New Roman" w:hAnsi="Times New Roman" w:eastAsia="宋体"/>
          <w:b/>
          <w:sz w:val="24"/>
        </w:rPr>
        <w:t>Matcher validity — count-level cross-check [DONE]</w:t>
      </w:r>
      <w:r>
        <w:rPr>
          <w:rFonts w:ascii="Times New Roman" w:hAnsi="Times New Roman" w:eastAsia="宋体"/>
          <w:b w:val="0"/>
          <w:sz w:val="24"/>
        </w:rPr>
        <w:t xml:space="preserve">:judged-deleted line count vs. operation-log implied count (`remove_lines` span sizes) correlatesat </w:t>
      </w:r>
      <w:r>
        <w:rPr>
          <w:rFonts w:ascii="Times New Roman" w:hAnsi="Times New Roman" w:eastAsia="宋体"/>
          <w:b/>
          <w:sz w:val="24"/>
        </w:rPr>
        <w:t>Pearson r = 0.894</w:t>
      </w:r>
      <w:r>
        <w:rPr>
          <w:rFonts w:ascii="Times New Roman" w:hAnsi="Times New Roman" w:eastAsia="宋体"/>
          <w:b w:val="0"/>
          <w:sz w:val="24"/>
        </w:rPr>
        <w:t xml:space="preserve"> across documents. Two honest caveats: (i) counts agree at the aggregatelevel but judged deletion is systematically </w:t>
      </w:r>
      <w:r>
        <w:rPr>
          <w:rFonts w:ascii="Times New Roman" w:hAnsi="Times New Roman" w:eastAsia="宋体"/>
          <w:b/>
          <w:sz w:val="24"/>
        </w:rPr>
        <w:t>lower</w:t>
      </w:r>
      <w:r>
        <w:rPr>
          <w:rFonts w:ascii="Times New Roman" w:hAnsi="Times New Roman" w:eastAsia="宋体"/>
          <w:b w:val="0"/>
          <w:sz w:val="24"/>
        </w:rPr>
        <w:t xml:space="preserve"> than op-implied by ≈24%(Σ judged 11,192 vs Σ ops 14,808), consistent with the matcher missing merged/rewritten lines;(ii) 62.5% of documents contain `replace_str` (line-merging/rewriting), the regime where fuzzymatching is least reliable, while only 37.5% are pure-`remove_lines` documents. A line-levelhuman audit (protocol §5, T3) is planned; until then the r=0.894 is reported as a count-levelcross-check, not line-level precision.</w:t>
      </w:r>
    </w:p>
    <w:p>
      <w:pPr>
        <w:spacing w:line="360" w:lineRule="auto" w:before="200" w:after="80"/>
      </w:pPr>
      <w:r>
        <w:rPr>
          <w:rFonts w:ascii="Times New Roman" w:hAnsi="Times New Roman" w:eastAsia="楷体_GB2312"/>
          <w:b w:val="0"/>
          <w:sz w:val="24"/>
        </w:rPr>
        <w:t>4.2 Rarity</w:t>
      </w:r>
    </w:p>
    <w:p>
      <w:pPr>
        <w:spacing w:line="360" w:lineRule="auto" w:before="0" w:after="0"/>
        <w:ind w:firstLine="480"/>
      </w:pPr>
      <w:r>
        <w:rPr>
          <w:rFonts w:ascii="Times New Roman" w:hAnsi="Times New Roman" w:eastAsia="宋体"/>
          <w:b w:val="0"/>
          <w:sz w:val="24"/>
        </w:rPr>
        <w:t xml:space="preserve">Token rarity = wordfreq zipf frequency (en). Out-of-vocabulary (OOV) tokens (URLs, code,non-English) are </w:t>
      </w:r>
      <w:r>
        <w:rPr>
          <w:rFonts w:ascii="Times New Roman" w:hAnsi="Times New Roman" w:eastAsia="宋体"/>
          <w:b/>
          <w:sz w:val="24"/>
        </w:rPr>
        <w:t>separated from the rarity channel</w:t>
      </w:r>
      <w:r>
        <w:rPr>
          <w:rFonts w:ascii="Times New Roman" w:hAnsi="Times New Roman" w:eastAsia="宋体"/>
          <w:b w:val="0"/>
          <w:sz w:val="24"/>
        </w:rPr>
        <w:t xml:space="preserve">: OOV-heavy lines form a structuralchannel (deleted 6.1% OOV vs 2.4% kept). Lines are classified head / tail-knowledge /tail-noise by position and vocabulary content using a </w:t>
      </w:r>
      <w:r>
        <w:rPr>
          <w:rFonts w:ascii="Times New Roman" w:hAnsi="Times New Roman" w:eastAsia="宋体"/>
          <w:b/>
          <w:sz w:val="24"/>
        </w:rPr>
        <w:t>frozen</w:t>
      </w:r>
      <w:r>
        <w:rPr>
          <w:rFonts w:ascii="Times New Roman" w:hAnsi="Times New Roman" w:eastAsia="宋体"/>
          <w:b w:val="0"/>
          <w:sz w:val="24"/>
        </w:rPr>
        <w:t xml:space="preserve"> classifier(thresholds fixed a priori, not tuned on evaluation data).</w:t>
      </w:r>
    </w:p>
    <w:p>
      <w:pPr>
        <w:spacing w:line="360" w:lineRule="auto" w:before="200" w:after="80"/>
      </w:pPr>
      <w:r>
        <w:rPr>
          <w:rFonts w:ascii="Times New Roman" w:hAnsi="Times New Roman" w:eastAsia="楷体_GB2312"/>
          <w:b w:val="0"/>
          <w:sz w:val="24"/>
        </w:rPr>
        <w:t>4.3 Estimands and models</w:t>
      </w:r>
    </w:p>
    <w:p>
      <w:pPr>
        <w:spacing w:line="360" w:lineRule="auto" w:before="0" w:after="0"/>
        <w:ind w:firstLine="480"/>
      </w:pPr>
      <w:r>
        <w:rPr>
          <w:rFonts w:ascii="Times New Roman" w:hAnsi="Times New Roman" w:eastAsia="宋体"/>
          <w:b w:val="0"/>
          <w:sz w:val="24"/>
        </w:rPr>
        <w:t>Document-level stratification (raw document as the atomic unit); Calibration/Train/Evalsplits; evaluation anchors are raw-form text shared by both arms.</w:t>
      </w:r>
    </w:p>
    <w:p>
      <w:pPr>
        <w:spacing w:line="360" w:lineRule="auto" w:before="0" w:after="0"/>
        <w:ind w:firstLine="480"/>
      </w:pPr>
      <w:r>
        <w:rPr>
          <w:rFonts w:ascii="Times New Roman" w:hAnsi="Times New Roman" w:eastAsia="宋体"/>
          <w:b w:val="0"/>
          <w:sz w:val="24"/>
        </w:rPr>
        <w:t>Logistic models, clustered standard errors by document:</w:t>
      </w:r>
    </w:p>
    <w:p>
      <w:pPr>
        <w:spacing w:line="360" w:lineRule="auto" w:before="0" w:after="0"/>
        <w:ind w:left="420"/>
      </w:pPr>
      <w:r>
        <w:rPr>
          <w:rFonts w:ascii="Times New Roman" w:hAnsi="Times New Roman" w:eastAsia="宋体"/>
          <w:b/>
          <w:sz w:val="24"/>
        </w:rPr>
        <w:t>M1</w:t>
      </w:r>
      <w:r>
        <w:rPr>
          <w:rFonts w:ascii="Times New Roman" w:hAnsi="Times New Roman" w:eastAsia="宋体"/>
          <w:b w:val="0"/>
          <w:sz w:val="24"/>
        </w:rPr>
        <w:t xml:space="preserve"> (body prose only): `kept ~ rarity + log_len + pos + oov`</w:t>
      </w:r>
    </w:p>
    <w:p>
      <w:pPr>
        <w:spacing w:line="360" w:lineRule="auto" w:before="0" w:after="0"/>
        <w:ind w:left="420"/>
      </w:pPr>
      <w:r>
        <w:rPr>
          <w:rFonts w:ascii="Times New Roman" w:hAnsi="Times New Roman" w:eastAsia="宋体"/>
          <w:b/>
          <w:sz w:val="24"/>
        </w:rPr>
        <w:t>M2</w:t>
      </w:r>
      <w:r>
        <w:rPr>
          <w:rFonts w:ascii="Times New Roman" w:hAnsi="Times New Roman" w:eastAsia="宋体"/>
          <w:b w:val="0"/>
          <w:sz w:val="24"/>
        </w:rPr>
        <w:t xml:space="preserve"> (all): adds `is_heading` and `rarity × is_heading`</w:t>
      </w:r>
    </w:p>
    <w:p>
      <w:pPr>
        <w:spacing w:line="360" w:lineRule="auto" w:before="0" w:after="0"/>
        <w:ind w:left="420"/>
      </w:pPr>
      <w:r>
        <w:rPr>
          <w:rFonts w:ascii="Times New Roman" w:hAnsi="Times New Roman" w:eastAsia="宋体"/>
          <w:b/>
          <w:sz w:val="24"/>
        </w:rPr>
        <w:t>M3</w:t>
      </w:r>
      <w:r>
        <w:rPr>
          <w:rFonts w:ascii="Times New Roman" w:hAnsi="Times New Roman" w:eastAsia="宋体"/>
          <w:b w:val="0"/>
          <w:sz w:val="24"/>
        </w:rPr>
        <w:t xml:space="preserve"> (all): `kept ~ rarity × pos + log_len + is_heading + oov`</w:t>
      </w:r>
    </w:p>
    <w:p>
      <w:pPr>
        <w:spacing w:line="360" w:lineRule="auto" w:before="200" w:after="80"/>
      </w:pPr>
      <w:r>
        <w:rPr>
          <w:rFonts w:ascii="Times New Roman" w:hAnsi="Times New Roman" w:eastAsia="楷体_GB2312"/>
          <w:b w:val="0"/>
          <w:sz w:val="24"/>
        </w:rPr>
        <w:t>4.4 The mechanical null (T2)</w:t>
      </w:r>
    </w:p>
    <w:p>
      <w:pPr>
        <w:spacing w:line="360" w:lineRule="auto" w:before="0" w:after="0"/>
        <w:ind w:firstLine="480"/>
      </w:pPr>
      <w:r>
        <w:rPr>
          <w:rFonts w:ascii="Times New Roman" w:hAnsi="Times New Roman" w:eastAsia="宋体"/>
          <w:b w:val="0"/>
          <w:sz w:val="24"/>
        </w:rPr>
        <w:t>A suffix-truncation rule — "delete the last k lines where k = the document's observed deletioncount" — is fitted under the *same* regression. If the pipeline is position-truncating, M3coefficients under the simulated labels will match the observed ones; the *excess* of observedover simulated is the genuine signal.</w:t>
      </w:r>
    </w:p>
    <w:p>
      <w:r>
        <w:br w:type="page"/>
      </w:r>
    </w:p>
    <w:p>
      <w:pPr>
        <w:spacing w:line="360" w:lineRule="auto" w:before="120" w:after="160"/>
        <w:jc w:val="left"/>
      </w:pPr>
      <w:r>
        <w:rPr>
          <w:rFonts w:ascii="Times New Roman" w:hAnsi="Times New Roman" w:eastAsia="宋体"/>
          <w:b/>
          <w:sz w:val="28"/>
        </w:rPr>
        <w:t>5. Results [DONE unless marked]</w:t>
      </w:r>
    </w:p>
    <w:p>
      <w:pPr>
        <w:spacing w:line="360" w:lineRule="auto" w:before="200" w:after="80"/>
      </w:pPr>
      <w:r>
        <w:rPr>
          <w:rFonts w:ascii="Times New Roman" w:hAnsi="Times New Roman" w:eastAsia="楷体_GB2312"/>
          <w:b w:val="0"/>
          <w:sz w:val="24"/>
        </w:rPr>
        <w:t>5.1 Deletion is position-dominated, not rarity-aware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pPr>
            <w:r>
              <w:rPr>
                <w:rFonts w:ascii="Times New Roman" w:hAnsi="Times New Roman" w:eastAsia="宋体"/>
                <w:b/>
                <w:sz w:val="21"/>
              </w:rPr>
              <w:t>model</w:t>
            </w:r>
          </w:p>
        </w:tc>
        <w:tc>
          <w:tcPr>
            <w:tcW w:type="dxa" w:w="1814"/>
          </w:tcPr>
          <w:p>
            <w:pPr>
              <w:spacing w:line="240" w:lineRule="auto"/>
            </w:pPr>
            <w:r>
              <w:rPr>
                <w:rFonts w:ascii="Times New Roman" w:hAnsi="Times New Roman" w:eastAsia="宋体"/>
                <w:b/>
                <w:sz w:val="21"/>
              </w:rPr>
              <w:t>pos coef (OR)</w:t>
            </w:r>
          </w:p>
        </w:tc>
        <w:tc>
          <w:tcPr>
            <w:tcW w:type="dxa" w:w="1814"/>
          </w:tcPr>
          <w:p>
            <w:pPr>
              <w:spacing w:line="240" w:lineRule="auto"/>
            </w:pPr>
            <w:r>
              <w:rPr>
                <w:rFonts w:ascii="Times New Roman" w:hAnsi="Times New Roman" w:eastAsia="宋体"/>
                <w:b/>
                <w:sz w:val="21"/>
              </w:rPr>
              <w:t>rarity coef</w:t>
            </w:r>
          </w:p>
        </w:tc>
        <w:tc>
          <w:tcPr>
            <w:tcW w:type="dxa" w:w="1814"/>
          </w:tcPr>
          <w:p>
            <w:pPr>
              <w:spacing w:line="240" w:lineRule="auto"/>
            </w:pPr>
            <w:r>
              <w:rPr>
                <w:rFonts w:ascii="Times New Roman" w:hAnsi="Times New Roman" w:eastAsia="宋体"/>
                <w:b/>
                <w:sz w:val="21"/>
              </w:rPr>
              <w:t>rarity×pos</w:t>
            </w:r>
          </w:p>
        </w:tc>
        <w:tc>
          <w:tcPr>
            <w:tcW w:type="dxa" w:w="1814"/>
          </w:tcPr>
          <w:p>
            <w:pPr>
              <w:spacing w:line="240" w:lineRule="auto"/>
            </w:pPr>
            <w:r>
              <w:rPr>
                <w:rFonts w:ascii="Times New Roman" w:hAnsi="Times New Roman" w:eastAsia="宋体"/>
                <w:b/>
                <w:sz w:val="21"/>
              </w:rPr>
              <w:t>note</w:t>
            </w:r>
          </w:p>
        </w:tc>
      </w:tr>
      <w:tr>
        <w:tc>
          <w:tcPr>
            <w:tcW w:type="dxa" w:w="1814"/>
          </w:tcPr>
          <w:p>
            <w:pPr>
              <w:spacing w:line="240" w:lineRule="auto"/>
            </w:pPr>
            <w:r>
              <w:rPr>
                <w:rFonts w:ascii="Times New Roman" w:hAnsi="Times New Roman" w:eastAsia="宋体"/>
                <w:b w:val="0"/>
                <w:sz w:val="21"/>
              </w:rPr>
              <w:t>M1 (prose)</w:t>
            </w:r>
          </w:p>
        </w:tc>
        <w:tc>
          <w:tcPr>
            <w:tcW w:type="dxa" w:w="1814"/>
          </w:tcPr>
          <w:p>
            <w:pPr>
              <w:spacing w:line="240" w:lineRule="auto"/>
            </w:pPr>
            <w:r>
              <w:rPr>
                <w:rFonts w:ascii="Times New Roman" w:hAnsi="Times New Roman" w:eastAsia="宋体"/>
                <w:b/>
                <w:sz w:val="21"/>
              </w:rPr>
              <w:t>−1.48 (OR 0.23, p&lt;1e-10)</w:t>
            </w:r>
          </w:p>
        </w:tc>
        <w:tc>
          <w:tcPr>
            <w:tcW w:type="dxa" w:w="1814"/>
          </w:tcPr>
          <w:p>
            <w:pPr>
              <w:spacing w:line="240" w:lineRule="auto"/>
            </w:pPr>
            <w:r>
              <w:rPr>
                <w:rFonts w:ascii="Times New Roman" w:hAnsi="Times New Roman" w:eastAsia="宋体"/>
                <w:b w:val="0"/>
                <w:sz w:val="21"/>
              </w:rPr>
              <w:t>+0.096 (</w:t>
            </w:r>
            <w:r>
              <w:rPr>
                <w:rFonts w:ascii="Times New Roman" w:hAnsi="Times New Roman" w:eastAsia="宋体"/>
                <w:b/>
                <w:sz w:val="21"/>
              </w:rPr>
              <w:t>p=0.43, null</w:t>
            </w:r>
            <w:r>
              <w:rPr>
                <w:rFonts w:ascii="Times New Roman" w:hAnsi="Times New Roman" w:eastAsia="宋体"/>
                <w:b w:val="0"/>
                <w:sz w:val="21"/>
              </w:rPr>
              <w:t>)</w:t>
            </w:r>
          </w:p>
        </w:tc>
        <w:tc>
          <w:tcPr>
            <w:tcW w:type="dxa" w:w="1814"/>
          </w:tcPr>
          <w:p>
            <w:pPr>
              <w:spacing w:line="240" w:lineRule="auto"/>
            </w:pPr>
            <w:r>
              <w:rPr>
                <w:rFonts w:ascii="Times New Roman" w:hAnsi="Times New Roman" w:eastAsia="宋体"/>
                <w:b w:val="0"/>
                <w:sz w:val="21"/>
              </w:rPr>
              <w:t>—</w:t>
            </w:r>
          </w:p>
        </w:tc>
        <w:tc>
          <w:tcPr>
            <w:tcW w:type="dxa" w:w="1814"/>
          </w:tcPr>
          <w:p>
            <w:pPr>
              <w:spacing w:line="240" w:lineRule="auto"/>
            </w:pPr>
            <w:r>
              <w:rPr>
                <w:rFonts w:ascii="Times New Roman" w:hAnsi="Times New Roman" w:eastAsia="宋体"/>
                <w:b w:val="0"/>
                <w:sz w:val="21"/>
              </w:rPr>
              <w:t xml:space="preserve">naive rarity-deletion </w:t>
            </w:r>
            <w:r>
              <w:rPr>
                <w:rFonts w:ascii="Times New Roman" w:hAnsi="Times New Roman" w:eastAsia="宋体"/>
                <w:b/>
                <w:sz w:val="21"/>
              </w:rPr>
              <w:t>falsified</w:t>
            </w:r>
          </w:p>
        </w:tc>
      </w:tr>
      <w:tr>
        <w:tc>
          <w:tcPr>
            <w:tcW w:type="dxa" w:w="1814"/>
          </w:tcPr>
          <w:p>
            <w:pPr>
              <w:spacing w:line="240" w:lineRule="auto"/>
            </w:pPr>
            <w:r>
              <w:rPr>
                <w:rFonts w:ascii="Times New Roman" w:hAnsi="Times New Roman" w:eastAsia="宋体"/>
                <w:b w:val="0"/>
                <w:sz w:val="21"/>
              </w:rPr>
              <w:t>M3 (all)</w:t>
            </w:r>
          </w:p>
        </w:tc>
        <w:tc>
          <w:tcPr>
            <w:tcW w:type="dxa" w:w="1814"/>
          </w:tcPr>
          <w:p>
            <w:pPr>
              <w:spacing w:line="240" w:lineRule="auto"/>
            </w:pPr>
            <w:r>
              <w:rPr>
                <w:rFonts w:ascii="Times New Roman" w:hAnsi="Times New Roman" w:eastAsia="宋体"/>
                <w:b w:val="0"/>
                <w:sz w:val="21"/>
              </w:rPr>
              <w:t>+2.99*</w:t>
            </w:r>
          </w:p>
        </w:tc>
        <w:tc>
          <w:tcPr>
            <w:tcW w:type="dxa" w:w="1814"/>
          </w:tcPr>
          <w:p>
            <w:pPr>
              <w:spacing w:line="240" w:lineRule="auto"/>
            </w:pPr>
            <w:r>
              <w:rPr>
                <w:rFonts w:ascii="Times New Roman" w:hAnsi="Times New Roman" w:eastAsia="宋体"/>
                <w:b w:val="0"/>
                <w:sz w:val="21"/>
              </w:rPr>
              <w:t>+0.60</w:t>
            </w:r>
          </w:p>
        </w:tc>
        <w:tc>
          <w:tcPr>
            <w:tcW w:type="dxa" w:w="1814"/>
          </w:tcPr>
          <w:p>
            <w:pPr>
              <w:spacing w:line="240" w:lineRule="auto"/>
            </w:pPr>
            <w:r>
              <w:rPr>
                <w:rFonts w:ascii="Times New Roman" w:hAnsi="Times New Roman" w:eastAsia="宋体"/>
                <w:b/>
                <w:sz w:val="21"/>
              </w:rPr>
              <w:t>−0.916 (p&lt;1e-10)</w:t>
            </w:r>
          </w:p>
        </w:tc>
        <w:tc>
          <w:tcPr>
            <w:tcW w:type="dxa" w:w="1814"/>
          </w:tcPr>
          <w:p>
            <w:pPr>
              <w:spacing w:line="240" w:lineRule="auto"/>
            </w:pPr>
            <w:r>
              <w:rPr>
                <w:rFonts w:ascii="Times New Roman" w:hAnsi="Times New Roman" w:eastAsia="宋体"/>
                <w:b w:val="0"/>
                <w:sz w:val="21"/>
              </w:rPr>
              <w:t>*conditional at rarity=0; see text</w:t>
            </w:r>
          </w:p>
        </w:tc>
      </w:tr>
      <w:tr>
        <w:tc>
          <w:tcPr>
            <w:tcW w:type="dxa" w:w="1814"/>
          </w:tcPr>
          <w:p>
            <w:pPr>
              <w:spacing w:line="240" w:lineRule="auto"/>
            </w:pPr>
            <w:r>
              <w:rPr>
                <w:rFonts w:ascii="Times New Roman" w:hAnsi="Times New Roman" w:eastAsia="宋体"/>
                <w:b w:val="0"/>
                <w:sz w:val="21"/>
              </w:rPr>
              <w:t>suffix-truncation sim</w:t>
            </w:r>
          </w:p>
        </w:tc>
        <w:tc>
          <w:tcPr>
            <w:tcW w:type="dxa" w:w="1814"/>
          </w:tcPr>
          <w:p>
            <w:pPr>
              <w:spacing w:line="240" w:lineRule="auto"/>
            </w:pPr>
            <w:r>
              <w:rPr>
                <w:rFonts w:ascii="Times New Roman" w:hAnsi="Times New Roman" w:eastAsia="宋体"/>
                <w:b w:val="0"/>
                <w:sz w:val="21"/>
              </w:rPr>
              <w:t>−2.05</w:t>
            </w:r>
          </w:p>
        </w:tc>
        <w:tc>
          <w:tcPr>
            <w:tcW w:type="dxa" w:w="1814"/>
          </w:tcPr>
          <w:p>
            <w:pPr>
              <w:spacing w:line="240" w:lineRule="auto"/>
            </w:pPr>
            <w:r>
              <w:rPr>
                <w:rFonts w:ascii="Times New Roman" w:hAnsi="Times New Roman" w:eastAsia="宋体"/>
                <w:b w:val="0"/>
                <w:sz w:val="21"/>
              </w:rPr>
              <w:t>+0.68</w:t>
            </w:r>
          </w:p>
        </w:tc>
        <w:tc>
          <w:tcPr>
            <w:tcW w:type="dxa" w:w="1814"/>
          </w:tcPr>
          <w:p>
            <w:pPr>
              <w:spacing w:line="240" w:lineRule="auto"/>
            </w:pPr>
            <w:r>
              <w:rPr>
                <w:rFonts w:ascii="Times New Roman" w:hAnsi="Times New Roman" w:eastAsia="宋体"/>
                <w:b/>
                <w:sz w:val="21"/>
              </w:rPr>
              <w:t>−0.966</w:t>
            </w:r>
          </w:p>
        </w:tc>
        <w:tc>
          <w:tcPr>
            <w:tcW w:type="dxa" w:w="1814"/>
          </w:tcPr>
          <w:p>
            <w:pPr>
              <w:spacing w:line="240" w:lineRule="auto"/>
            </w:pPr>
            <w:r>
              <w:rPr>
                <w:rFonts w:ascii="Times New Roman" w:hAnsi="Times New Roman" w:eastAsia="宋体"/>
                <w:b w:val="0"/>
                <w:sz w:val="21"/>
              </w:rPr>
              <w:t>reproduces the *interaction*</w:t>
            </w:r>
          </w:p>
        </w:tc>
      </w:tr>
      <w:tr>
        <w:tc>
          <w:tcPr>
            <w:tcW w:type="dxa" w:w="1814"/>
          </w:tcPr>
          <w:p>
            <w:pPr>
              <w:spacing w:line="240" w:lineRule="auto"/>
            </w:pPr>
            <w:r>
              <w:rPr>
                <w:rFonts w:ascii="Times New Roman" w:hAnsi="Times New Roman" w:eastAsia="宋体"/>
                <w:b w:val="0"/>
                <w:sz w:val="21"/>
              </w:rPr>
              <w:t>random-deletion sim</w:t>
            </w:r>
          </w:p>
        </w:tc>
        <w:tc>
          <w:tcPr>
            <w:tcW w:type="dxa" w:w="1814"/>
          </w:tcPr>
          <w:p>
            <w:pPr>
              <w:spacing w:line="240" w:lineRule="auto"/>
            </w:pPr>
            <w:r>
              <w:rPr>
                <w:rFonts w:ascii="Times New Roman" w:hAnsi="Times New Roman" w:eastAsia="宋体"/>
                <w:b w:val="0"/>
                <w:sz w:val="21"/>
              </w:rPr>
              <w:t>−0.14</w:t>
            </w:r>
          </w:p>
        </w:tc>
        <w:tc>
          <w:tcPr>
            <w:tcW w:type="dxa" w:w="1814"/>
          </w:tcPr>
          <w:p>
            <w:pPr>
              <w:spacing w:line="240" w:lineRule="auto"/>
            </w:pPr>
            <w:r>
              <w:rPr>
                <w:rFonts w:ascii="Times New Roman" w:hAnsi="Times New Roman" w:eastAsia="宋体"/>
                <w:b w:val="0"/>
                <w:sz w:val="21"/>
              </w:rPr>
              <w:t>+0.02</w:t>
            </w:r>
          </w:p>
        </w:tc>
        <w:tc>
          <w:tcPr>
            <w:tcW w:type="dxa" w:w="1814"/>
          </w:tcPr>
          <w:p>
            <w:pPr>
              <w:spacing w:line="240" w:lineRule="auto"/>
            </w:pPr>
            <w:r>
              <w:rPr>
                <w:rFonts w:ascii="Times New Roman" w:hAnsi="Times New Roman" w:eastAsia="宋体"/>
                <w:b w:val="0"/>
                <w:sz w:val="21"/>
              </w:rPr>
              <w:t>+0.04</w:t>
            </w:r>
          </w:p>
        </w:tc>
        <w:tc>
          <w:tcPr>
            <w:tcW w:type="dxa" w:w="1814"/>
          </w:tcPr>
          <w:p>
            <w:pPr>
              <w:spacing w:line="240" w:lineRule="auto"/>
            </w:pPr>
            <w:r>
              <w:rPr>
                <w:rFonts w:ascii="Times New Roman" w:hAnsi="Times New Roman" w:eastAsia="宋体"/>
                <w:b w:val="0"/>
                <w:sz w:val="21"/>
              </w:rPr>
              <w:t>null control behaves</w:t>
            </w:r>
          </w:p>
        </w:tc>
      </w:tr>
    </w:tbl>
    <w:p>
      <w:pPr>
        <w:spacing w:line="360" w:lineRule="auto" w:before="0" w:after="0"/>
      </w:pPr>
    </w:p>
    <w:p>
      <w:pPr>
        <w:spacing w:line="360" w:lineRule="auto" w:before="0" w:after="0"/>
        <w:ind w:firstLine="480"/>
      </w:pPr>
      <w:r>
        <w:rPr>
          <w:rFonts w:ascii="Times New Roman" w:hAnsi="Times New Roman" w:eastAsia="宋体"/>
          <w:b w:val="0"/>
          <w:sz w:val="24"/>
        </w:rPr>
        <w:t>\* M3 includes the rarity×pos interaction; its pos coefficient (+2.99) is the conditional effectat rarity=0. At representative rarities the position marginal effect is negative: at rarity≈4.3(average), pos effect ≈ 2.99 + 4.3×(−0.916) ≈ −0.95, consistent with M1's negative pos effect.The sign difference between M1 and M3 is therefore a consequence of the interaction, not acontradiction.</w:t>
      </w:r>
    </w:p>
    <w:p>
      <w:pPr>
        <w:spacing w:line="360" w:lineRule="auto" w:before="0" w:after="0"/>
        <w:ind w:firstLine="480"/>
      </w:pPr>
      <w:r>
        <w:rPr>
          <w:rFonts w:ascii="Times New Roman" w:hAnsi="Times New Roman" w:eastAsia="宋体"/>
          <w:b/>
          <w:sz w:val="24"/>
        </w:rPr>
        <w:t>Reading.</w:t>
      </w:r>
      <w:r>
        <w:rPr>
          <w:rFonts w:ascii="Times New Roman" w:hAnsi="Times New Roman" w:eastAsia="宋体"/>
          <w:b w:val="0"/>
          <w:sz w:val="24"/>
        </w:rPr>
        <w:t xml:space="preserve"> Within body prose, rarity *per se* does not predict deletion (M1 rarity p=0.43).Deletion tracks document position. The rarity×position interaction — superficially"tail rare content is cut" — is </w:t>
      </w:r>
      <w:r>
        <w:rPr>
          <w:rFonts w:ascii="Times New Roman" w:hAnsi="Times New Roman" w:eastAsia="宋体"/>
          <w:b/>
          <w:sz w:val="24"/>
        </w:rPr>
        <w:t>reproduced by mechanical suffix truncation</w:t>
      </w:r>
      <w:r>
        <w:rPr>
          <w:rFonts w:ascii="Times New Roman" w:hAnsi="Times New Roman" w:eastAsia="宋体"/>
          <w:b w:val="0"/>
          <w:sz w:val="24"/>
        </w:rPr>
        <w:t xml:space="preserve"> acting on thesource corpus's own rarity~position structure, whereas the simulated and observed *positionmain effects differ in sign* (+2.99 vs −2.05), indicating the pipeline is not a pure suffixtruncator (its deletion is spread across the document with a milder positional gradient).</w:t>
      </w:r>
      <w:r>
        <w:rPr>
          <w:rFonts w:ascii="Times New Roman" w:hAnsi="Times New Roman" w:eastAsia="宋体"/>
          <w:b/>
          <w:sz w:val="24"/>
        </w:rPr>
        <w:t>UltraX's deletion rule is positional, not rarity-aware.</w:t>
      </w:r>
      <w:r>
        <w:rPr>
          <w:rFonts w:ascii="Times New Roman" w:hAnsi="Times New Roman" w:eastAsia="宋体"/>
          <w:b w:val="0"/>
          <w:sz w:val="24"/>
        </w:rPr>
        <w:t xml:space="preserve"> Positional tail-cutting of boilerplateis standard practice in web-corpus cleaning (e.g., length and boilerplate heuristics in C4/Gopherstyle pipelines); the contribution here is not the existence of such behavior but the *methodology*that separates the cleaner's rule (positional) from the corpus shape it acts on (rarity-at-tail),and the quantification of what the cut tail contains. Whether any aggregate gain of refinement isattributable to tail-cutting, and whether the cut tail is cheap noise or costly knowledge, are</w:t>
      </w:r>
      <w:r>
        <w:rPr>
          <w:rFonts w:ascii="Times New Roman" w:hAnsi="Times New Roman" w:eastAsia="宋体"/>
          <w:b/>
          <w:sz w:val="24"/>
        </w:rPr>
        <w:t>open questions</w:t>
      </w:r>
      <w:r>
        <w:rPr>
          <w:rFonts w:ascii="Times New Roman" w:hAnsi="Times New Roman" w:eastAsia="宋体"/>
          <w:b w:val="0"/>
          <w:sz w:val="24"/>
        </w:rPr>
        <w:t xml:space="preserve"> addressed by the downstream stage (§6), not established facts.</w:t>
      </w:r>
    </w:p>
    <w:p>
      <w:pPr>
        <w:spacing w:line="360" w:lineRule="auto" w:before="200" w:after="80"/>
      </w:pPr>
      <w:r>
        <w:rPr>
          <w:rFonts w:ascii="Times New Roman" w:hAnsi="Times New Roman" w:eastAsia="楷体_GB2312"/>
          <w:b w:val="0"/>
          <w:sz w:val="24"/>
        </w:rPr>
        <w:t>5.2 Cross-corpus consistency</w:t>
      </w:r>
    </w:p>
    <w:p>
      <w:pPr>
        <w:spacing w:line="360" w:lineRule="auto" w:before="0" w:after="0"/>
        <w:ind w:firstLine="480"/>
      </w:pPr>
      <w:r>
        <w:rPr>
          <w:rFonts w:ascii="Times New Roman" w:hAnsi="Times New Roman" w:eastAsia="宋体"/>
          <w:b w:val="0"/>
          <w:sz w:val="24"/>
        </w:rPr>
        <w:t>Prose-gap (mean zipf of deleted − kept lines, within-doc), per corpus: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eastAsia="宋体"/>
                <w:b/>
                <w:sz w:val="21"/>
              </w:rPr>
              <w:t>corpus</w:t>
            </w:r>
          </w:p>
        </w:tc>
        <w:tc>
          <w:tcPr>
            <w:tcW w:type="dxa" w:w="3024"/>
          </w:tcPr>
          <w:p>
            <w:pPr>
              <w:spacing w:line="240" w:lineRule="auto"/>
            </w:pPr>
            <w:r>
              <w:rPr>
                <w:rFonts w:ascii="Times New Roman" w:hAnsi="Times New Roman" w:eastAsia="宋体"/>
                <w:b/>
                <w:sz w:val="21"/>
              </w:rPr>
              <w:t>prose gap</w:t>
            </w:r>
          </w:p>
        </w:tc>
        <w:tc>
          <w:tcPr>
            <w:tcW w:type="dxa" w:w="3024"/>
          </w:tcPr>
          <w:p>
            <w:pPr>
              <w:spacing w:line="240" w:lineRule="auto"/>
            </w:pPr>
            <w:r>
              <w:rPr>
                <w:rFonts w:ascii="Times New Roman" w:hAnsi="Times New Roman" w:eastAsia="宋体"/>
                <w:b/>
                <w:sz w:val="21"/>
              </w:rPr>
              <w:t>share docs negative</w:t>
            </w:r>
          </w:p>
        </w:tc>
      </w:tr>
      <w:tr>
        <w:tc>
          <w:tcPr>
            <w:tcW w:type="dxa" w:w="3024"/>
          </w:tcPr>
          <w:p>
            <w:pPr>
              <w:spacing w:line="240" w:lineRule="auto"/>
            </w:pPr>
            <w:r>
              <w:rPr>
                <w:rFonts w:ascii="Times New Roman" w:hAnsi="Times New Roman" w:eastAsia="宋体"/>
                <w:b w:val="0"/>
                <w:sz w:val="21"/>
              </w:rPr>
              <w:t>AICC</w:t>
            </w:r>
          </w:p>
        </w:tc>
        <w:tc>
          <w:tcPr>
            <w:tcW w:type="dxa" w:w="3024"/>
          </w:tcPr>
          <w:p>
            <w:pPr>
              <w:spacing w:line="240" w:lineRule="auto"/>
            </w:pPr>
            <w:r>
              <w:rPr>
                <w:rFonts w:ascii="Times New Roman" w:hAnsi="Times New Roman" w:eastAsia="宋体"/>
                <w:b w:val="0"/>
                <w:sz w:val="21"/>
              </w:rPr>
              <w:t>−0.46</w:t>
            </w:r>
          </w:p>
        </w:tc>
        <w:tc>
          <w:tcPr>
            <w:tcW w:type="dxa" w:w="3024"/>
          </w:tcPr>
          <w:p>
            <w:pPr>
              <w:spacing w:line="240" w:lineRule="auto"/>
            </w:pPr>
            <w:r>
              <w:rPr>
                <w:rFonts w:ascii="Times New Roman" w:hAnsi="Times New Roman" w:eastAsia="宋体"/>
                <w:b w:val="0"/>
                <w:sz w:val="21"/>
              </w:rPr>
              <w:t>0.69</w:t>
            </w:r>
          </w:p>
        </w:tc>
      </w:tr>
      <w:tr>
        <w:tc>
          <w:tcPr>
            <w:tcW w:type="dxa" w:w="3024"/>
          </w:tcPr>
          <w:p>
            <w:pPr>
              <w:spacing w:line="240" w:lineRule="auto"/>
            </w:pPr>
            <w:r>
              <w:rPr>
                <w:rFonts w:ascii="Times New Roman" w:hAnsi="Times New Roman" w:eastAsia="宋体"/>
                <w:b w:val="0"/>
                <w:sz w:val="21"/>
              </w:rPr>
              <w:t>RedPajama-V2</w:t>
            </w:r>
          </w:p>
        </w:tc>
        <w:tc>
          <w:tcPr>
            <w:tcW w:type="dxa" w:w="3024"/>
          </w:tcPr>
          <w:p>
            <w:pPr>
              <w:spacing w:line="240" w:lineRule="auto"/>
            </w:pPr>
            <w:r>
              <w:rPr>
                <w:rFonts w:ascii="Times New Roman" w:hAnsi="Times New Roman" w:eastAsia="宋体"/>
                <w:b w:val="0"/>
                <w:sz w:val="21"/>
              </w:rPr>
              <w:t>−0.48</w:t>
            </w:r>
          </w:p>
        </w:tc>
        <w:tc>
          <w:tcPr>
            <w:tcW w:type="dxa" w:w="3024"/>
          </w:tcPr>
          <w:p>
            <w:pPr>
              <w:spacing w:line="240" w:lineRule="auto"/>
            </w:pPr>
            <w:r>
              <w:rPr>
                <w:rFonts w:ascii="Times New Roman" w:hAnsi="Times New Roman" w:eastAsia="宋体"/>
                <w:b w:val="0"/>
                <w:sz w:val="21"/>
              </w:rPr>
              <w:t>0.77</w:t>
            </w:r>
          </w:p>
        </w:tc>
      </w:tr>
      <w:tr>
        <w:tc>
          <w:tcPr>
            <w:tcW w:type="dxa" w:w="3024"/>
          </w:tcPr>
          <w:p>
            <w:pPr>
              <w:spacing w:line="240" w:lineRule="auto"/>
            </w:pPr>
            <w:r>
              <w:rPr>
                <w:rFonts w:ascii="Times New Roman" w:hAnsi="Times New Roman" w:eastAsia="宋体"/>
                <w:b w:val="0"/>
                <w:sz w:val="21"/>
              </w:rPr>
              <w:t>FineWeb</w:t>
            </w:r>
          </w:p>
        </w:tc>
        <w:tc>
          <w:tcPr>
            <w:tcW w:type="dxa" w:w="3024"/>
          </w:tcPr>
          <w:p>
            <w:pPr>
              <w:spacing w:line="240" w:lineRule="auto"/>
            </w:pPr>
            <w:r>
              <w:rPr>
                <w:rFonts w:ascii="Times New Roman" w:hAnsi="Times New Roman" w:eastAsia="宋体"/>
                <w:b w:val="0"/>
                <w:sz w:val="21"/>
              </w:rPr>
              <w:t>−0.15</w:t>
            </w:r>
          </w:p>
        </w:tc>
        <w:tc>
          <w:tcPr>
            <w:tcW w:type="dxa" w:w="3024"/>
          </w:tcPr>
          <w:p>
            <w:pPr>
              <w:spacing w:line="240" w:lineRule="auto"/>
            </w:pPr>
            <w:r>
              <w:rPr>
                <w:rFonts w:ascii="Times New Roman" w:hAnsi="Times New Roman" w:eastAsia="宋体"/>
                <w:b w:val="0"/>
                <w:sz w:val="21"/>
              </w:rPr>
              <w:t>0.56</w:t>
            </w:r>
          </w:p>
        </w:tc>
      </w:tr>
      <w:tr>
        <w:tc>
          <w:tcPr>
            <w:tcW w:type="dxa" w:w="3024"/>
          </w:tcPr>
          <w:p>
            <w:pPr>
              <w:spacing w:line="240" w:lineRule="auto"/>
            </w:pPr>
            <w:r>
              <w:rPr>
                <w:rFonts w:ascii="Times New Roman" w:hAnsi="Times New Roman" w:eastAsia="宋体"/>
                <w:b w:val="0"/>
                <w:sz w:val="21"/>
              </w:rPr>
              <w:t>Ultra-FineWeb</w:t>
            </w:r>
          </w:p>
        </w:tc>
        <w:tc>
          <w:tcPr>
            <w:tcW w:type="dxa" w:w="3024"/>
          </w:tcPr>
          <w:p>
            <w:pPr>
              <w:spacing w:line="240" w:lineRule="auto"/>
            </w:pPr>
            <w:r>
              <w:rPr>
                <w:rFonts w:ascii="Times New Roman" w:hAnsi="Times New Roman" w:eastAsia="宋体"/>
                <w:b w:val="0"/>
                <w:sz w:val="21"/>
              </w:rPr>
              <w:t>−0.12</w:t>
            </w:r>
          </w:p>
        </w:tc>
        <w:tc>
          <w:tcPr>
            <w:tcW w:type="dxa" w:w="3024"/>
          </w:tcPr>
          <w:p>
            <w:pPr>
              <w:spacing w:line="240" w:lineRule="auto"/>
            </w:pPr>
            <w:r>
              <w:rPr>
                <w:rFonts w:ascii="Times New Roman" w:hAnsi="Times New Roman" w:eastAsia="宋体"/>
                <w:b w:val="0"/>
                <w:sz w:val="21"/>
              </w:rPr>
              <w:t>0.52</w:t>
            </w:r>
          </w:p>
        </w:tc>
      </w:tr>
    </w:tbl>
    <w:p>
      <w:pPr>
        <w:spacing w:line="360" w:lineRule="auto" w:before="0" w:after="0"/>
      </w:pPr>
    </w:p>
    <w:p>
      <w:pPr>
        <w:spacing w:line="360" w:lineRule="auto" w:before="0" w:after="0"/>
        <w:ind w:firstLine="480"/>
      </w:pPr>
      <w:r>
        <w:rPr>
          <w:rFonts w:ascii="Times New Roman" w:hAnsi="Times New Roman" w:eastAsia="宋体"/>
          <w:b w:val="0"/>
          <w:sz w:val="24"/>
        </w:rPr>
        <w:t>Direction consistent everywhere; magnitude splits into two tiers (rawer corpora stronger).Threshold sensitivity (85/90/95) pooled gap: −0.354/−0.359/−0.372 — stable.</w:t>
      </w:r>
    </w:p>
    <w:p>
      <w:pPr>
        <w:spacing w:line="360" w:lineRule="auto" w:before="200" w:after="80"/>
      </w:pPr>
      <w:r>
        <w:rPr>
          <w:rFonts w:ascii="Times New Roman" w:hAnsi="Times New Roman" w:eastAsia="楷体_GB2312"/>
          <w:b w:val="0"/>
          <w:sz w:val="24"/>
        </w:rPr>
        <w:t>5.3 Structure channels</w:t>
      </w:r>
    </w:p>
    <w:p>
      <w:pPr>
        <w:spacing w:line="360" w:lineRule="auto" w:before="0" w:after="0"/>
        <w:ind w:left="420"/>
      </w:pPr>
      <w:r>
        <w:rPr>
          <w:rFonts w:ascii="Times New Roman" w:hAnsi="Times New Roman" w:eastAsia="宋体"/>
          <w:b/>
          <w:sz w:val="24"/>
        </w:rPr>
        <w:t>Headings are exempt</w:t>
      </w:r>
      <w:r>
        <w:rPr>
          <w:rFonts w:ascii="Times New Roman" w:hAnsi="Times New Roman" w:eastAsia="宋体"/>
          <w:b w:val="0"/>
          <w:sz w:val="24"/>
        </w:rPr>
        <w:t xml:space="preserve"> (is_heading OR≈100; deletion 5.5% vs 11.3% body).</w:t>
      </w:r>
    </w:p>
    <w:p>
      <w:pPr>
        <w:spacing w:line="360" w:lineRule="auto" w:before="0" w:after="0"/>
        <w:ind w:left="420"/>
      </w:pPr>
      <w:r>
        <w:rPr>
          <w:rFonts w:ascii="Times New Roman" w:hAnsi="Times New Roman" w:eastAsia="宋体"/>
          <w:b/>
          <w:sz w:val="24"/>
        </w:rPr>
        <w:t>OOV is a separate structural channel</w:t>
      </w:r>
      <w:r>
        <w:rPr>
          <w:rFonts w:ascii="Times New Roman" w:hAnsi="Times New Roman" w:eastAsia="宋体"/>
          <w:b w:val="0"/>
          <w:sz w:val="24"/>
        </w:rPr>
        <w:t xml:space="preserve"> (deleted 6.1% vs kept 2.4%; OR 0.07).</w:t>
      </w:r>
    </w:p>
    <w:p>
      <w:pPr>
        <w:spacing w:line="360" w:lineRule="auto" w:before="0" w:after="0"/>
        <w:ind w:left="420"/>
      </w:pPr>
      <w:r>
        <w:rPr>
          <w:rFonts w:ascii="Times New Roman" w:hAnsi="Times New Roman" w:eastAsia="宋体"/>
          <w:b w:val="0"/>
          <w:sz w:val="24"/>
        </w:rPr>
        <w:t>Deletion by length bucket (v3, 4 corpora): short lines (1–5 words) deletion targets *common*</w:t>
      </w:r>
    </w:p>
    <w:p>
      <w:pPr>
        <w:spacing w:line="360" w:lineRule="auto" w:before="0" w:after="0"/>
        <w:ind w:firstLine="480"/>
      </w:pPr>
      <w:r>
        <w:rPr>
          <w:rFonts w:ascii="Times New Roman" w:hAnsi="Times New Roman" w:eastAsia="宋体"/>
          <w:b w:val="0"/>
          <w:sz w:val="24"/>
        </w:rPr>
        <w:t>junk (gap +0.13); mid-length content lines (6–15 words, gap −0.31; 16–40 words, gap −0.28;40+ words, gap −0.19) all show rare skew; bucket-token-weighted primary gap −0.21.(An earlier single-corpus run showed larger skews, superseded by the cross-corpus numbers.)</w:t>
      </w:r>
    </w:p>
    <w:p>
      <w:pPr>
        <w:spacing w:line="300" w:lineRule="auto" w:before="0" w:after="0"/>
        <w:ind w:left="420"/>
      </w:pPr>
      <w:r>
        <w:rPr>
          <w:rFonts w:ascii="Times New Roman" w:hAnsi="Times New Roman" w:eastAsia="楷体_GB2312"/>
          <w:b w:val="0"/>
          <w:sz w:val="21"/>
        </w:rPr>
        <w:t>Figure 1 (repo `figures/fig2_stageA_v3.png`): left panel = per-bucket zipf gap (deleted − kept)</w:t>
      </w:r>
    </w:p>
    <w:p>
      <w:pPr>
        <w:spacing w:line="300" w:lineRule="auto" w:before="0" w:after="0"/>
        <w:ind w:left="420"/>
      </w:pPr>
      <w:r>
        <w:rPr>
          <w:rFonts w:ascii="Times New Roman" w:hAnsi="Times New Roman" w:eastAsia="楷体_GB2312"/>
          <w:b w:val="0"/>
          <w:sz w:val="21"/>
        </w:rPr>
        <w:t>with bootstrap CIs; right panel = deletion rate vs. rarity decile. Both panels illustrate §5.1–§5.3.</w:t>
      </w:r>
    </w:p>
    <w:p>
      <w:pPr>
        <w:spacing w:line="360" w:lineRule="auto" w:before="200" w:after="80"/>
      </w:pPr>
      <w:r>
        <w:rPr>
          <w:rFonts w:ascii="Times New Roman" w:hAnsi="Times New Roman" w:eastAsia="楷体_GB2312"/>
          <w:b w:val="0"/>
          <w:sz w:val="24"/>
        </w:rPr>
        <w:t>5.4 Word-level loss: knowledge or noise? [contact, exploratory]</w:t>
      </w:r>
    </w:p>
    <w:p>
      <w:pPr>
        <w:spacing w:line="360" w:lineRule="auto" w:before="0" w:after="0"/>
        <w:ind w:firstLine="480"/>
      </w:pPr>
      <w:r>
        <w:rPr>
          <w:rFonts w:ascii="Times New Roman" w:hAnsi="Times New Roman" w:eastAsia="宋体"/>
          <w:b w:val="0"/>
          <w:sz w:val="24"/>
        </w:rPr>
        <w:t>Multiset token difference over 2,000 documents: of rare tokens lost by refinement, 74.7% areknowledge-like and 25.3% are noise-like under our classifier; of rare tokens *kept*, 98.0% areknowledge-like; the merged corpus base rate is 94.0% ((4070+26039)/(5448+26570)).</w:t>
      </w:r>
      <w:r>
        <w:rPr>
          <w:rFonts w:ascii="Times New Roman" w:hAnsi="Times New Roman" w:eastAsia="宋体"/>
          <w:b/>
          <w:sz w:val="24"/>
        </w:rPr>
        <w:t>Caveat: knowledge/noise here is dictionary-membership-based (in-dictionary rare, proper-noun,or long lower-case OOV) — a coarse, partially circular proxy</w:t>
      </w:r>
      <w:r>
        <w:rPr>
          <w:rFonts w:ascii="Times New Roman" w:hAnsi="Times New Roman" w:eastAsia="宋体"/>
          <w:b w:val="0"/>
          <w:sz w:val="24"/>
        </w:rPr>
        <w:t xml:space="preserve">; the classifier is inconsistentwith the Stage-A OOV treatment in places and will be replaced by human-labeled subsamples in therefined word-loss analysis. Descriptive only (no significance test; numeric-only noise tokensmissed). Under this proxy: lost rare tokens are less knowledge-rich than the kept pool and thecorpus base rate — i.e., in relative terms deletion enriches the surviving rare pool forknowledge and concentrates deletion on the noisier rare tokens; in absolute terms it stillremoves ≈2 knowledge-like rare tokens per document. </w:t>
      </w:r>
      <w:r>
        <w:rPr>
          <w:rFonts w:ascii="Times New Roman" w:hAnsi="Times New Roman" w:eastAsia="宋体"/>
          <w:b/>
          <w:sz w:val="24"/>
        </w:rPr>
        <w:t>The two facts pull in opposite directionsfor any "cost" narrative; net downstream direction is left to Stage B (§6).</w:t>
      </w:r>
    </w:p>
    <w:p>
      <w:pPr>
        <w:spacing w:line="360" w:lineRule="auto" w:before="200" w:after="80"/>
      </w:pPr>
      <w:r>
        <w:rPr>
          <w:rFonts w:ascii="Times New Roman" w:hAnsi="Times New Roman" w:eastAsia="楷体_GB2312"/>
          <w:b w:val="0"/>
          <w:sz w:val="24"/>
        </w:rPr>
        <w:t>5.5 Corpus-shape premise (E1c) [contact, open]</w:t>
      </w:r>
    </w:p>
    <w:p>
      <w:pPr>
        <w:spacing w:line="360" w:lineRule="auto" w:before="0" w:after="0"/>
        <w:ind w:firstLine="480"/>
      </w:pPr>
      <w:r>
        <w:rPr>
          <w:rFonts w:ascii="Times New Roman" w:hAnsi="Times New Roman" w:eastAsia="宋体"/>
          <w:b w:val="0"/>
          <w:sz w:val="24"/>
        </w:rPr>
        <w:t xml:space="preserve">Whether rare vocabulary actually concentrates toward document ends in *raw* corpora — thepremise that makes positional deletion expensive in rarity terms — is </w:t>
      </w:r>
      <w:r>
        <w:rPr>
          <w:rFonts w:ascii="Times New Roman" w:hAnsi="Times New Roman" w:eastAsia="宋体"/>
          <w:b/>
          <w:sz w:val="24"/>
        </w:rPr>
        <w:t>inconclusive andunderpowered</w:t>
      </w:r>
      <w:r>
        <w:rPr>
          <w:rFonts w:ascii="Times New Roman" w:hAnsi="Times New Roman" w:eastAsia="宋体"/>
          <w:b w:val="0"/>
          <w:sz w:val="24"/>
        </w:rPr>
        <w:t xml:space="preserve"> at the line level: within-doc rare-line position gap −0.012, p=0.38 on a coarseproxy with only n=114 qualifying documents — computed on the *exploratory* Stage-A sample,not on the independent confirmatory split required by the pre-registration. This null neitherconfirms nor refutes the premise. The confirmatory token-level measurement (knowledge-tokenrestricted, within-document permutation null, fresh split) is outstanding; </w:t>
      </w:r>
      <w:r>
        <w:rPr>
          <w:rFonts w:ascii="Times New Roman" w:hAnsi="Times New Roman" w:eastAsia="宋体"/>
          <w:b/>
          <w:sz w:val="24"/>
        </w:rPr>
        <w:t>if E1c fails atthat level, the rarity-cost narrative collapses to purelength normalization</w:t>
      </w:r>
      <w:r>
        <w:rPr>
          <w:rFonts w:ascii="Times New Roman" w:hAnsi="Times New Roman" w:eastAsia="宋体"/>
          <w:b w:val="0"/>
          <w:sz w:val="24"/>
        </w:rPr>
        <w:t xml:space="preserve"> and is reported as such (pre-registered falsification rule).</w:t>
      </w:r>
    </w:p>
    <w:p>
      <w:r>
        <w:br w:type="page"/>
      </w:r>
    </w:p>
    <w:p>
      <w:pPr>
        <w:spacing w:line="360" w:lineRule="auto" w:before="120" w:after="160"/>
        <w:jc w:val="left"/>
      </w:pPr>
      <w:r>
        <w:rPr>
          <w:rFonts w:ascii="Times New Roman" w:hAnsi="Times New Roman" w:eastAsia="宋体"/>
          <w:b/>
          <w:sz w:val="28"/>
        </w:rPr>
        <w:t>6. Ongoing Work (Stage B) — the load-bearing experiment</w:t>
      </w:r>
    </w:p>
    <w:p>
      <w:pPr>
        <w:spacing w:line="360" w:lineRule="auto" w:before="0" w:after="0"/>
        <w:ind w:firstLine="480"/>
      </w:pPr>
      <w:r>
        <w:rPr>
          <w:rFonts w:ascii="Times New Roman" w:hAnsi="Times New Roman" w:eastAsia="宋体"/>
          <w:b w:val="0"/>
          <w:sz w:val="24"/>
        </w:rPr>
        <w:t xml:space="preserve">Pre-registered endpoint (v1.1): </w:t>
      </w:r>
      <w:r>
        <w:rPr>
          <w:rFonts w:ascii="Times New Roman" w:hAnsi="Times New Roman" w:eastAsia="宋体"/>
          <w:b/>
          <w:sz w:val="24"/>
        </w:rPr>
        <w:t>E2</w:t>
      </w:r>
      <w:r>
        <w:rPr>
          <w:rFonts w:ascii="Times New Roman" w:hAnsi="Times New Roman" w:eastAsia="宋体"/>
          <w:b w:val="0"/>
          <w:sz w:val="24"/>
        </w:rPr>
        <w:t xml:space="preserve"> — do probes trained on refined vs raw corpora show a*sliced* downstream difference on tail-knowledge strata (Δ_tailK = PPL(refined) − PPL(raw) onthe same raw-anchored eval lines &gt; 0 means refined worse; rare-word recovery MRR is theco-primary, with Δ_MRR &lt; 0 meaning refined worse — sign convention to be unified in the frozenδ_min entry), or is refinement genuinely no worse on the tail (informative null via TOST)?Protocol: `docs/STAGEB_PROTOCOL.md`. Probes are 50–300M from-scratch transformers (from-scratch,because continued pretraining on an already-trained model anchors the corpus difference away andhas a forgetting bias against low-exposure tail content, Chang et al., NeurIPS 2024). PopQAlong-tail serves as an external reference expected to be floor-bound at this probe scale.</w:t>
      </w:r>
    </w:p>
    <w:p>
      <w:pPr>
        <w:spacing w:line="360" w:lineRule="auto" w:before="0" w:after="0"/>
        <w:ind w:firstLine="480"/>
      </w:pPr>
      <w:r>
        <w:rPr>
          <w:rFonts w:ascii="Times New Roman" w:hAnsi="Times New Roman" w:eastAsia="宋体"/>
          <w:b/>
          <w:sz w:val="24"/>
        </w:rPr>
        <w:t>Implementation status (honest).</w:t>
      </w:r>
      <w:r>
        <w:rPr>
          <w:rFonts w:ascii="Times New Roman" w:hAnsi="Times New Roman" w:eastAsia="宋体"/>
          <w:b w:val="0"/>
          <w:sz w:val="24"/>
        </w:rPr>
        <w:t xml:space="preserve"> Data prep (146k deduped docs, splits, arms) is done.The trainer runs (CPU smoke passed) and the evaluator is written, but the *evaluator has notbeen executed end-to-end on trained checkpoints yet*; an adversarial code review duringpreparation of this revision found and fixed two defects (non-causal attention in the probe;context-length overflow in per-line scoring) and identified pending items: a per-arm metadatafile with epoch/token coverage (added), the tail-restored counterfactual arm (not yet built),and the pilot-gate aggregation script (03_gate, not yet written). E2 results therefore are notyet available; nothing in this preprint's Stage-A conclusions depends on them.</w:t>
      </w:r>
    </w:p>
    <w:p>
      <w:r>
        <w:br w:type="page"/>
      </w:r>
    </w:p>
    <w:p>
      <w:pPr>
        <w:spacing w:line="360" w:lineRule="auto" w:before="120" w:after="160"/>
        <w:jc w:val="left"/>
      </w:pPr>
      <w:r>
        <w:rPr>
          <w:rFonts w:ascii="Times New Roman" w:hAnsi="Times New Roman" w:eastAsia="宋体"/>
          <w:b/>
          <w:sz w:val="28"/>
        </w:rPr>
        <w:t>7. Limitations</w:t>
      </w:r>
    </w:p>
    <w:p>
      <w:pPr>
        <w:spacing w:line="360" w:lineRule="auto" w:before="0" w:after="0"/>
        <w:ind w:firstLine="480"/>
      </w:pPr>
      <w:r>
        <w:rPr>
          <w:rFonts w:ascii="Times New Roman" w:hAnsi="Times New Roman" w:eastAsia="宋体"/>
          <w:b w:val="0"/>
          <w:sz w:val="24"/>
        </w:rPr>
        <w:t xml:space="preserve">1. </w:t>
      </w:r>
      <w:r>
        <w:rPr>
          <w:rFonts w:ascii="Times New Roman" w:hAnsi="Times New Roman" w:eastAsia="宋体"/>
          <w:b/>
          <w:sz w:val="24"/>
        </w:rPr>
        <w:t>Measurement-only audit; no downstream-consequence evidence yet.</w:t>
      </w:r>
      <w:r>
        <w:rPr>
          <w:rFonts w:ascii="Times New Roman" w:hAnsi="Times New Roman" w:eastAsia="宋体"/>
          <w:b w:val="0"/>
          <w:sz w:val="24"/>
        </w:rPr>
        <w:t xml:space="preserve"> This preprint establishes*what* refinement deletes and *that* its rule is positional; it does not yet establish whetherthe deletion has a measurable downstream cost. That evidence is the load-bearing experiment(Stage B / E2) and is outstanding — the paper should be read as a measurement-first audit,not as a demonstration of harm.2. Single refinement system as case study (UltraX); class-level claims are hypotheses,not established.3. Line-fuzzy matching is validated at the count level (r=0.894); line-level misclassification(merged/rewritten lines) is not fully audited; a human-labeled line audit is planned.4. E1c corpus-shape premise is inconclusive at line level (underpowered); token-levelmeasurement is outstanding; the paper's "rarity cost" reading is contingent on it and on E2.5. Word-level knowledge-vs-noise proxy is coarse and descriptive (no significance test);numeric-only noise tokens are missed; results are contact-stage.6. Conclusions are limited to ≤2B-scale language-modeling diagnostics; no capabilitybenchmark is used as primary endpoint (floor effects at probe scale, verified).7. English corpora only. UltraX's aggregate claim is asserted on corpora that include Chinesedata (the system is by the OpenBMB/MiniCPM lab); the publicly released intervention tracesused here are the English shards, which is the reason for the English-only scope.</w:t>
      </w:r>
    </w:p>
    <w:p>
      <w:r>
        <w:br w:type="page"/>
      </w:r>
    </w:p>
    <w:p>
      <w:pPr>
        <w:spacing w:line="360" w:lineRule="auto" w:before="120" w:after="160"/>
        <w:jc w:val="left"/>
      </w:pPr>
      <w:r>
        <w:rPr>
          <w:rFonts w:ascii="Times New Roman" w:hAnsi="Times New Roman" w:eastAsia="宋体"/>
          <w:b/>
          <w:sz w:val="28"/>
        </w:rPr>
        <w:t>8. Reproducibility and Open Source</w:t>
      </w:r>
    </w:p>
    <w:p>
      <w:pPr>
        <w:spacing w:line="360" w:lineRule="auto" w:before="0" w:after="0"/>
        <w:ind w:firstLine="480"/>
      </w:pPr>
      <w:r>
        <w:rPr>
          <w:rFonts w:ascii="Times New Roman" w:hAnsi="Times New Roman" w:eastAsia="宋体"/>
          <w:b w:val="0"/>
          <w:sz w:val="24"/>
        </w:rPr>
        <w:t xml:space="preserve">All code, data hashes, and outputs: </w:t>
      </w:r>
      <w:r>
        <w:rPr>
          <w:rFonts w:ascii="Times New Roman" w:hAnsi="Times New Roman" w:eastAsia="宋体"/>
          <w:b/>
          <w:sz w:val="24"/>
        </w:rPr>
        <w:t>https://github.com/ausyeah/artical</w:t>
      </w:r>
      <w:r>
        <w:rPr>
          <w:rFonts w:ascii="Times New Roman" w:hAnsi="Times New Roman" w:eastAsia="宋体"/>
          <w:b w:val="0"/>
          <w:sz w:val="24"/>
        </w:rPr>
        <w:t xml:space="preserve"> (MIT license).</w:t>
      </w:r>
    </w:p>
    <w:tbl>
      <w:tblPr>
        <w:tblStyle w:val="TableGrid"/>
        <w:tblW w:type="auto" w:w="0"/>
        <w:jc w:val="center"/>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eastAsia="宋体"/>
                <w:b/>
                <w:sz w:val="21"/>
              </w:rPr>
              <w:t>Asset</w:t>
            </w:r>
          </w:p>
        </w:tc>
        <w:tc>
          <w:tcPr>
            <w:tcW w:type="dxa" w:w="4536"/>
          </w:tcPr>
          <w:p>
            <w:pPr>
              <w:spacing w:line="240" w:lineRule="auto"/>
            </w:pPr>
            <w:r>
              <w:rPr>
                <w:rFonts w:ascii="Times New Roman" w:hAnsi="Times New Roman" w:eastAsia="宋体"/>
                <w:b/>
                <w:sz w:val="21"/>
              </w:rPr>
              <w:t>Where</w:t>
            </w:r>
          </w:p>
        </w:tc>
      </w:tr>
      <w:tr>
        <w:tc>
          <w:tcPr>
            <w:tcW w:type="dxa" w:w="4536"/>
          </w:tcPr>
          <w:p>
            <w:pPr>
              <w:spacing w:line="240" w:lineRule="auto"/>
            </w:pPr>
            <w:r>
              <w:rPr>
                <w:rFonts w:ascii="Times New Roman" w:hAnsi="Times New Roman" w:eastAsia="宋体"/>
                <w:b w:val="0"/>
                <w:sz w:val="21"/>
              </w:rPr>
              <w:t>Audit scripts (line matching, rarity, strata, regression, mechanical null)</w:t>
            </w:r>
          </w:p>
        </w:tc>
        <w:tc>
          <w:tcPr>
            <w:tcW w:type="dxa" w:w="4536"/>
          </w:tcPr>
          <w:p>
            <w:pPr>
              <w:spacing w:line="240" w:lineRule="auto"/>
            </w:pPr>
            <w:r>
              <w:rPr>
                <w:rFonts w:ascii="Times New Roman" w:hAnsi="Times New Roman" w:eastAsia="宋体"/>
                <w:b w:val="0"/>
                <w:sz w:val="21"/>
              </w:rPr>
              <w:t>`src/01_slice_audit.py`–`src/04_mechanical_null.py`</w:t>
            </w:r>
          </w:p>
        </w:tc>
      </w:tr>
      <w:tr>
        <w:tc>
          <w:tcPr>
            <w:tcW w:type="dxa" w:w="4536"/>
          </w:tcPr>
          <w:p>
            <w:pPr>
              <w:spacing w:line="240" w:lineRule="auto"/>
            </w:pPr>
            <w:r>
              <w:rPr>
                <w:rFonts w:ascii="Times New Roman" w:hAnsi="Times New Roman" w:eastAsia="宋体"/>
                <w:b w:val="0"/>
                <w:sz w:val="21"/>
              </w:rPr>
              <w:t>Stage-B probe pipeline (data prep → from-scratch trainer → sliced eval)</w:t>
            </w:r>
          </w:p>
        </w:tc>
        <w:tc>
          <w:tcPr>
            <w:tcW w:type="dxa" w:w="4536"/>
          </w:tcPr>
          <w:p>
            <w:pPr>
              <w:spacing w:line="240" w:lineRule="auto"/>
            </w:pPr>
            <w:r>
              <w:rPr>
                <w:rFonts w:ascii="Times New Roman" w:hAnsi="Times New Roman" w:eastAsia="宋体"/>
                <w:b w:val="0"/>
                <w:sz w:val="21"/>
              </w:rPr>
              <w:t>`src/stageb/00…02…` + `docs/RUN_GUIDE.md`</w:t>
            </w:r>
          </w:p>
        </w:tc>
      </w:tr>
      <w:tr>
        <w:tc>
          <w:tcPr>
            <w:tcW w:type="dxa" w:w="4536"/>
          </w:tcPr>
          <w:p>
            <w:pPr>
              <w:spacing w:line="240" w:lineRule="auto"/>
            </w:pPr>
            <w:r>
              <w:rPr>
                <w:rFonts w:ascii="Times New Roman" w:hAnsi="Times New Roman" w:eastAsia="宋体"/>
                <w:b w:val="0"/>
                <w:sz w:val="21"/>
              </w:rPr>
              <w:t>Pre-registration with timestamped revision log</w:t>
            </w:r>
          </w:p>
        </w:tc>
        <w:tc>
          <w:tcPr>
            <w:tcW w:type="dxa" w:w="4536"/>
          </w:tcPr>
          <w:p>
            <w:pPr>
              <w:spacing w:line="240" w:lineRule="auto"/>
            </w:pPr>
            <w:r>
              <w:rPr>
                <w:rFonts w:ascii="Times New Roman" w:hAnsi="Times New Roman" w:eastAsia="宋体"/>
                <w:b w:val="0"/>
                <w:sz w:val="21"/>
              </w:rPr>
              <w:t>`configs/preregistration.md`</w:t>
            </w:r>
          </w:p>
        </w:tc>
      </w:tr>
      <w:tr>
        <w:tc>
          <w:tcPr>
            <w:tcW w:type="dxa" w:w="4536"/>
          </w:tcPr>
          <w:p>
            <w:pPr>
              <w:spacing w:line="240" w:lineRule="auto"/>
            </w:pPr>
            <w:r>
              <w:rPr>
                <w:rFonts w:ascii="Times New Roman" w:hAnsi="Times New Roman" w:eastAsia="宋体"/>
                <w:b w:val="0"/>
                <w:sz w:val="21"/>
              </w:rPr>
              <w:t>Stage-B protocol (slice construction, leakage rules, pilot gates)</w:t>
            </w:r>
          </w:p>
        </w:tc>
        <w:tc>
          <w:tcPr>
            <w:tcW w:type="dxa" w:w="4536"/>
          </w:tcPr>
          <w:p>
            <w:pPr>
              <w:spacing w:line="240" w:lineRule="auto"/>
            </w:pPr>
            <w:r>
              <w:rPr>
                <w:rFonts w:ascii="Times New Roman" w:hAnsi="Times New Roman" w:eastAsia="宋体"/>
                <w:b w:val="0"/>
                <w:sz w:val="21"/>
              </w:rPr>
              <w:t>`docs/STAGEB_PROTOCOL.md`</w:t>
            </w:r>
          </w:p>
        </w:tc>
      </w:tr>
      <w:tr>
        <w:tc>
          <w:tcPr>
            <w:tcW w:type="dxa" w:w="4536"/>
          </w:tcPr>
          <w:p>
            <w:pPr>
              <w:spacing w:line="240" w:lineRule="auto"/>
            </w:pPr>
            <w:r>
              <w:rPr>
                <w:rFonts w:ascii="Times New Roman" w:hAnsi="Times New Roman" w:eastAsia="宋体"/>
                <w:b w:val="0"/>
                <w:sz w:val="21"/>
              </w:rPr>
              <w:t>Result artifacts (every number in this draft)</w:t>
            </w:r>
          </w:p>
        </w:tc>
        <w:tc>
          <w:tcPr>
            <w:tcW w:type="dxa" w:w="4536"/>
          </w:tcPr>
          <w:p>
            <w:pPr>
              <w:spacing w:line="240" w:lineRule="auto"/>
            </w:pPr>
            <w:r>
              <w:rPr>
                <w:rFonts w:ascii="Times New Roman" w:hAnsi="Times New Roman" w:eastAsia="宋体"/>
                <w:b w:val="0"/>
                <w:sz w:val="21"/>
              </w:rPr>
              <w:t>`reports/step2_*`, `reports/step3_*`</w:t>
            </w:r>
          </w:p>
        </w:tc>
      </w:tr>
      <w:tr>
        <w:tc>
          <w:tcPr>
            <w:tcW w:type="dxa" w:w="4536"/>
          </w:tcPr>
          <w:p>
            <w:pPr>
              <w:spacing w:line="240" w:lineRule="auto"/>
            </w:pPr>
            <w:r>
              <w:rPr>
                <w:rFonts w:ascii="Times New Roman" w:hAnsi="Times New Roman" w:eastAsia="宋体"/>
                <w:b w:val="0"/>
                <w:sz w:val="21"/>
              </w:rPr>
              <w:t>Figures</w:t>
            </w:r>
          </w:p>
        </w:tc>
        <w:tc>
          <w:tcPr>
            <w:tcW w:type="dxa" w:w="4536"/>
          </w:tcPr>
          <w:p>
            <w:pPr>
              <w:spacing w:line="240" w:lineRule="auto"/>
            </w:pPr>
            <w:r>
              <w:rPr>
                <w:rFonts w:ascii="Times New Roman" w:hAnsi="Times New Roman" w:eastAsia="宋体"/>
                <w:b w:val="0"/>
                <w:sz w:val="21"/>
              </w:rPr>
              <w:t>`figures/fig2_stageA_v3.png`</w:t>
            </w:r>
          </w:p>
        </w:tc>
      </w:tr>
    </w:tbl>
    <w:p>
      <w:pPr>
        <w:spacing w:line="360" w:lineRule="auto" w:before="0" w:after="0"/>
      </w:pPr>
    </w:p>
    <w:p>
      <w:pPr>
        <w:spacing w:line="360" w:lineRule="auto" w:before="0" w:after="0"/>
        <w:ind w:firstLine="480"/>
      </w:pPr>
      <w:r>
        <w:rPr>
          <w:rFonts w:ascii="Times New Roman" w:hAnsi="Times New Roman" w:eastAsia="宋体"/>
          <w:b w:val="0"/>
          <w:sz w:val="24"/>
        </w:rPr>
        <w:t>Audited dataset: `openbmb/UltraX-Preview` (Apache-2.0). We download only sampled shardsand stream the rest (`datasets streaming`); full-data access is documented in `SETUP.md`.Single RTX 4060 8GB suffices; the audit side is CPU-only. Pilot probe data (AICC, 146kdeduplicated docs, raw ≈88M / refined ≈66M tokens, equal-doc arms) is prepared under`runs/pilot/`; the GPU probe-training script passed a CPU smoke test (`docs/RUN_GUIDE.md`).</w:t>
      </w:r>
    </w:p>
    <w:p>
      <w:r>
        <w:br w:type="page"/>
      </w:r>
    </w:p>
    <w:p>
      <w:pPr>
        <w:spacing w:line="360" w:lineRule="auto" w:before="120" w:after="160"/>
        <w:jc w:val="left"/>
      </w:pPr>
      <w:r>
        <w:rPr>
          <w:rFonts w:ascii="Times New Roman" w:hAnsi="Times New Roman" w:eastAsia="宋体"/>
          <w:b/>
          <w:sz w:val="28"/>
        </w:rPr>
        <w:t>References</w:t>
      </w:r>
    </w:p>
    <w:p>
      <w:pPr>
        <w:spacing w:line="360" w:lineRule="auto" w:before="0" w:after="0"/>
        <w:ind w:left="420"/>
      </w:pPr>
      <w:r>
        <w:rPr>
          <w:rFonts w:ascii="Times New Roman" w:hAnsi="Times New Roman" w:eastAsia="宋体"/>
          <w:b w:val="0"/>
          <w:sz w:val="24"/>
        </w:rPr>
        <w:t>UltraX. arXiv:2607.08646.</w:t>
      </w:r>
    </w:p>
    <w:p>
      <w:pPr>
        <w:spacing w:line="360" w:lineRule="auto" w:before="0" w:after="0"/>
        <w:ind w:left="420"/>
      </w:pPr>
      <w:r>
        <w:rPr>
          <w:rFonts w:ascii="Times New Roman" w:hAnsi="Times New Roman" w:eastAsia="宋体"/>
          <w:b w:val="0"/>
          <w:sz w:val="24"/>
        </w:rPr>
        <w:t>Tiered data management for AGI. arXiv:2602.09003.</w:t>
      </w:r>
    </w:p>
    <w:p>
      <w:pPr>
        <w:spacing w:line="360" w:lineRule="auto" w:before="0" w:after="0"/>
        <w:ind w:left="420"/>
      </w:pPr>
      <w:r>
        <w:rPr>
          <w:rFonts w:ascii="Times New Roman" w:hAnsi="Times New Roman" w:eastAsia="宋体"/>
          <w:b w:val="0"/>
          <w:sz w:val="24"/>
        </w:rPr>
        <w:t>Mallen et al. PopQA (ACL 2023). arXiv:2212.10511.</w:t>
      </w:r>
    </w:p>
    <w:p>
      <w:pPr>
        <w:spacing w:line="360" w:lineRule="auto" w:before="0" w:after="0"/>
        <w:ind w:left="420"/>
      </w:pPr>
      <w:r>
        <w:rPr>
          <w:rFonts w:ascii="Times New Roman" w:hAnsi="Times New Roman" w:eastAsia="宋体"/>
          <w:b w:val="0"/>
          <w:sz w:val="24"/>
        </w:rPr>
        <w:t>Chang et al. (NeurIPS 2024). arXiv:2406.11813.</w:t>
      </w:r>
    </w:p>
    <w:p>
      <w:pPr>
        <w:spacing w:line="360" w:lineRule="auto" w:before="0" w:after="0"/>
        <w:ind w:left="420"/>
      </w:pPr>
      <w:r>
        <w:rPr>
          <w:rFonts w:ascii="Times New Roman" w:hAnsi="Times New Roman" w:eastAsia="宋体"/>
          <w:b w:val="0"/>
          <w:sz w:val="24"/>
        </w:rPr>
        <w:t>Gururangan et al. DAPT (ACL 2020). arXiv:2004.10964.</w:t>
      </w:r>
    </w:p>
    <w:p>
      <w:pPr>
        <w:spacing w:line="360" w:lineRule="auto" w:before="0" w:after="0"/>
        <w:ind w:left="420"/>
      </w:pPr>
      <w:r>
        <w:rPr>
          <w:rFonts w:ascii="Times New Roman" w:hAnsi="Times New Roman" w:eastAsia="宋体"/>
          <w:b w:val="0"/>
          <w:sz w:val="24"/>
        </w:rPr>
        <w:t>wordfreq: multiscript word frequency data. R. Speer.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