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200"/>
        <w:jc w:val="center"/>
      </w:pPr>
      <w:r>
        <w:rPr>
          <w:rFonts w:ascii="Times New Roman" w:hAnsi="Times New Roman" w:eastAsia="宋体"/>
          <w:b/>
          <w:sz w:val="44"/>
        </w:rPr>
        <w:t>面向类别不平衡的网络入侵检测方法比较与轻量化改进研究</w:t>
      </w:r>
    </w:p>
    <w:p>
      <w:pPr>
        <w:spacing w:line="360" w:lineRule="auto" w:before="0" w:after="0"/>
        <w:jc w:val="center"/>
      </w:pPr>
      <w:r>
        <w:rPr>
          <w:rFonts w:ascii="Times New Roman" w:hAnsi="Times New Roman" w:eastAsia="宋体"/>
          <w:b w:val="0"/>
          <w:sz w:val="21"/>
        </w:rPr>
        <w:t>作者：黄浩（北京邮电大学 信息与通信工程学院）</w:t>
      </w:r>
    </w:p>
    <w:p>
      <w:pPr>
        <w:spacing w:line="300" w:lineRule="auto" w:before="0" w:after="0"/>
        <w:ind w:left="420"/>
      </w:pPr>
      <w:r>
        <w:rPr>
          <w:rFonts w:ascii="Times New Roman" w:hAnsi="Times New Roman" w:eastAsia="楷体_GB2312"/>
          <w:b w:val="0"/>
          <w:sz w:val="21"/>
        </w:rPr>
        <w:t>预印本说明：本文为投稿前预印本（preprint），尚未经同行评审。全部实验配置、运行产物与</w:t>
      </w:r>
    </w:p>
    <w:p>
      <w:pPr>
        <w:spacing w:line="300" w:lineRule="auto" w:before="0" w:after="0"/>
        <w:ind w:left="420"/>
      </w:pPr>
      <w:r>
        <w:rPr>
          <w:rFonts w:ascii="Times New Roman" w:hAnsi="Times New Roman" w:eastAsia="楷体_GB2312"/>
          <w:b w:val="0"/>
          <w:sz w:val="21"/>
        </w:rPr>
        <w:t>审计记录保存在作者的项目仓库中，可应要求提供。</w:t>
      </w:r>
    </w:p>
    <w:p>
      <w:pPr>
        <w:spacing w:line="360" w:lineRule="auto" w:before="120" w:after="160"/>
        <w:jc w:val="left"/>
      </w:pPr>
      <w:r>
        <w:rPr>
          <w:rFonts w:ascii="Times New Roman" w:hAnsi="Times New Roman" w:eastAsia="宋体"/>
          <w:b/>
          <w:sz w:val="28"/>
        </w:rPr>
        <w:t>摘要</w:t>
      </w:r>
    </w:p>
    <w:p>
      <w:pPr>
        <w:spacing w:line="360" w:lineRule="auto" w:before="0" w:after="0"/>
        <w:ind w:firstLine="480"/>
      </w:pPr>
      <w:r>
        <w:rPr>
          <w:rFonts w:ascii="Times New Roman" w:hAnsi="Times New Roman" w:eastAsia="宋体"/>
          <w:b/>
          <w:sz w:val="24"/>
        </w:rPr>
        <w:t>目的[Objective]</w:t>
      </w:r>
      <w:r>
        <w:rPr>
          <w:rFonts w:ascii="Times New Roman" w:hAnsi="Times New Roman" w:eastAsia="宋体"/>
          <w:b w:val="0"/>
          <w:sz w:val="24"/>
        </w:rPr>
        <w:t xml:space="preserve">　在统一实验协议下检验类别不平衡处理方法在网络入侵检测中的相对有效性与开销，回应已有比较研究结论漂移、口径不一的问题。</w:t>
      </w:r>
    </w:p>
    <w:p>
      <w:pPr>
        <w:spacing w:line="360" w:lineRule="auto" w:before="0" w:after="0"/>
        <w:ind w:firstLine="480"/>
      </w:pPr>
      <w:r>
        <w:rPr>
          <w:rFonts w:ascii="Times New Roman" w:hAnsi="Times New Roman" w:eastAsia="宋体"/>
          <w:b/>
          <w:sz w:val="24"/>
        </w:rPr>
        <w:t>方法[Methods]</w:t>
      </w:r>
      <w:r>
        <w:rPr>
          <w:rFonts w:ascii="Times New Roman" w:hAnsi="Times New Roman" w:eastAsia="宋体"/>
          <w:b w:val="0"/>
          <w:sz w:val="24"/>
        </w:rPr>
        <w:t xml:space="preserve">　在 UNSW-NB15 官方划分集上执行 3 模型 × 4 处理方法 × 3 种子共 36 组受控实验，超参数先于结果冻结并全程贯彻防泄漏纪律；扩展验证集阈值校准与特征筛选轻量化两项对照，并实施方法排序 τ 检验、不平衡度衰减、插值伪影敏感性与切分方差补测四项稳健性检验。</w:t>
      </w:r>
    </w:p>
    <w:p>
      <w:pPr>
        <w:spacing w:line="360" w:lineRule="auto" w:before="0" w:after="0"/>
        <w:ind w:firstLine="480"/>
      </w:pPr>
      <w:r>
        <w:rPr>
          <w:rFonts w:ascii="Times New Roman" w:hAnsi="Times New Roman" w:eastAsia="宋体"/>
          <w:b/>
          <w:sz w:val="24"/>
        </w:rPr>
        <w:t>结果[Results]</w:t>
      </w:r>
      <w:r>
        <w:rPr>
          <w:rFonts w:ascii="Times New Roman" w:hAnsi="Times New Roman" w:eastAsia="宋体"/>
          <w:b w:val="0"/>
          <w:sz w:val="24"/>
        </w:rPr>
        <w:t xml:space="preserve">　方法排序不存在跨模型、跨口径的普适最优（选型分割间 Kendall τ 从 +1.0 到 −1.0）；零重训练阈值校准取得全项目最高 Macro-F1（0.5436±0.0063）；特征筛选以主指标噪声内的差异换取 2.67 倍训练加速，但无法压缩 XGBoost 体积；少数类召回对训练不平衡度本身高度敏感。</w:t>
      </w:r>
    </w:p>
    <w:p>
      <w:pPr>
        <w:spacing w:line="360" w:lineRule="auto" w:before="0" w:after="0"/>
        <w:ind w:firstLine="480"/>
      </w:pPr>
      <w:r>
        <w:rPr>
          <w:rFonts w:ascii="Times New Roman" w:hAnsi="Times New Roman" w:eastAsia="宋体"/>
          <w:b/>
          <w:sz w:val="24"/>
        </w:rPr>
        <w:t>局限[Limitations]</w:t>
      </w:r>
      <w:r>
        <w:rPr>
          <w:rFonts w:ascii="Times New Roman" w:hAnsi="Times New Roman" w:eastAsia="宋体"/>
          <w:b w:val="0"/>
          <w:sz w:val="24"/>
        </w:rPr>
        <w:t xml:space="preserve">　结论基于单一数据集；未含欠采样对照；未做显著性检验；确定性配置的种子方差以重切分补测近似。</w:t>
      </w:r>
    </w:p>
    <w:p>
      <w:pPr>
        <w:spacing w:line="360" w:lineRule="auto" w:before="0" w:after="0"/>
        <w:ind w:firstLine="480"/>
      </w:pPr>
      <w:r>
        <w:rPr>
          <w:rFonts w:ascii="Times New Roman" w:hAnsi="Times New Roman" w:eastAsia="宋体"/>
          <w:b/>
          <w:sz w:val="24"/>
        </w:rPr>
        <w:t>结论[Conclusions]</w:t>
      </w:r>
      <w:r>
        <w:rPr>
          <w:rFonts w:ascii="Times New Roman" w:hAnsi="Times New Roman" w:eastAsia="宋体"/>
          <w:b w:val="0"/>
          <w:sz w:val="24"/>
        </w:rPr>
        <w:t xml:space="preserve">　方法选型必须绑定具体模型与指标口径；阈值校准应作为独立选项纳入性能-开销权衡曲线；本文的统一协议与证据链可复用为同类比较研究的模板。</w:t>
      </w:r>
    </w:p>
    <w:p>
      <w:pPr>
        <w:spacing w:line="360" w:lineRule="auto" w:before="0" w:after="0"/>
        <w:ind w:firstLine="480"/>
      </w:pPr>
      <w:r>
        <w:rPr>
          <w:rFonts w:ascii="Times New Roman" w:hAnsi="Times New Roman" w:eastAsia="宋体"/>
          <w:b/>
          <w:sz w:val="24"/>
        </w:rPr>
        <w:t>关键词</w:t>
      </w:r>
      <w:r>
        <w:rPr>
          <w:rFonts w:ascii="Times New Roman" w:hAnsi="Times New Roman" w:eastAsia="宋体"/>
          <w:b w:val="0"/>
          <w:sz w:val="24"/>
        </w:rPr>
        <w:t xml:space="preserve">　网络入侵检测；类别不平衡；SMOTE；代价敏感学习；XGBoost</w:t>
      </w:r>
    </w:p>
    <w:p>
      <w:r>
        <w:br w:type="page"/>
      </w:r>
    </w:p>
    <w:p>
      <w:pPr>
        <w:spacing w:line="360" w:lineRule="auto" w:before="120" w:after="160"/>
        <w:jc w:val="left"/>
      </w:pPr>
      <w:r>
        <w:rPr>
          <w:rFonts w:ascii="Times New Roman" w:hAnsi="Times New Roman" w:eastAsia="宋体"/>
          <w:b/>
          <w:sz w:val="28"/>
        </w:rPr>
        <w:t>Abstract</w:t>
      </w:r>
    </w:p>
    <w:p>
      <w:pPr>
        <w:spacing w:line="360" w:lineRule="auto" w:before="0" w:after="0"/>
        <w:ind w:firstLine="480"/>
      </w:pPr>
      <w:r>
        <w:rPr>
          <w:rFonts w:ascii="Times New Roman" w:hAnsi="Times New Roman" w:eastAsia="宋体"/>
          <w:b/>
          <w:sz w:val="24"/>
        </w:rPr>
        <w:t>Objective</w:t>
      </w:r>
      <w:r>
        <w:rPr>
          <w:rFonts w:ascii="Times New Roman" w:hAnsi="Times New Roman" w:eastAsia="宋体"/>
          <w:b w:val="0"/>
          <w:sz w:val="24"/>
        </w:rPr>
        <w:t xml:space="preserve">　To examine the relative effectiveness and overhead of class-imbalance handling methods for network intrusion detection under a unified experimental protocol, addressing the inconsistent conclusions reported in prior comparative studies.</w:t>
      </w:r>
    </w:p>
    <w:p>
      <w:pPr>
        <w:spacing w:line="360" w:lineRule="auto" w:before="0" w:after="0"/>
        <w:ind w:firstLine="480"/>
      </w:pPr>
      <w:r>
        <w:rPr>
          <w:rFonts w:ascii="Times New Roman" w:hAnsi="Times New Roman" w:eastAsia="宋体"/>
          <w:b/>
          <w:sz w:val="24"/>
        </w:rPr>
        <w:t>Methods</w:t>
      </w:r>
      <w:r>
        <w:rPr>
          <w:rFonts w:ascii="Times New Roman" w:hAnsi="Times New Roman" w:eastAsia="宋体"/>
          <w:b w:val="0"/>
          <w:sz w:val="24"/>
        </w:rPr>
        <w:t xml:space="preserve">　36 controlled runs (3 models × 4 handling methods × 3 seeds) are conducted on the official UNSW-NB15 splits, with all hyperparameters frozen before any results and leakage-prevention discipline enforced throughout. Two extended controls (validation-set threshold calibration and feature-selection lightweighting) and four robustness checks (a preregistered Kendall τ ranking test, imbalance-level decay, rounding sensitivity of SMOTE interpolation artifacts, and a per-seed resplit variance recheck) are added.</w:t>
      </w:r>
    </w:p>
    <w:p>
      <w:pPr>
        <w:spacing w:line="360" w:lineRule="auto" w:before="0" w:after="0"/>
        <w:ind w:firstLine="480"/>
      </w:pPr>
      <w:r>
        <w:rPr>
          <w:rFonts w:ascii="Times New Roman" w:hAnsi="Times New Roman" w:eastAsia="宋体"/>
          <w:b/>
          <w:sz w:val="24"/>
        </w:rPr>
        <w:t>Results</w:t>
      </w:r>
      <w:r>
        <w:rPr>
          <w:rFonts w:ascii="Times New Roman" w:hAnsi="Times New Roman" w:eastAsia="宋体"/>
          <w:b w:val="0"/>
          <w:sz w:val="24"/>
        </w:rPr>
        <w:t xml:space="preserve">　No cross-model, cross-metric winner exists (selection-split Kendall τ from +1.0 to −1.0); zero-retraining threshold calibration achieves the highest Macro-F1 of the entire study (0.5436±0.0063); feature selection buys a 2.67× training speedup at a within-noise Macro-F1 cost but cannot shrink XGBoost model size; minority-class recall is highly sensitive to the training imbalance level itself.</w:t>
      </w:r>
    </w:p>
    <w:p>
      <w:pPr>
        <w:spacing w:line="360" w:lineRule="auto" w:before="0" w:after="0"/>
        <w:ind w:firstLine="480"/>
      </w:pPr>
      <w:r>
        <w:rPr>
          <w:rFonts w:ascii="Times New Roman" w:hAnsi="Times New Roman" w:eastAsia="宋体"/>
          <w:b/>
          <w:sz w:val="24"/>
        </w:rPr>
        <w:t>Limitations</w:t>
      </w:r>
      <w:r>
        <w:rPr>
          <w:rFonts w:ascii="Times New Roman" w:hAnsi="Times New Roman" w:eastAsia="宋体"/>
          <w:b w:val="0"/>
          <w:sz w:val="24"/>
        </w:rPr>
        <w:t xml:space="preserve">　Conclusions rest on a single dataset; no undersampling baseline is included; no significance testing is performed; seed variance for deterministic configurations is approximated by resplit rechecks.</w:t>
      </w:r>
    </w:p>
    <w:p>
      <w:pPr>
        <w:spacing w:line="360" w:lineRule="auto" w:before="0" w:after="0"/>
        <w:ind w:firstLine="480"/>
      </w:pPr>
      <w:r>
        <w:rPr>
          <w:rFonts w:ascii="Times New Roman" w:hAnsi="Times New Roman" w:eastAsia="宋体"/>
          <w:b/>
          <w:sz w:val="24"/>
        </w:rPr>
        <w:t>Conclusions</w:t>
      </w:r>
      <w:r>
        <w:rPr>
          <w:rFonts w:ascii="Times New Roman" w:hAnsi="Times New Roman" w:eastAsia="宋体"/>
          <w:b w:val="0"/>
          <w:sz w:val="24"/>
        </w:rPr>
        <w:t xml:space="preserve">　Method selection must be bound to specific models and metric scopes; threshold calibration should be included as an independent option in the performance–overhead trade-off curve; the unified protocol and evidence chain are reusable as a template for comparative studies.</w:t>
      </w:r>
    </w:p>
    <w:p>
      <w:r>
        <w:br w:type="page"/>
      </w:r>
    </w:p>
    <w:p>
      <w:pPr>
        <w:spacing w:line="360" w:lineRule="auto" w:before="120" w:after="160"/>
        <w:jc w:val="left"/>
      </w:pPr>
      <w:r>
        <w:rPr>
          <w:rFonts w:ascii="Times New Roman" w:hAnsi="Times New Roman" w:eastAsia="宋体"/>
          <w:b/>
          <w:sz w:val="28"/>
        </w:rPr>
        <w:t>1 引言</w:t>
      </w:r>
    </w:p>
    <w:p>
      <w:pPr>
        <w:spacing w:line="360" w:lineRule="auto" w:before="200" w:after="80"/>
      </w:pPr>
      <w:r>
        <w:rPr>
          <w:rFonts w:ascii="Times New Roman" w:hAnsi="Times New Roman" w:eastAsia="楷体_GB2312"/>
          <w:b w:val="0"/>
          <w:sz w:val="24"/>
        </w:rPr>
        <w:t>1.1 研究背景与意义</w:t>
      </w:r>
    </w:p>
    <w:p>
      <w:pPr>
        <w:spacing w:line="360" w:lineRule="auto" w:before="0" w:after="0"/>
        <w:ind w:firstLine="480"/>
      </w:pPr>
      <w:r>
        <w:rPr>
          <w:rFonts w:ascii="Times New Roman" w:hAnsi="Times New Roman" w:eastAsia="宋体"/>
          <w:b w:val="0"/>
          <w:sz w:val="24"/>
        </w:rPr>
        <w:t>网络入侵检测系统（Network Intrusion Detection System, NIDS）是网络安全纵深防御的核心组件。基于机器学习的入侵检测将流量识别转化为监督分类问题，其效果高度依赖训练数据的质量与分布。然而，真实网络流量中攻击样本远少于正常流量，且攻击类别之间同样悬殊——以本文使用的 UNSW-NB15 数据集[1][2]为例，训练集中最多类与最少类之比达 431:1，Worms 类仅有130 个训练样本。在这种极端类别不平衡下，常规分类器倾向于把样本判给多数类：总体Accuracy 看起来可观，而少数类攻击（往往恰是危害最大的定向攻击）被系统性漏检。</w:t>
      </w:r>
    </w:p>
    <w:p>
      <w:pPr>
        <w:spacing w:line="360" w:lineRule="auto" w:before="0" w:after="0"/>
        <w:ind w:firstLine="480"/>
      </w:pPr>
      <w:r>
        <w:rPr>
          <w:rFonts w:ascii="Times New Roman" w:hAnsi="Times New Roman" w:eastAsia="宋体"/>
          <w:b w:val="0"/>
          <w:sz w:val="24"/>
        </w:rPr>
        <w:t>类别不平衡学习针对该问题发展出三条主流路线：数据层面的随机过采样（ROS）与合成过采样（SMOTE）[10][10]，以及算法层面的代价敏感学习（类别权重）。在通用机器学习领域，三类方法已有成熟综述；但在网络入侵检测这一具体任务上，不同研究给出的"最优方法"结论并不一致，且多数比较研究存在协议不统一、指标口径单一、种子与泄漏纪律不明的问题——同一个数据集上，"SMOTE 最好"与"类别权重最好"的结论都可能找到文献支持。对要在真实部署中选型的实践者而言，这种结论漂移本身就是需要研究的对象：</w:t>
      </w:r>
      <w:r>
        <w:rPr>
          <w:rFonts w:ascii="Times New Roman" w:hAnsi="Times New Roman" w:eastAsia="宋体"/>
          <w:b/>
          <w:sz w:val="24"/>
        </w:rPr>
        <w:t>方法排序究竟在多大程度上依赖模型、指标口径与数据划分？</w:t>
      </w:r>
      <w:r>
        <w:rPr>
          <w:rFonts w:ascii="Times New Roman" w:hAnsi="Times New Roman" w:eastAsia="宋体"/>
          <w:b w:val="0"/>
          <w:sz w:val="24"/>
        </w:rPr>
        <w:t xml:space="preserve"> 这一问题在已有文献中缺少受控的、可证伪的回答。</w:t>
      </w:r>
    </w:p>
    <w:p>
      <w:pPr>
        <w:spacing w:line="360" w:lineRule="auto" w:before="200" w:after="80"/>
      </w:pPr>
      <w:r>
        <w:rPr>
          <w:rFonts w:ascii="Times New Roman" w:hAnsi="Times New Roman" w:eastAsia="楷体_GB2312"/>
          <w:b w:val="0"/>
          <w:sz w:val="24"/>
        </w:rPr>
        <w:t>1.2 研究问题</w:t>
      </w:r>
    </w:p>
    <w:p>
      <w:pPr>
        <w:spacing w:line="360" w:lineRule="auto" w:before="0" w:after="0"/>
        <w:ind w:firstLine="480"/>
      </w:pPr>
      <w:r>
        <w:rPr>
          <w:rFonts w:ascii="Times New Roman" w:hAnsi="Times New Roman" w:eastAsia="宋体"/>
          <w:b w:val="0"/>
          <w:sz w:val="24"/>
        </w:rPr>
        <w:t>本文将上述问题分解为三个可检验的研究问题：</w:t>
      </w:r>
    </w:p>
    <w:p>
      <w:pPr>
        <w:spacing w:line="360" w:lineRule="auto" w:before="0" w:after="0"/>
        <w:ind w:left="420"/>
      </w:pPr>
      <w:r>
        <w:rPr>
          <w:rFonts w:ascii="Times New Roman" w:hAnsi="Times New Roman" w:eastAsia="宋体"/>
          <w:b/>
          <w:sz w:val="24"/>
        </w:rPr>
        <w:t>RQ1</w:t>
      </w:r>
      <w:r>
        <w:rPr>
          <w:rFonts w:ascii="Times New Roman" w:hAnsi="Times New Roman" w:eastAsia="宋体"/>
          <w:b w:val="0"/>
          <w:sz w:val="24"/>
        </w:rPr>
        <w:t>：类别不平衡会让哪些攻击类别被漏检？漏检格局随处理方法如何变化？</w:t>
      </w:r>
    </w:p>
    <w:p>
      <w:pPr>
        <w:spacing w:line="360" w:lineRule="auto" w:before="0" w:after="0"/>
        <w:ind w:left="420"/>
      </w:pPr>
      <w:r>
        <w:rPr>
          <w:rFonts w:ascii="Times New Roman" w:hAnsi="Times New Roman" w:eastAsia="宋体"/>
          <w:b/>
          <w:sz w:val="24"/>
        </w:rPr>
        <w:t>RQ2</w:t>
      </w:r>
      <w:r>
        <w:rPr>
          <w:rFonts w:ascii="Times New Roman" w:hAnsi="Times New Roman" w:eastAsia="宋体"/>
          <w:b w:val="0"/>
          <w:sz w:val="24"/>
        </w:rPr>
        <w:t>：类别权重、随机过采样与 SMOTE 三类处理方法，在统一协议下哪种更有效？</w:t>
      </w:r>
    </w:p>
    <w:p>
      <w:pPr>
        <w:spacing w:line="360" w:lineRule="auto" w:before="0" w:after="0"/>
        <w:ind w:firstLine="480"/>
      </w:pPr>
      <w:r>
        <w:rPr>
          <w:rFonts w:ascii="Times New Roman" w:hAnsi="Times New Roman" w:eastAsia="宋体"/>
          <w:b w:val="0"/>
          <w:sz w:val="24"/>
        </w:rPr>
        <w:t>"更有效"是否依赖模型与指标口径？</w:t>
      </w:r>
    </w:p>
    <w:p>
      <w:pPr>
        <w:spacing w:line="360" w:lineRule="auto" w:before="0" w:after="0"/>
        <w:ind w:left="420"/>
      </w:pPr>
      <w:r>
        <w:rPr>
          <w:rFonts w:ascii="Times New Roman" w:hAnsi="Times New Roman" w:eastAsia="宋体"/>
          <w:b/>
          <w:sz w:val="24"/>
        </w:rPr>
        <w:t>RQ3</w:t>
      </w:r>
      <w:r>
        <w:rPr>
          <w:rFonts w:ascii="Times New Roman" w:hAnsi="Times New Roman" w:eastAsia="宋体"/>
          <w:b w:val="0"/>
          <w:sz w:val="24"/>
        </w:rPr>
        <w:t>：检测性能、少数类 Recall 与计算开销（训练/推理时间、模型体积）之间如何权衡？</w:t>
      </w:r>
    </w:p>
    <w:p>
      <w:pPr>
        <w:spacing w:line="360" w:lineRule="auto" w:before="0" w:after="0"/>
        <w:ind w:firstLine="480"/>
      </w:pPr>
      <w:r>
        <w:rPr>
          <w:rFonts w:ascii="Times New Roman" w:hAnsi="Times New Roman" w:eastAsia="宋体"/>
          <w:b w:val="0"/>
          <w:sz w:val="24"/>
        </w:rPr>
        <w:t>是否存在零重训练的低开销替代路线？</w:t>
      </w:r>
    </w:p>
    <w:p>
      <w:pPr>
        <w:spacing w:line="360" w:lineRule="auto" w:before="200" w:after="80"/>
      </w:pPr>
      <w:r>
        <w:rPr>
          <w:rFonts w:ascii="Times New Roman" w:hAnsi="Times New Roman" w:eastAsia="楷体_GB2312"/>
          <w:b w:val="0"/>
          <w:sz w:val="24"/>
        </w:rPr>
        <w:t>1.3 研究方法概述</w:t>
      </w:r>
    </w:p>
    <w:p>
      <w:pPr>
        <w:spacing w:line="360" w:lineRule="auto" w:before="0" w:after="0"/>
        <w:ind w:firstLine="480"/>
      </w:pPr>
      <w:r>
        <w:rPr>
          <w:rFonts w:ascii="Times New Roman" w:hAnsi="Times New Roman" w:eastAsia="宋体"/>
          <w:b w:val="0"/>
          <w:sz w:val="24"/>
        </w:rPr>
        <w:t>本文在 UNSW-NB15 官方划分集[1][2]上构建统一实验协议：3 种模型（Logistic Regression、MLP、XGBoost）× 4 种处理方法（无处理、类别权重、ROS、SMOTE）× 3 种随机种子共 36 组主实验，全部超参数先于结果冻结，防泄漏纪律（先划分后拟合、重采样仅作用训练数据、测试集只终评一次）贯穿全程。在此之上引入两项扩展对照——验证集决策阈值校准（零重训练路线）与基于增益重要性的特征筛选轻量化——以及四项稳健性检验（方法排序一致性预注册 τ 检验、训练不平衡度衰减、SMOTE 插值伪影取整敏感性、确定性配置的切分方差补测）。全文结论均以可溯源的证据链支撑：每个数字可回溯到实验产物 CSV，并经多轮独立对抗审计，全部审计发现闭环留痕。</w:t>
      </w:r>
    </w:p>
    <w:p>
      <w:pPr>
        <w:spacing w:line="360" w:lineRule="auto" w:before="200" w:after="80"/>
      </w:pPr>
      <w:r>
        <w:rPr>
          <w:rFonts w:ascii="Times New Roman" w:hAnsi="Times New Roman" w:eastAsia="楷体_GB2312"/>
          <w:b w:val="0"/>
          <w:sz w:val="24"/>
        </w:rPr>
        <w:t>1.4 主要贡献</w:t>
      </w:r>
    </w:p>
    <w:p>
      <w:pPr>
        <w:spacing w:line="360" w:lineRule="auto" w:before="0" w:after="0"/>
        <w:ind w:firstLine="480"/>
      </w:pPr>
      <w:r>
        <w:rPr>
          <w:rFonts w:ascii="Times New Roman" w:hAnsi="Times New Roman" w:eastAsia="宋体"/>
          <w:b w:val="0"/>
          <w:sz w:val="24"/>
        </w:rPr>
        <w:t>本文的贡献不在于提出新算法，而在于比较研究的严谨性与结论的可信度：</w:t>
      </w:r>
    </w:p>
    <w:p>
      <w:pPr>
        <w:spacing w:line="360" w:lineRule="auto" w:before="0" w:after="0"/>
        <w:ind w:firstLine="480"/>
      </w:pPr>
      <w:r>
        <w:rPr>
          <w:rFonts w:ascii="Times New Roman" w:hAnsi="Times New Roman" w:eastAsia="宋体"/>
          <w:b w:val="0"/>
          <w:sz w:val="24"/>
        </w:rPr>
        <w:t>1. 在统一防泄漏协议下完成 36 组系统比较，并以预注册 Kendall τ 检验将"方法排序依赖模型与口径"从轶事性观察正式化为可证伪结论（选型分割间 LR τ=+1.0 而 XGBoost τ=−1.0）；2. 将验证集阈值校准作为零重训练选项纳入 RQ3 权衡曲线，发现其达到全项目最高 Macro-F1（0.5436±0.0063，超过全部训练期不平衡处理配置），并明确其公平性边界与迁移失败反例；3. 如实报告负结果（特征筛选无法压缩 XGBoost 体积、少数类召回对训练不平衡度本身高度敏感），并对确定性配置的种子坍缩实施切分方差补测，使多种子结论度量真实方差而非可复现性。</w:t>
      </w:r>
    </w:p>
    <w:p>
      <w:pPr>
        <w:spacing w:line="360" w:lineRule="auto" w:before="200" w:after="80"/>
      </w:pPr>
      <w:r>
        <w:rPr>
          <w:rFonts w:ascii="Times New Roman" w:hAnsi="Times New Roman" w:eastAsia="楷体_GB2312"/>
          <w:b w:val="0"/>
          <w:sz w:val="24"/>
        </w:rPr>
        <w:t>1.5 论文结构</w:t>
      </w:r>
    </w:p>
    <w:p>
      <w:pPr>
        <w:spacing w:line="360" w:lineRule="auto" w:before="0" w:after="0"/>
        <w:ind w:firstLine="480"/>
      </w:pPr>
      <w:r>
        <w:rPr>
          <w:rFonts w:ascii="Times New Roman" w:hAnsi="Times New Roman" w:eastAsia="宋体"/>
          <w:b w:val="0"/>
          <w:sz w:val="24"/>
        </w:rPr>
        <w:t>本文余下部分组织如下：第 2 节综述入侵检测基准数据集与类别不平衡学习的相关工作；第 3 节介绍 UNSW-NB15 数据集、数据质量核查、划分重叠审计与问题定义；第 4 节给出统一实验协议、防泄漏流程与各扩展对照及稳健性检验的设计；第 5 节报告全部实验结果；第 6 节基于逐条错误归因展开讨论；第 7 节给出三个研究问题的结论、本文贡献、局限性与未来工作。正文后为作者贡献声明与参考文献。</w:t>
      </w:r>
    </w:p>
    <w:p>
      <w:r>
        <w:br w:type="page"/>
      </w:r>
    </w:p>
    <w:p>
      <w:pPr>
        <w:spacing w:line="360" w:lineRule="auto" w:before="120" w:after="160"/>
        <w:jc w:val="left"/>
      </w:pPr>
      <w:r>
        <w:rPr>
          <w:rFonts w:ascii="Times New Roman" w:hAnsi="Times New Roman" w:eastAsia="宋体"/>
          <w:b/>
          <w:sz w:val="28"/>
        </w:rPr>
        <w:t>2 文献综述</w:t>
      </w:r>
    </w:p>
    <w:p>
      <w:pPr>
        <w:spacing w:line="360" w:lineRule="auto" w:before="200" w:after="80"/>
      </w:pPr>
      <w:r>
        <w:rPr>
          <w:rFonts w:ascii="Times New Roman" w:hAnsi="Times New Roman" w:eastAsia="楷体_GB2312"/>
          <w:b w:val="0"/>
          <w:sz w:val="24"/>
        </w:rPr>
        <w:t>2.1 入侵检测数据集与基准演进</w:t>
      </w:r>
    </w:p>
    <w:p>
      <w:pPr>
        <w:spacing w:line="360" w:lineRule="auto" w:before="0" w:after="0"/>
        <w:ind w:firstLine="480"/>
      </w:pPr>
      <w:r>
        <w:rPr>
          <w:rFonts w:ascii="Times New Roman" w:hAnsi="Times New Roman" w:eastAsia="宋体"/>
          <w:b w:val="0"/>
          <w:sz w:val="24"/>
        </w:rPr>
        <w:t>基准数据集是入侵检测研究可比较性的基础。早期研究广泛使用的 KDD98/KDDCUP99 及其改进版 NSL-KDD 生成于二十余年前，多项后续工作指出它们已不能反映现代网络流量与低足迹攻击</w:t>
      </w:r>
    </w:p>
    <w:p>
      <w:pPr>
        <w:spacing w:line="300" w:lineRule="auto" w:before="0" w:after="0"/>
      </w:pPr>
      <w:r>
        <w:rPr>
          <w:rFonts w:ascii="Times New Roman" w:hAnsi="Times New Roman" w:eastAsia="宋体"/>
          <w:b w:val="0"/>
          <w:sz w:val="21"/>
        </w:rPr>
        <w:t>[1]。Moustafa 与 Slay 发布的 UNSW-NB15 数据集混合真实正常流量与当代合成攻击流量，并</w:t>
      </w:r>
    </w:p>
    <w:p>
      <w:pPr>
        <w:spacing w:line="360" w:lineRule="auto" w:before="0" w:after="0"/>
        <w:ind w:firstLine="480"/>
      </w:pPr>
      <w:r>
        <w:rPr>
          <w:rFonts w:ascii="Times New Roman" w:hAnsi="Times New Roman" w:eastAsia="宋体"/>
          <w:b w:val="0"/>
          <w:sz w:val="24"/>
        </w:rPr>
        <w:t>对其统计特性与 KDD99 做了系统对比分析[2]，成为近年入侵检测研究的主要基准之一。此后，Sharafaldin 等发布的 CIC-IDS2017 数据集[3]以流级别标注补充了另一常用基准；Ring 等讨论了基于流的检测数据集构建方法[4]；Sarhan 等进一步提出了面向机器学习的 NetFlow 标准特征集以促进跨数据集比较[5]。在比较研究方面，Ferrag 等对七类深度学习模型在两个真实流量数据集上做了系统评估，但其比较以二分类与多分类 Accuracy/FAR 为主，未将类别不平衡处理方法作为受控变量[6]。</w:t>
      </w:r>
    </w:p>
    <w:p>
      <w:pPr>
        <w:spacing w:line="360" w:lineRule="auto" w:before="0" w:after="0"/>
        <w:ind w:firstLine="480"/>
      </w:pPr>
      <w:r>
        <w:rPr>
          <w:rFonts w:ascii="Times New Roman" w:hAnsi="Times New Roman" w:eastAsia="宋体"/>
          <w:b w:val="0"/>
          <w:sz w:val="24"/>
        </w:rPr>
        <w:t>与上述工作不同，本文的比较以"处理方法"为受控变量、以宏平均指标为主口径，并明确报告结论对模型与指标口径的依赖性，这一框架在 UNSW-NB15 上的已有比较研究中较少见。</w:t>
      </w:r>
    </w:p>
    <w:p>
      <w:pPr>
        <w:spacing w:line="360" w:lineRule="auto" w:before="200" w:after="80"/>
      </w:pPr>
      <w:r>
        <w:rPr>
          <w:rFonts w:ascii="Times New Roman" w:hAnsi="Times New Roman" w:eastAsia="楷体_GB2312"/>
          <w:b w:val="0"/>
          <w:sz w:val="24"/>
        </w:rPr>
        <w:t>2.2 类别不平衡学习</w:t>
      </w:r>
    </w:p>
    <w:p>
      <w:pPr>
        <w:spacing w:line="360" w:lineRule="auto" w:before="0" w:after="0"/>
        <w:ind w:firstLine="480"/>
      </w:pPr>
      <w:r>
        <w:rPr>
          <w:rFonts w:ascii="Times New Roman" w:hAnsi="Times New Roman" w:eastAsia="宋体"/>
          <w:b w:val="0"/>
          <w:sz w:val="24"/>
        </w:rPr>
        <w:t>类别不平衡学习已有二十余年积累。He 与 Garcia 对数据层采样、算法层代价敏感与集成方法做了系统综述，并讨论了不平衡场景下的评价指标问题[7]；Krawczyk 从开放挑战角度指出，除类间比例外，类重叠、小析取与噪声等数据难度因素同样关键[8]；Haixiang 等对 517 篇应用文献的统计显示，不平衡学习覆盖从管理科学到工程的十余个领域，但方法有效性的结论高度依赖任务[9]。</w:t>
      </w:r>
    </w:p>
    <w:p>
      <w:pPr>
        <w:spacing w:line="360" w:lineRule="auto" w:before="0" w:after="0"/>
        <w:ind w:firstLine="480"/>
      </w:pPr>
      <w:r>
        <w:rPr>
          <w:rFonts w:ascii="Times New Roman" w:hAnsi="Times New Roman" w:eastAsia="宋体"/>
          <w:b w:val="0"/>
          <w:sz w:val="24"/>
        </w:rPr>
        <w:t>数据层面，SMOTE 通过少数类近邻插值生成合成样本[10]，其变体 Borderline-SMOTE 进一步聚焦类边界样本[11]；Buda 等在深度学习场景下的系统研究指出，过采样在多数场景中最稳定，且阈值补偿 prior 概率是处理不平衡的有效手段[12]。算法层面，代价敏感学习以误分类代价重构决策：Elkan 给出了代价矩阵的合理性条件，并论证对标准分类器应"以原分布训练、在决策阶段按概率显式计算最优决策"[13]——这正是本文阈值校准路线的理论依据；Zhou 与 Liu的经验研究则表明，在</w:t>
      </w:r>
      <w:r>
        <w:rPr>
          <w:rFonts w:ascii="Times New Roman" w:hAnsi="Times New Roman" w:eastAsia="宋体"/>
          <w:b/>
          <w:sz w:val="24"/>
        </w:rPr>
        <w:t>多类</w:t>
      </w:r>
      <w:r>
        <w:rPr>
          <w:rFonts w:ascii="Times New Roman" w:hAnsi="Times New Roman" w:eastAsia="宋体"/>
          <w:b w:val="0"/>
          <w:sz w:val="24"/>
        </w:rPr>
        <w:t>代价敏感任务中许多常规方法失效，而阈值移动是相对可靠的选择[14]。这两点共同支撑了本文的两个设计决策：将阈值校准作为独立的后处理对照纳入权衡曲线（第 4.6 节），以及按"模型 × 指标口径"分别报告结论而不做跨口径概括。</w:t>
      </w:r>
    </w:p>
    <w:p>
      <w:pPr>
        <w:spacing w:line="360" w:lineRule="auto" w:before="200" w:after="80"/>
      </w:pPr>
      <w:r>
        <w:rPr>
          <w:rFonts w:ascii="Times New Roman" w:hAnsi="Times New Roman" w:eastAsia="楷体_GB2312"/>
          <w:b w:val="0"/>
          <w:sz w:val="24"/>
        </w:rPr>
        <w:t>2.3 与已有工作的差异</w:t>
      </w:r>
    </w:p>
    <w:p>
      <w:pPr>
        <w:spacing w:line="360" w:lineRule="auto" w:before="0" w:after="0"/>
        <w:ind w:firstLine="480"/>
      </w:pPr>
      <w:r>
        <w:rPr>
          <w:rFonts w:ascii="Times New Roman" w:hAnsi="Times New Roman" w:eastAsia="宋体"/>
          <w:b w:val="0"/>
          <w:sz w:val="24"/>
        </w:rPr>
        <w:t>在 UNSW-NB15 上使用机器学习方法的已有研究多聚焦单一模型或深度架构的性能展示，比较对象通常是模型族而非不平衡处理方法；比较协议普遍未冻结超参来源、未声明选型所用数据划分，且常以 Accuracy 为主要指标。本文与已有工作的差异可概括为四点：任务上，聚焦十分类攻击识别中的不平衡处理而非模型架构创新；信息上，使用与文献一致的官方划分以保证可比；机制上，同时纳入训练期处理（类别权重/ROS/SMOTE）与后处理阈值校准两条线；证据上，以3 种子、验证集选型、切分方差补测与预注册统计量支撑结论，并公开全部负结果。据作者所知，此前尚无在统一防泄漏协议下对"训练期处理方法 + 后处理阈值校准"做联合权衡并报告其切分方差的 UNSW-NB15 研究。</w:t>
      </w:r>
    </w:p>
    <w:p>
      <w:pPr>
        <w:spacing w:line="360" w:lineRule="auto" w:before="200" w:after="80"/>
      </w:pPr>
      <w:r>
        <w:rPr>
          <w:rFonts w:ascii="Times New Roman" w:hAnsi="Times New Roman" w:eastAsia="楷体_GB2312"/>
          <w:b w:val="0"/>
          <w:sz w:val="24"/>
        </w:rPr>
        <w:t>2.4 实现工具</w:t>
      </w:r>
    </w:p>
    <w:p>
      <w:pPr>
        <w:spacing w:line="360" w:lineRule="auto" w:before="0" w:after="0"/>
        <w:ind w:firstLine="480"/>
      </w:pPr>
      <w:r>
        <w:rPr>
          <w:rFonts w:ascii="Times New Roman" w:hAnsi="Times New Roman" w:eastAsia="宋体"/>
          <w:b w:val="0"/>
          <w:sz w:val="24"/>
        </w:rPr>
        <w:t>本文实验基于 Python 科学计算生态实现：模型与评估基于 scikit-learn[15]，重采样基于imbalanced-learn[16]，梯度提升树基于 XGBoost[17]；全部依赖版本精确锁定（第 4.8 节），实验脚本、配置与产物随论文仓库保存以保证可复现。</w:t>
      </w:r>
    </w:p>
    <w:p>
      <w:r>
        <w:br w:type="page"/>
      </w:r>
    </w:p>
    <w:p>
      <w:pPr>
        <w:spacing w:line="360" w:lineRule="auto" w:before="120" w:after="160"/>
        <w:jc w:val="left"/>
      </w:pPr>
      <w:r>
        <w:rPr>
          <w:rFonts w:ascii="Times New Roman" w:hAnsi="Times New Roman" w:eastAsia="宋体"/>
          <w:b/>
          <w:sz w:val="28"/>
        </w:rPr>
        <w:t>3 数据集与问题定义</w:t>
      </w:r>
    </w:p>
    <w:p>
      <w:pPr>
        <w:spacing w:line="360" w:lineRule="auto" w:before="200" w:after="80"/>
      </w:pPr>
      <w:r>
        <w:rPr>
          <w:rFonts w:ascii="Times New Roman" w:hAnsi="Times New Roman" w:eastAsia="楷体_GB2312"/>
          <w:b w:val="0"/>
          <w:sz w:val="24"/>
        </w:rPr>
        <w:t>3.1 数据集来源与许可</w:t>
      </w:r>
    </w:p>
    <w:p>
      <w:pPr>
        <w:spacing w:line="360" w:lineRule="auto" w:before="0" w:after="0"/>
        <w:ind w:firstLine="480"/>
      </w:pPr>
      <w:r>
        <w:rPr>
          <w:rFonts w:ascii="Times New Roman" w:hAnsi="Times New Roman" w:eastAsia="宋体"/>
          <w:b w:val="0"/>
          <w:sz w:val="24"/>
        </w:rPr>
        <w:t>本文采用 UNSW-NB15 网络入侵检测数据集[1][2]，由澳大利亚堪培拉新南威尔士大学（UNSW）网络空间安全中心发布。该数据集由 IXIA PerfectStorm 工具混合真实正常流量与合成攻击流量生成，包含Fuzzers、Analysis、Backdoors、DoS、Exploits、Generic、Reconnaissance、Shellcode 与 Worms九类攻击行为及正常流量，共 49 个特征（含流量特征与基于时间的特征）。使用该数据集须引用原作者两篇文献（Moustafa &amp; Slay, 2015, MilCIS；Moustafa &amp; Slay, 2016, Information SecurityJournal: A Global Perspective），此为许可义务（文献全文核对状态见第 2 节文献综述）。</w:t>
      </w:r>
    </w:p>
    <w:p>
      <w:pPr>
        <w:spacing w:line="360" w:lineRule="auto" w:before="0" w:after="0"/>
        <w:ind w:firstLine="480"/>
      </w:pPr>
      <w:r>
        <w:rPr>
          <w:rFonts w:ascii="Times New Roman" w:hAnsi="Times New Roman" w:eastAsia="宋体"/>
          <w:b w:val="0"/>
          <w:sz w:val="24"/>
        </w:rPr>
        <w:t>本文使用官方划分集（作者已按官方协议分好训练与测试两个 CSV 文件），来源与 SHA-256 指纹核验记录见 data/README.md 与 。</w:t>
      </w:r>
    </w:p>
    <w:p>
      <w:pPr>
        <w:spacing w:line="360" w:lineRule="auto" w:before="200" w:after="80"/>
      </w:pPr>
      <w:r>
        <w:rPr>
          <w:rFonts w:ascii="Times New Roman" w:hAnsi="Times New Roman" w:eastAsia="楷体_GB2312"/>
          <w:b w:val="0"/>
          <w:sz w:val="24"/>
        </w:rPr>
        <w:t>3.2 官方划分与总体规模</w:t>
      </w:r>
    </w:p>
    <w:p>
      <w:pPr>
        <w:spacing w:line="360" w:lineRule="auto" w:before="0" w:after="0"/>
        <w:ind w:firstLine="480"/>
      </w:pPr>
      <w:r>
        <w:rPr>
          <w:rFonts w:ascii="Times New Roman" w:hAnsi="Times New Roman" w:eastAsia="宋体"/>
          <w:b w:val="0"/>
          <w:sz w:val="24"/>
        </w:rPr>
        <w:t>官方训练集 175,341 条样本、官方测试集 82,332 条样本，各 45 列（id 标识列 + 42 个原始特征列+ attack_cat 与 label 两个标签列）。本文按第 4 节所述协议，从官方训练集内部按 attack_cat分层再划出 20% 作为验证集，最终三个划分的规模为：训练 140,272 / 验证 35,069 / 测试 82,332。官方测试集在整个研究中冻结不动，仅用于各实验的最终评估。</w:t>
      </w:r>
    </w:p>
    <w:p>
      <w:pPr>
        <w:spacing w:line="360" w:lineRule="auto" w:before="200" w:after="80"/>
      </w:pPr>
      <w:r>
        <w:rPr>
          <w:rFonts w:ascii="Times New Roman" w:hAnsi="Times New Roman" w:eastAsia="楷体_GB2312"/>
          <w:b w:val="0"/>
          <w:sz w:val="24"/>
        </w:rPr>
        <w:t>3.3 类别分布与不平衡程度</w:t>
      </w:r>
    </w:p>
    <w:p>
      <w:pPr>
        <w:spacing w:line="360" w:lineRule="auto" w:before="0" w:after="0"/>
        <w:ind w:firstLine="480"/>
      </w:pPr>
      <w:r>
        <w:rPr>
          <w:rFonts w:ascii="Times New Roman" w:hAnsi="Times New Roman" w:eastAsia="宋体"/>
          <w:b w:val="0"/>
          <w:sz w:val="24"/>
        </w:rPr>
        <w:t>表 3-1 列出两个官方划分中全部 10 个类别的样本量与占比。</w:t>
      </w:r>
    </w:p>
    <w:p>
      <w:pPr>
        <w:spacing w:line="360" w:lineRule="auto" w:before="0" w:after="0"/>
        <w:jc w:val="center"/>
      </w:pPr>
      <w:r>
        <w:rPr>
          <w:rFonts w:ascii="Times New Roman" w:hAnsi="Times New Roman" w:eastAsia="宋体"/>
          <w:b/>
          <w:sz w:val="24"/>
        </w:rPr>
        <w:t>表 3-1 UNSW-NB15 官方划分类别分布</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spacing w:line="240" w:lineRule="auto"/>
            </w:pPr>
            <w:r>
              <w:rPr>
                <w:rFonts w:ascii="Times New Roman" w:hAnsi="Times New Roman" w:eastAsia="宋体"/>
                <w:b/>
                <w:sz w:val="21"/>
              </w:rPr>
              <w:t>类别</w:t>
            </w:r>
          </w:p>
        </w:tc>
        <w:tc>
          <w:tcPr>
            <w:tcW w:type="dxa" w:w="1814"/>
          </w:tcPr>
          <w:p>
            <w:pPr>
              <w:spacing w:line="240" w:lineRule="auto"/>
            </w:pPr>
            <w:r>
              <w:rPr>
                <w:rFonts w:ascii="Times New Roman" w:hAnsi="Times New Roman" w:eastAsia="宋体"/>
                <w:b/>
                <w:sz w:val="21"/>
              </w:rPr>
              <w:t>训练集</w:t>
            </w:r>
          </w:p>
        </w:tc>
        <w:tc>
          <w:tcPr>
            <w:tcW w:type="dxa" w:w="1814"/>
          </w:tcPr>
          <w:p>
            <w:pPr>
              <w:spacing w:line="240" w:lineRule="auto"/>
            </w:pPr>
            <w:r>
              <w:rPr>
                <w:rFonts w:ascii="Times New Roman" w:hAnsi="Times New Roman" w:eastAsia="宋体"/>
                <w:b/>
                <w:sz w:val="21"/>
              </w:rPr>
              <w:t>占比</w:t>
            </w:r>
          </w:p>
        </w:tc>
        <w:tc>
          <w:tcPr>
            <w:tcW w:type="dxa" w:w="1814"/>
          </w:tcPr>
          <w:p>
            <w:pPr>
              <w:spacing w:line="240" w:lineRule="auto"/>
            </w:pPr>
            <w:r>
              <w:rPr>
                <w:rFonts w:ascii="Times New Roman" w:hAnsi="Times New Roman" w:eastAsia="宋体"/>
                <w:b/>
                <w:sz w:val="21"/>
              </w:rPr>
              <w:t>测试集</w:t>
            </w:r>
          </w:p>
        </w:tc>
        <w:tc>
          <w:tcPr>
            <w:tcW w:type="dxa" w:w="1814"/>
          </w:tcPr>
          <w:p>
            <w:pPr>
              <w:spacing w:line="240" w:lineRule="auto"/>
            </w:pPr>
            <w:r>
              <w:rPr>
                <w:rFonts w:ascii="Times New Roman" w:hAnsi="Times New Roman" w:eastAsia="宋体"/>
                <w:b/>
                <w:sz w:val="21"/>
              </w:rPr>
              <w:t>占比</w:t>
            </w:r>
          </w:p>
        </w:tc>
      </w:tr>
      <w:tr>
        <w:tc>
          <w:tcPr>
            <w:tcW w:type="dxa" w:w="1814"/>
          </w:tcPr>
          <w:p>
            <w:pPr>
              <w:spacing w:line="240" w:lineRule="auto"/>
            </w:pPr>
            <w:r>
              <w:rPr>
                <w:rFonts w:ascii="Times New Roman" w:hAnsi="Times New Roman" w:eastAsia="宋体"/>
                <w:b w:val="0"/>
                <w:sz w:val="21"/>
              </w:rPr>
              <w:t>Normal</w:t>
            </w:r>
          </w:p>
        </w:tc>
        <w:tc>
          <w:tcPr>
            <w:tcW w:type="dxa" w:w="1814"/>
          </w:tcPr>
          <w:p>
            <w:pPr>
              <w:spacing w:line="240" w:lineRule="auto"/>
            </w:pPr>
            <w:r>
              <w:rPr>
                <w:rFonts w:ascii="Times New Roman" w:hAnsi="Times New Roman" w:eastAsia="宋体"/>
                <w:b w:val="0"/>
                <w:sz w:val="21"/>
              </w:rPr>
              <w:t>56,000</w:t>
            </w:r>
          </w:p>
        </w:tc>
        <w:tc>
          <w:tcPr>
            <w:tcW w:type="dxa" w:w="1814"/>
          </w:tcPr>
          <w:p>
            <w:pPr>
              <w:spacing w:line="240" w:lineRule="auto"/>
            </w:pPr>
            <w:r>
              <w:rPr>
                <w:rFonts w:ascii="Times New Roman" w:hAnsi="Times New Roman" w:eastAsia="宋体"/>
                <w:b w:val="0"/>
                <w:sz w:val="21"/>
              </w:rPr>
              <w:t>31.94%</w:t>
            </w:r>
          </w:p>
        </w:tc>
        <w:tc>
          <w:tcPr>
            <w:tcW w:type="dxa" w:w="1814"/>
          </w:tcPr>
          <w:p>
            <w:pPr>
              <w:spacing w:line="240" w:lineRule="auto"/>
            </w:pPr>
            <w:r>
              <w:rPr>
                <w:rFonts w:ascii="Times New Roman" w:hAnsi="Times New Roman" w:eastAsia="宋体"/>
                <w:b w:val="0"/>
                <w:sz w:val="21"/>
              </w:rPr>
              <w:t>37,000</w:t>
            </w:r>
          </w:p>
        </w:tc>
        <w:tc>
          <w:tcPr>
            <w:tcW w:type="dxa" w:w="1814"/>
          </w:tcPr>
          <w:p>
            <w:pPr>
              <w:spacing w:line="240" w:lineRule="auto"/>
            </w:pPr>
            <w:r>
              <w:rPr>
                <w:rFonts w:ascii="Times New Roman" w:hAnsi="Times New Roman" w:eastAsia="宋体"/>
                <w:b w:val="0"/>
                <w:sz w:val="21"/>
              </w:rPr>
              <w:t>44.94%</w:t>
            </w:r>
          </w:p>
        </w:tc>
      </w:tr>
      <w:tr>
        <w:tc>
          <w:tcPr>
            <w:tcW w:type="dxa" w:w="1814"/>
          </w:tcPr>
          <w:p>
            <w:pPr>
              <w:spacing w:line="240" w:lineRule="auto"/>
            </w:pPr>
            <w:r>
              <w:rPr>
                <w:rFonts w:ascii="Times New Roman" w:hAnsi="Times New Roman" w:eastAsia="宋体"/>
                <w:b w:val="0"/>
                <w:sz w:val="21"/>
              </w:rPr>
              <w:t>Generic</w:t>
            </w:r>
          </w:p>
        </w:tc>
        <w:tc>
          <w:tcPr>
            <w:tcW w:type="dxa" w:w="1814"/>
          </w:tcPr>
          <w:p>
            <w:pPr>
              <w:spacing w:line="240" w:lineRule="auto"/>
            </w:pPr>
            <w:r>
              <w:rPr>
                <w:rFonts w:ascii="Times New Roman" w:hAnsi="Times New Roman" w:eastAsia="宋体"/>
                <w:b w:val="0"/>
                <w:sz w:val="21"/>
              </w:rPr>
              <w:t>40,000</w:t>
            </w:r>
          </w:p>
        </w:tc>
        <w:tc>
          <w:tcPr>
            <w:tcW w:type="dxa" w:w="1814"/>
          </w:tcPr>
          <w:p>
            <w:pPr>
              <w:spacing w:line="240" w:lineRule="auto"/>
            </w:pPr>
            <w:r>
              <w:rPr>
                <w:rFonts w:ascii="Times New Roman" w:hAnsi="Times New Roman" w:eastAsia="宋体"/>
                <w:b w:val="0"/>
                <w:sz w:val="21"/>
              </w:rPr>
              <w:t>22.81%</w:t>
            </w:r>
          </w:p>
        </w:tc>
        <w:tc>
          <w:tcPr>
            <w:tcW w:type="dxa" w:w="1814"/>
          </w:tcPr>
          <w:p>
            <w:pPr>
              <w:spacing w:line="240" w:lineRule="auto"/>
            </w:pPr>
            <w:r>
              <w:rPr>
                <w:rFonts w:ascii="Times New Roman" w:hAnsi="Times New Roman" w:eastAsia="宋体"/>
                <w:b w:val="0"/>
                <w:sz w:val="21"/>
              </w:rPr>
              <w:t>18,871</w:t>
            </w:r>
          </w:p>
        </w:tc>
        <w:tc>
          <w:tcPr>
            <w:tcW w:type="dxa" w:w="1814"/>
          </w:tcPr>
          <w:p>
            <w:pPr>
              <w:spacing w:line="240" w:lineRule="auto"/>
            </w:pPr>
            <w:r>
              <w:rPr>
                <w:rFonts w:ascii="Times New Roman" w:hAnsi="Times New Roman" w:eastAsia="宋体"/>
                <w:b w:val="0"/>
                <w:sz w:val="21"/>
              </w:rPr>
              <w:t>22.92%</w:t>
            </w:r>
          </w:p>
        </w:tc>
      </w:tr>
      <w:tr>
        <w:tc>
          <w:tcPr>
            <w:tcW w:type="dxa" w:w="1814"/>
          </w:tcPr>
          <w:p>
            <w:pPr>
              <w:spacing w:line="240" w:lineRule="auto"/>
            </w:pPr>
            <w:r>
              <w:rPr>
                <w:rFonts w:ascii="Times New Roman" w:hAnsi="Times New Roman" w:eastAsia="宋体"/>
                <w:b w:val="0"/>
                <w:sz w:val="21"/>
              </w:rPr>
              <w:t>Exploits</w:t>
            </w:r>
          </w:p>
        </w:tc>
        <w:tc>
          <w:tcPr>
            <w:tcW w:type="dxa" w:w="1814"/>
          </w:tcPr>
          <w:p>
            <w:pPr>
              <w:spacing w:line="240" w:lineRule="auto"/>
            </w:pPr>
            <w:r>
              <w:rPr>
                <w:rFonts w:ascii="Times New Roman" w:hAnsi="Times New Roman" w:eastAsia="宋体"/>
                <w:b w:val="0"/>
                <w:sz w:val="21"/>
              </w:rPr>
              <w:t>33,393</w:t>
            </w:r>
          </w:p>
        </w:tc>
        <w:tc>
          <w:tcPr>
            <w:tcW w:type="dxa" w:w="1814"/>
          </w:tcPr>
          <w:p>
            <w:pPr>
              <w:spacing w:line="240" w:lineRule="auto"/>
            </w:pPr>
            <w:r>
              <w:rPr>
                <w:rFonts w:ascii="Times New Roman" w:hAnsi="Times New Roman" w:eastAsia="宋体"/>
                <w:b w:val="0"/>
                <w:sz w:val="21"/>
              </w:rPr>
              <w:t>19.04%</w:t>
            </w:r>
          </w:p>
        </w:tc>
        <w:tc>
          <w:tcPr>
            <w:tcW w:type="dxa" w:w="1814"/>
          </w:tcPr>
          <w:p>
            <w:pPr>
              <w:spacing w:line="240" w:lineRule="auto"/>
            </w:pPr>
            <w:r>
              <w:rPr>
                <w:rFonts w:ascii="Times New Roman" w:hAnsi="Times New Roman" w:eastAsia="宋体"/>
                <w:b w:val="0"/>
                <w:sz w:val="21"/>
              </w:rPr>
              <w:t>11,132</w:t>
            </w:r>
          </w:p>
        </w:tc>
        <w:tc>
          <w:tcPr>
            <w:tcW w:type="dxa" w:w="1814"/>
          </w:tcPr>
          <w:p>
            <w:pPr>
              <w:spacing w:line="240" w:lineRule="auto"/>
            </w:pPr>
            <w:r>
              <w:rPr>
                <w:rFonts w:ascii="Times New Roman" w:hAnsi="Times New Roman" w:eastAsia="宋体"/>
                <w:b w:val="0"/>
                <w:sz w:val="21"/>
              </w:rPr>
              <w:t>13.52%</w:t>
            </w:r>
          </w:p>
        </w:tc>
      </w:tr>
      <w:tr>
        <w:tc>
          <w:tcPr>
            <w:tcW w:type="dxa" w:w="1814"/>
          </w:tcPr>
          <w:p>
            <w:pPr>
              <w:spacing w:line="240" w:lineRule="auto"/>
            </w:pPr>
            <w:r>
              <w:rPr>
                <w:rFonts w:ascii="Times New Roman" w:hAnsi="Times New Roman" w:eastAsia="宋体"/>
                <w:b w:val="0"/>
                <w:sz w:val="21"/>
              </w:rPr>
              <w:t>Fuzzers</w:t>
            </w:r>
          </w:p>
        </w:tc>
        <w:tc>
          <w:tcPr>
            <w:tcW w:type="dxa" w:w="1814"/>
          </w:tcPr>
          <w:p>
            <w:pPr>
              <w:spacing w:line="240" w:lineRule="auto"/>
            </w:pPr>
            <w:r>
              <w:rPr>
                <w:rFonts w:ascii="Times New Roman" w:hAnsi="Times New Roman" w:eastAsia="宋体"/>
                <w:b w:val="0"/>
                <w:sz w:val="21"/>
              </w:rPr>
              <w:t>18,184</w:t>
            </w:r>
          </w:p>
        </w:tc>
        <w:tc>
          <w:tcPr>
            <w:tcW w:type="dxa" w:w="1814"/>
          </w:tcPr>
          <w:p>
            <w:pPr>
              <w:spacing w:line="240" w:lineRule="auto"/>
            </w:pPr>
            <w:r>
              <w:rPr>
                <w:rFonts w:ascii="Times New Roman" w:hAnsi="Times New Roman" w:eastAsia="宋体"/>
                <w:b w:val="0"/>
                <w:sz w:val="21"/>
              </w:rPr>
              <w:t>10.37%</w:t>
            </w:r>
          </w:p>
        </w:tc>
        <w:tc>
          <w:tcPr>
            <w:tcW w:type="dxa" w:w="1814"/>
          </w:tcPr>
          <w:p>
            <w:pPr>
              <w:spacing w:line="240" w:lineRule="auto"/>
            </w:pPr>
            <w:r>
              <w:rPr>
                <w:rFonts w:ascii="Times New Roman" w:hAnsi="Times New Roman" w:eastAsia="宋体"/>
                <w:b w:val="0"/>
                <w:sz w:val="21"/>
              </w:rPr>
              <w:t>6,062</w:t>
            </w:r>
          </w:p>
        </w:tc>
        <w:tc>
          <w:tcPr>
            <w:tcW w:type="dxa" w:w="1814"/>
          </w:tcPr>
          <w:p>
            <w:pPr>
              <w:spacing w:line="240" w:lineRule="auto"/>
            </w:pPr>
            <w:r>
              <w:rPr>
                <w:rFonts w:ascii="Times New Roman" w:hAnsi="Times New Roman" w:eastAsia="宋体"/>
                <w:b w:val="0"/>
                <w:sz w:val="21"/>
              </w:rPr>
              <w:t>7.36%</w:t>
            </w:r>
          </w:p>
        </w:tc>
      </w:tr>
      <w:tr>
        <w:tc>
          <w:tcPr>
            <w:tcW w:type="dxa" w:w="1814"/>
          </w:tcPr>
          <w:p>
            <w:pPr>
              <w:spacing w:line="240" w:lineRule="auto"/>
            </w:pPr>
            <w:r>
              <w:rPr>
                <w:rFonts w:ascii="Times New Roman" w:hAnsi="Times New Roman" w:eastAsia="宋体"/>
                <w:b w:val="0"/>
                <w:sz w:val="21"/>
              </w:rPr>
              <w:t>DoS</w:t>
            </w:r>
          </w:p>
        </w:tc>
        <w:tc>
          <w:tcPr>
            <w:tcW w:type="dxa" w:w="1814"/>
          </w:tcPr>
          <w:p>
            <w:pPr>
              <w:spacing w:line="240" w:lineRule="auto"/>
            </w:pPr>
            <w:r>
              <w:rPr>
                <w:rFonts w:ascii="Times New Roman" w:hAnsi="Times New Roman" w:eastAsia="宋体"/>
                <w:b w:val="0"/>
                <w:sz w:val="21"/>
              </w:rPr>
              <w:t>12,264</w:t>
            </w:r>
          </w:p>
        </w:tc>
        <w:tc>
          <w:tcPr>
            <w:tcW w:type="dxa" w:w="1814"/>
          </w:tcPr>
          <w:p>
            <w:pPr>
              <w:spacing w:line="240" w:lineRule="auto"/>
            </w:pPr>
            <w:r>
              <w:rPr>
                <w:rFonts w:ascii="Times New Roman" w:hAnsi="Times New Roman" w:eastAsia="宋体"/>
                <w:b w:val="0"/>
                <w:sz w:val="21"/>
              </w:rPr>
              <w:t>6.99%</w:t>
            </w:r>
          </w:p>
        </w:tc>
        <w:tc>
          <w:tcPr>
            <w:tcW w:type="dxa" w:w="1814"/>
          </w:tcPr>
          <w:p>
            <w:pPr>
              <w:spacing w:line="240" w:lineRule="auto"/>
            </w:pPr>
            <w:r>
              <w:rPr>
                <w:rFonts w:ascii="Times New Roman" w:hAnsi="Times New Roman" w:eastAsia="宋体"/>
                <w:b w:val="0"/>
                <w:sz w:val="21"/>
              </w:rPr>
              <w:t>4,089</w:t>
            </w:r>
          </w:p>
        </w:tc>
        <w:tc>
          <w:tcPr>
            <w:tcW w:type="dxa" w:w="1814"/>
          </w:tcPr>
          <w:p>
            <w:pPr>
              <w:spacing w:line="240" w:lineRule="auto"/>
            </w:pPr>
            <w:r>
              <w:rPr>
                <w:rFonts w:ascii="Times New Roman" w:hAnsi="Times New Roman" w:eastAsia="宋体"/>
                <w:b w:val="0"/>
                <w:sz w:val="21"/>
              </w:rPr>
              <w:t>4.97%</w:t>
            </w:r>
          </w:p>
        </w:tc>
      </w:tr>
      <w:tr>
        <w:tc>
          <w:tcPr>
            <w:tcW w:type="dxa" w:w="1814"/>
          </w:tcPr>
          <w:p>
            <w:pPr>
              <w:spacing w:line="240" w:lineRule="auto"/>
            </w:pPr>
            <w:r>
              <w:rPr>
                <w:rFonts w:ascii="Times New Roman" w:hAnsi="Times New Roman" w:eastAsia="宋体"/>
                <w:b w:val="0"/>
                <w:sz w:val="21"/>
              </w:rPr>
              <w:t>Reconnaissance</w:t>
            </w:r>
          </w:p>
        </w:tc>
        <w:tc>
          <w:tcPr>
            <w:tcW w:type="dxa" w:w="1814"/>
          </w:tcPr>
          <w:p>
            <w:pPr>
              <w:spacing w:line="240" w:lineRule="auto"/>
            </w:pPr>
            <w:r>
              <w:rPr>
                <w:rFonts w:ascii="Times New Roman" w:hAnsi="Times New Roman" w:eastAsia="宋体"/>
                <w:b w:val="0"/>
                <w:sz w:val="21"/>
              </w:rPr>
              <w:t>10,491</w:t>
            </w:r>
          </w:p>
        </w:tc>
        <w:tc>
          <w:tcPr>
            <w:tcW w:type="dxa" w:w="1814"/>
          </w:tcPr>
          <w:p>
            <w:pPr>
              <w:spacing w:line="240" w:lineRule="auto"/>
            </w:pPr>
            <w:r>
              <w:rPr>
                <w:rFonts w:ascii="Times New Roman" w:hAnsi="Times New Roman" w:eastAsia="宋体"/>
                <w:b w:val="0"/>
                <w:sz w:val="21"/>
              </w:rPr>
              <w:t>5.98%</w:t>
            </w:r>
          </w:p>
        </w:tc>
        <w:tc>
          <w:tcPr>
            <w:tcW w:type="dxa" w:w="1814"/>
          </w:tcPr>
          <w:p>
            <w:pPr>
              <w:spacing w:line="240" w:lineRule="auto"/>
            </w:pPr>
            <w:r>
              <w:rPr>
                <w:rFonts w:ascii="Times New Roman" w:hAnsi="Times New Roman" w:eastAsia="宋体"/>
                <w:b w:val="0"/>
                <w:sz w:val="21"/>
              </w:rPr>
              <w:t>3,496</w:t>
            </w:r>
          </w:p>
        </w:tc>
        <w:tc>
          <w:tcPr>
            <w:tcW w:type="dxa" w:w="1814"/>
          </w:tcPr>
          <w:p>
            <w:pPr>
              <w:spacing w:line="240" w:lineRule="auto"/>
            </w:pPr>
            <w:r>
              <w:rPr>
                <w:rFonts w:ascii="Times New Roman" w:hAnsi="Times New Roman" w:eastAsia="宋体"/>
                <w:b w:val="0"/>
                <w:sz w:val="21"/>
              </w:rPr>
              <w:t>4.25%</w:t>
            </w:r>
          </w:p>
        </w:tc>
      </w:tr>
      <w:tr>
        <w:tc>
          <w:tcPr>
            <w:tcW w:type="dxa" w:w="1814"/>
          </w:tcPr>
          <w:p>
            <w:pPr>
              <w:spacing w:line="240" w:lineRule="auto"/>
            </w:pPr>
            <w:r>
              <w:rPr>
                <w:rFonts w:ascii="Times New Roman" w:hAnsi="Times New Roman" w:eastAsia="宋体"/>
                <w:b w:val="0"/>
                <w:sz w:val="21"/>
              </w:rPr>
              <w:t>Analysis</w:t>
            </w:r>
          </w:p>
        </w:tc>
        <w:tc>
          <w:tcPr>
            <w:tcW w:type="dxa" w:w="1814"/>
          </w:tcPr>
          <w:p>
            <w:pPr>
              <w:spacing w:line="240" w:lineRule="auto"/>
            </w:pPr>
            <w:r>
              <w:rPr>
                <w:rFonts w:ascii="Times New Roman" w:hAnsi="Times New Roman" w:eastAsia="宋体"/>
                <w:b w:val="0"/>
                <w:sz w:val="21"/>
              </w:rPr>
              <w:t>2,000</w:t>
            </w:r>
          </w:p>
        </w:tc>
        <w:tc>
          <w:tcPr>
            <w:tcW w:type="dxa" w:w="1814"/>
          </w:tcPr>
          <w:p>
            <w:pPr>
              <w:spacing w:line="240" w:lineRule="auto"/>
            </w:pPr>
            <w:r>
              <w:rPr>
                <w:rFonts w:ascii="Times New Roman" w:hAnsi="Times New Roman" w:eastAsia="宋体"/>
                <w:b w:val="0"/>
                <w:sz w:val="21"/>
              </w:rPr>
              <w:t>1.14%</w:t>
            </w:r>
          </w:p>
        </w:tc>
        <w:tc>
          <w:tcPr>
            <w:tcW w:type="dxa" w:w="1814"/>
          </w:tcPr>
          <w:p>
            <w:pPr>
              <w:spacing w:line="240" w:lineRule="auto"/>
            </w:pPr>
            <w:r>
              <w:rPr>
                <w:rFonts w:ascii="Times New Roman" w:hAnsi="Times New Roman" w:eastAsia="宋体"/>
                <w:b w:val="0"/>
                <w:sz w:val="21"/>
              </w:rPr>
              <w:t>677</w:t>
            </w:r>
          </w:p>
        </w:tc>
        <w:tc>
          <w:tcPr>
            <w:tcW w:type="dxa" w:w="1814"/>
          </w:tcPr>
          <w:p>
            <w:pPr>
              <w:spacing w:line="240" w:lineRule="auto"/>
            </w:pPr>
            <w:r>
              <w:rPr>
                <w:rFonts w:ascii="Times New Roman" w:hAnsi="Times New Roman" w:eastAsia="宋体"/>
                <w:b w:val="0"/>
                <w:sz w:val="21"/>
              </w:rPr>
              <w:t>0.82%</w:t>
            </w:r>
          </w:p>
        </w:tc>
      </w:tr>
      <w:tr>
        <w:tc>
          <w:tcPr>
            <w:tcW w:type="dxa" w:w="1814"/>
          </w:tcPr>
          <w:p>
            <w:pPr>
              <w:spacing w:line="240" w:lineRule="auto"/>
            </w:pPr>
            <w:r>
              <w:rPr>
                <w:rFonts w:ascii="Times New Roman" w:hAnsi="Times New Roman" w:eastAsia="宋体"/>
                <w:b w:val="0"/>
                <w:sz w:val="21"/>
              </w:rPr>
              <w:t>Backdoor</w:t>
            </w:r>
          </w:p>
        </w:tc>
        <w:tc>
          <w:tcPr>
            <w:tcW w:type="dxa" w:w="1814"/>
          </w:tcPr>
          <w:p>
            <w:pPr>
              <w:spacing w:line="240" w:lineRule="auto"/>
            </w:pPr>
            <w:r>
              <w:rPr>
                <w:rFonts w:ascii="Times New Roman" w:hAnsi="Times New Roman" w:eastAsia="宋体"/>
                <w:b w:val="0"/>
                <w:sz w:val="21"/>
              </w:rPr>
              <w:t>1,746</w:t>
            </w:r>
          </w:p>
        </w:tc>
        <w:tc>
          <w:tcPr>
            <w:tcW w:type="dxa" w:w="1814"/>
          </w:tcPr>
          <w:p>
            <w:pPr>
              <w:spacing w:line="240" w:lineRule="auto"/>
            </w:pPr>
            <w:r>
              <w:rPr>
                <w:rFonts w:ascii="Times New Roman" w:hAnsi="Times New Roman" w:eastAsia="宋体"/>
                <w:b w:val="0"/>
                <w:sz w:val="21"/>
              </w:rPr>
              <w:t>1.00%</w:t>
            </w:r>
          </w:p>
        </w:tc>
        <w:tc>
          <w:tcPr>
            <w:tcW w:type="dxa" w:w="1814"/>
          </w:tcPr>
          <w:p>
            <w:pPr>
              <w:spacing w:line="240" w:lineRule="auto"/>
            </w:pPr>
            <w:r>
              <w:rPr>
                <w:rFonts w:ascii="Times New Roman" w:hAnsi="Times New Roman" w:eastAsia="宋体"/>
                <w:b w:val="0"/>
                <w:sz w:val="21"/>
              </w:rPr>
              <w:t>583</w:t>
            </w:r>
          </w:p>
        </w:tc>
        <w:tc>
          <w:tcPr>
            <w:tcW w:type="dxa" w:w="1814"/>
          </w:tcPr>
          <w:p>
            <w:pPr>
              <w:spacing w:line="240" w:lineRule="auto"/>
            </w:pPr>
            <w:r>
              <w:rPr>
                <w:rFonts w:ascii="Times New Roman" w:hAnsi="Times New Roman" w:eastAsia="宋体"/>
                <w:b w:val="0"/>
                <w:sz w:val="21"/>
              </w:rPr>
              <w:t>0.71%</w:t>
            </w:r>
          </w:p>
        </w:tc>
      </w:tr>
      <w:tr>
        <w:tc>
          <w:tcPr>
            <w:tcW w:type="dxa" w:w="1814"/>
          </w:tcPr>
          <w:p>
            <w:pPr>
              <w:spacing w:line="240" w:lineRule="auto"/>
            </w:pPr>
            <w:r>
              <w:rPr>
                <w:rFonts w:ascii="Times New Roman" w:hAnsi="Times New Roman" w:eastAsia="宋体"/>
                <w:b w:val="0"/>
                <w:sz w:val="21"/>
              </w:rPr>
              <w:t>Shellcode</w:t>
            </w:r>
          </w:p>
        </w:tc>
        <w:tc>
          <w:tcPr>
            <w:tcW w:type="dxa" w:w="1814"/>
          </w:tcPr>
          <w:p>
            <w:pPr>
              <w:spacing w:line="240" w:lineRule="auto"/>
            </w:pPr>
            <w:r>
              <w:rPr>
                <w:rFonts w:ascii="Times New Roman" w:hAnsi="Times New Roman" w:eastAsia="宋体"/>
                <w:b w:val="0"/>
                <w:sz w:val="21"/>
              </w:rPr>
              <w:t>1,133</w:t>
            </w:r>
          </w:p>
        </w:tc>
        <w:tc>
          <w:tcPr>
            <w:tcW w:type="dxa" w:w="1814"/>
          </w:tcPr>
          <w:p>
            <w:pPr>
              <w:spacing w:line="240" w:lineRule="auto"/>
            </w:pPr>
            <w:r>
              <w:rPr>
                <w:rFonts w:ascii="Times New Roman" w:hAnsi="Times New Roman" w:eastAsia="宋体"/>
                <w:b w:val="0"/>
                <w:sz w:val="21"/>
              </w:rPr>
              <w:t>0.65%</w:t>
            </w:r>
          </w:p>
        </w:tc>
        <w:tc>
          <w:tcPr>
            <w:tcW w:type="dxa" w:w="1814"/>
          </w:tcPr>
          <w:p>
            <w:pPr>
              <w:spacing w:line="240" w:lineRule="auto"/>
            </w:pPr>
            <w:r>
              <w:rPr>
                <w:rFonts w:ascii="Times New Roman" w:hAnsi="Times New Roman" w:eastAsia="宋体"/>
                <w:b w:val="0"/>
                <w:sz w:val="21"/>
              </w:rPr>
              <w:t>378</w:t>
            </w:r>
          </w:p>
        </w:tc>
        <w:tc>
          <w:tcPr>
            <w:tcW w:type="dxa" w:w="1814"/>
          </w:tcPr>
          <w:p>
            <w:pPr>
              <w:spacing w:line="240" w:lineRule="auto"/>
            </w:pPr>
            <w:r>
              <w:rPr>
                <w:rFonts w:ascii="Times New Roman" w:hAnsi="Times New Roman" w:eastAsia="宋体"/>
                <w:b w:val="0"/>
                <w:sz w:val="21"/>
              </w:rPr>
              <w:t>0.46%</w:t>
            </w:r>
          </w:p>
        </w:tc>
      </w:tr>
      <w:tr>
        <w:tc>
          <w:tcPr>
            <w:tcW w:type="dxa" w:w="1814"/>
          </w:tcPr>
          <w:p>
            <w:pPr>
              <w:spacing w:line="240" w:lineRule="auto"/>
            </w:pPr>
            <w:r>
              <w:rPr>
                <w:rFonts w:ascii="Times New Roman" w:hAnsi="Times New Roman" w:eastAsia="宋体"/>
                <w:b w:val="0"/>
                <w:sz w:val="21"/>
              </w:rPr>
              <w:t>Worms</w:t>
            </w:r>
          </w:p>
        </w:tc>
        <w:tc>
          <w:tcPr>
            <w:tcW w:type="dxa" w:w="1814"/>
          </w:tcPr>
          <w:p>
            <w:pPr>
              <w:spacing w:line="240" w:lineRule="auto"/>
            </w:pPr>
            <w:r>
              <w:rPr>
                <w:rFonts w:ascii="Times New Roman" w:hAnsi="Times New Roman" w:eastAsia="宋体"/>
                <w:b w:val="0"/>
                <w:sz w:val="21"/>
              </w:rPr>
              <w:t>130</w:t>
            </w:r>
          </w:p>
        </w:tc>
        <w:tc>
          <w:tcPr>
            <w:tcW w:type="dxa" w:w="1814"/>
          </w:tcPr>
          <w:p>
            <w:pPr>
              <w:spacing w:line="240" w:lineRule="auto"/>
            </w:pPr>
            <w:r>
              <w:rPr>
                <w:rFonts w:ascii="Times New Roman" w:hAnsi="Times New Roman" w:eastAsia="宋体"/>
                <w:b w:val="0"/>
                <w:sz w:val="21"/>
              </w:rPr>
              <w:t>0.07%</w:t>
            </w:r>
          </w:p>
        </w:tc>
        <w:tc>
          <w:tcPr>
            <w:tcW w:type="dxa" w:w="1814"/>
          </w:tcPr>
          <w:p>
            <w:pPr>
              <w:spacing w:line="240" w:lineRule="auto"/>
            </w:pPr>
            <w:r>
              <w:rPr>
                <w:rFonts w:ascii="Times New Roman" w:hAnsi="Times New Roman" w:eastAsia="宋体"/>
                <w:b w:val="0"/>
                <w:sz w:val="21"/>
              </w:rPr>
              <w:t>44</w:t>
            </w:r>
          </w:p>
        </w:tc>
        <w:tc>
          <w:tcPr>
            <w:tcW w:type="dxa" w:w="1814"/>
          </w:tcPr>
          <w:p>
            <w:pPr>
              <w:spacing w:line="240" w:lineRule="auto"/>
            </w:pPr>
            <w:r>
              <w:rPr>
                <w:rFonts w:ascii="Times New Roman" w:hAnsi="Times New Roman" w:eastAsia="宋体"/>
                <w:b w:val="0"/>
                <w:sz w:val="21"/>
              </w:rPr>
              <w:t>0.05%</w:t>
            </w:r>
          </w:p>
        </w:tc>
      </w:tr>
    </w:tbl>
    <w:p>
      <w:pPr>
        <w:spacing w:line="360" w:lineRule="auto" w:before="0" w:after="0"/>
      </w:pPr>
    </w:p>
    <w:p>
      <w:pPr>
        <w:spacing w:line="360" w:lineRule="auto" w:before="0" w:after="0"/>
        <w:ind w:firstLine="480"/>
      </w:pPr>
      <w:r>
        <w:rPr>
          <w:rFonts w:ascii="Times New Roman" w:hAnsi="Times New Roman" w:eastAsia="宋体"/>
          <w:b w:val="0"/>
          <w:sz w:val="24"/>
        </w:rPr>
        <w:t xml:space="preserve">训练集中最多类（Normal，56,000）与最少类（Worms，130）之比约为 </w:t>
      </w:r>
      <w:r>
        <w:rPr>
          <w:rFonts w:ascii="Times New Roman" w:hAnsi="Times New Roman" w:eastAsia="宋体"/>
          <w:b/>
          <w:sz w:val="24"/>
        </w:rPr>
        <w:t>431 : 1</w:t>
      </w:r>
      <w:r>
        <w:rPr>
          <w:rFonts w:ascii="Times New Roman" w:hAnsi="Times New Roman" w:eastAsia="宋体"/>
          <w:b w:val="0"/>
          <w:sz w:val="24"/>
        </w:rPr>
        <w:t>，且存在四个占比不足 1.2% 的极端少数类（Analysis、Backdoor、Shellcode、Worms）。这一分布结构意味着：（1）以总体 Accuracy 为导向的训练与评估会被多数类主导——Accuracy 仅作辅助指标；（2）Macro 类指标（Macro-F1、Balanced Accuracy、每类 Recall）是衡量少数类漏检的必要口径，本文将其定为主指标（定义见第 3.6 节）。</w:t>
      </w:r>
    </w:p>
    <w:p>
      <w:pPr>
        <w:spacing w:line="360" w:lineRule="auto" w:before="200" w:after="80"/>
      </w:pPr>
      <w:r>
        <w:rPr>
          <w:rFonts w:ascii="Times New Roman" w:hAnsi="Times New Roman" w:eastAsia="楷体_GB2312"/>
          <w:b w:val="0"/>
          <w:sz w:val="24"/>
        </w:rPr>
        <w:t>3.4 数据质量核查</w:t>
      </w:r>
    </w:p>
    <w:p>
      <w:pPr>
        <w:spacing w:line="360" w:lineRule="auto" w:before="0" w:after="0"/>
        <w:ind w:firstLine="480"/>
      </w:pPr>
      <w:r>
        <w:rPr>
          <w:rFonts w:ascii="Times New Roman" w:hAnsi="Times New Roman" w:eastAsia="宋体"/>
          <w:b w:val="0"/>
          <w:sz w:val="24"/>
        </w:rPr>
        <w:t>EDA 阶段，报告见 探索性分析报告）对数据集已知问题逐一核验并形成预处理决策：</w:t>
      </w:r>
    </w:p>
    <w:p>
      <w:pPr>
        <w:spacing w:line="360" w:lineRule="auto" w:before="0" w:after="0"/>
        <w:ind w:firstLine="480"/>
      </w:pPr>
      <w:r>
        <w:rPr>
          <w:rFonts w:ascii="Times New Roman" w:hAnsi="Times New Roman" w:eastAsia="宋体"/>
          <w:b w:val="0"/>
          <w:sz w:val="24"/>
        </w:rPr>
        <w:t xml:space="preserve">1. </w:t>
      </w:r>
      <w:r>
        <w:rPr>
          <w:rFonts w:ascii="Times New Roman" w:hAnsi="Times New Roman" w:eastAsia="宋体"/>
          <w:b/>
          <w:sz w:val="24"/>
        </w:rPr>
        <w:t>attack_cat 首尾空格</w:t>
      </w:r>
      <w:r>
        <w:rPr>
          <w:rFonts w:ascii="Times New Roman" w:hAnsi="Times New Roman" w:eastAsia="宋体"/>
          <w:b w:val="0"/>
          <w:sz w:val="24"/>
        </w:rPr>
        <w:t xml:space="preserve">：部分行的类别值带前导空格（如「 Fuzzers」），若不处理会把同一类别拆成两列统计。决策：读取后统一 str.strip()。2. </w:t>
      </w:r>
      <w:r>
        <w:rPr>
          <w:rFonts w:ascii="Times New Roman" w:hAnsi="Times New Roman" w:eastAsia="宋体"/>
          <w:b/>
          <w:sz w:val="24"/>
        </w:rPr>
        <w:t>service 列短横线</w:t>
      </w:r>
      <w:r>
        <w:rPr>
          <w:rFonts w:ascii="Times New Roman" w:hAnsi="Times New Roman" w:eastAsia="宋体"/>
          <w:b w:val="0"/>
          <w:sz w:val="24"/>
        </w:rPr>
        <w:t xml:space="preserve">：「-」是"无服务"占位符而非缺失值。决策：作为合法类别参与 one-hot编码。3. </w:t>
      </w:r>
      <w:r>
        <w:rPr>
          <w:rFonts w:ascii="Times New Roman" w:hAnsi="Times New Roman" w:eastAsia="宋体"/>
          <w:b/>
          <w:sz w:val="24"/>
        </w:rPr>
        <w:t>ct_ftp_cmd 列类型漂移</w:t>
      </w:r>
      <w:r>
        <w:rPr>
          <w:rFonts w:ascii="Times New Roman" w:hAnsi="Times New Roman" w:eastAsia="宋体"/>
          <w:b w:val="0"/>
          <w:sz w:val="24"/>
        </w:rPr>
        <w:t xml:space="preserve">：该列可能被解析为字符串。决策：预处理时统一转数值。4. </w:t>
      </w:r>
      <w:r>
        <w:rPr>
          <w:rFonts w:ascii="Times New Roman" w:hAnsi="Times New Roman" w:eastAsia="宋体"/>
          <w:b/>
          <w:sz w:val="24"/>
        </w:rPr>
        <w:t>同特征向量重复</w:t>
      </w:r>
      <w:r>
        <w:rPr>
          <w:rFonts w:ascii="Times New Roman" w:hAnsi="Times New Roman" w:eastAsia="宋体"/>
          <w:b w:val="0"/>
          <w:sz w:val="24"/>
        </w:rPr>
        <w:t xml:space="preserve">：训练集 84,049 行（48%）存在同特征向量重复，其中 </w:t>
      </w:r>
      <w:r>
        <w:rPr>
          <w:rFonts w:ascii="Times New Roman" w:hAnsi="Times New Roman" w:eastAsia="宋体"/>
          <w:b/>
          <w:sz w:val="24"/>
        </w:rPr>
        <w:t>229 组</w:t>
      </w:r>
      <w:r>
        <w:rPr>
          <w:rFonts w:ascii="Times New Roman" w:hAnsi="Times New Roman" w:eastAsia="宋体"/>
          <w:b w:val="0"/>
          <w:sz w:val="24"/>
        </w:rPr>
        <w:t xml:space="preserve">重复特征对应不同的二分类 label。5. </w:t>
      </w:r>
      <w:r>
        <w:rPr>
          <w:rFonts w:ascii="Times New Roman" w:hAnsi="Times New Roman" w:eastAsia="宋体"/>
          <w:b/>
          <w:sz w:val="24"/>
        </w:rPr>
        <w:t>缺失值</w:t>
      </w:r>
      <w:r>
        <w:rPr>
          <w:rFonts w:ascii="Times New Roman" w:hAnsi="Times New Roman" w:eastAsia="宋体"/>
          <w:b w:val="0"/>
          <w:sz w:val="24"/>
        </w:rPr>
        <w:t>：各特征列无缺失需填充（EDA 第 2 节）。</w:t>
      </w:r>
    </w:p>
    <w:p>
      <w:pPr>
        <w:spacing w:line="360" w:lineRule="auto" w:before="200" w:after="80"/>
      </w:pPr>
      <w:r>
        <w:rPr>
          <w:rFonts w:ascii="Times New Roman" w:hAnsi="Times New Roman" w:eastAsia="楷体_GB2312"/>
          <w:b w:val="0"/>
          <w:sz w:val="24"/>
        </w:rPr>
        <w:t>3.5 划分重叠审计</w:t>
      </w:r>
    </w:p>
    <w:p>
      <w:pPr>
        <w:spacing w:line="360" w:lineRule="auto" w:before="0" w:after="0"/>
        <w:ind w:firstLine="480"/>
      </w:pPr>
      <w:r>
        <w:rPr>
          <w:rFonts w:ascii="Times New Roman" w:hAnsi="Times New Roman" w:eastAsia="宋体"/>
          <w:b w:val="0"/>
          <w:sz w:val="24"/>
        </w:rPr>
        <w:t>由于官方划分保留了数据集固有重复，不同划分之间会共享相同特征向量。本文以 42 个原始特征列的 64 位行哈希（碰撞概率 &lt; 1e-9）对三个划分做了两两重叠审计（src/04_split_overlap_audit.py，报告见 划分重叠审计报告）。</w:t>
      </w:r>
    </w:p>
    <w:p>
      <w:pPr>
        <w:spacing w:line="360" w:lineRule="auto" w:before="0" w:after="0"/>
        <w:jc w:val="center"/>
      </w:pPr>
      <w:r>
        <w:rPr>
          <w:rFonts w:ascii="Times New Roman" w:hAnsi="Times New Roman" w:eastAsia="宋体"/>
          <w:b/>
          <w:sz w:val="24"/>
        </w:rPr>
        <w:t>表 3-2 划分间特征向量重叠审计（seed 42 固定划分口径）</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spacing w:line="240" w:lineRule="auto"/>
            </w:pPr>
            <w:r>
              <w:rPr>
                <w:rFonts w:ascii="Times New Roman" w:hAnsi="Times New Roman" w:eastAsia="宋体"/>
                <w:b/>
                <w:sz w:val="21"/>
              </w:rPr>
              <w:t>划分对</w:t>
            </w:r>
          </w:p>
        </w:tc>
        <w:tc>
          <w:tcPr>
            <w:tcW w:type="dxa" w:w="1814"/>
          </w:tcPr>
          <w:p>
            <w:pPr>
              <w:spacing w:line="240" w:lineRule="auto"/>
            </w:pPr>
            <w:r>
              <w:rPr>
                <w:rFonts w:ascii="Times New Roman" w:hAnsi="Times New Roman" w:eastAsia="宋体"/>
                <w:b/>
                <w:sz w:val="21"/>
              </w:rPr>
              <w:t>共享特征向量数</w:t>
            </w:r>
          </w:p>
        </w:tc>
        <w:tc>
          <w:tcPr>
            <w:tcW w:type="dxa" w:w="1814"/>
          </w:tcPr>
          <w:p>
            <w:pPr>
              <w:spacing w:line="240" w:lineRule="auto"/>
            </w:pPr>
            <w:r>
              <w:rPr>
                <w:rFonts w:ascii="Times New Roman" w:hAnsi="Times New Roman" w:eastAsia="宋体"/>
                <w:b/>
                <w:sz w:val="21"/>
              </w:rPr>
              <w:t>受影响行数（后一划分）</w:t>
            </w:r>
          </w:p>
        </w:tc>
        <w:tc>
          <w:tcPr>
            <w:tcW w:type="dxa" w:w="1814"/>
          </w:tcPr>
          <w:p>
            <w:pPr>
              <w:spacing w:line="240" w:lineRule="auto"/>
            </w:pPr>
            <w:r>
              <w:rPr>
                <w:rFonts w:ascii="Times New Roman" w:hAnsi="Times New Roman" w:eastAsia="宋体"/>
                <w:b/>
                <w:sz w:val="21"/>
              </w:rPr>
              <w:t>占比</w:t>
            </w:r>
          </w:p>
        </w:tc>
        <w:tc>
          <w:tcPr>
            <w:tcW w:type="dxa" w:w="1814"/>
          </w:tcPr>
          <w:p>
            <w:pPr>
              <w:spacing w:line="240" w:lineRule="auto"/>
            </w:pPr>
            <w:r>
              <w:rPr>
                <w:rFonts w:ascii="Times New Roman" w:hAnsi="Times New Roman" w:eastAsia="宋体"/>
                <w:b/>
                <w:sz w:val="21"/>
              </w:rPr>
              <w:t>标签冲突组</w:t>
            </w:r>
          </w:p>
        </w:tc>
      </w:tr>
      <w:tr>
        <w:tc>
          <w:tcPr>
            <w:tcW w:type="dxa" w:w="1814"/>
          </w:tcPr>
          <w:p>
            <w:pPr>
              <w:spacing w:line="240" w:lineRule="auto"/>
            </w:pPr>
            <w:r>
              <w:rPr>
                <w:rFonts w:ascii="Times New Roman" w:hAnsi="Times New Roman" w:eastAsia="宋体"/>
                <w:b w:val="0"/>
                <w:sz w:val="21"/>
              </w:rPr>
              <w:t>训练 ∩ 验证</w:t>
            </w:r>
          </w:p>
        </w:tc>
        <w:tc>
          <w:tcPr>
            <w:tcW w:type="dxa" w:w="1814"/>
          </w:tcPr>
          <w:p>
            <w:pPr>
              <w:spacing w:line="240" w:lineRule="auto"/>
            </w:pPr>
            <w:r>
              <w:rPr>
                <w:rFonts w:ascii="Times New Roman" w:hAnsi="Times New Roman" w:eastAsia="宋体"/>
                <w:b w:val="0"/>
                <w:sz w:val="21"/>
              </w:rPr>
              <w:t>5,721</w:t>
            </w:r>
          </w:p>
        </w:tc>
        <w:tc>
          <w:tcPr>
            <w:tcW w:type="dxa" w:w="1814"/>
          </w:tcPr>
          <w:p>
            <w:pPr>
              <w:spacing w:line="240" w:lineRule="auto"/>
            </w:pPr>
            <w:r>
              <w:rPr>
                <w:rFonts w:ascii="Times New Roman" w:hAnsi="Times New Roman" w:eastAsia="宋体"/>
                <w:b w:val="0"/>
                <w:sz w:val="21"/>
              </w:rPr>
              <w:t>16,465</w:t>
            </w:r>
          </w:p>
        </w:tc>
        <w:tc>
          <w:tcPr>
            <w:tcW w:type="dxa" w:w="1814"/>
          </w:tcPr>
          <w:p>
            <w:pPr>
              <w:spacing w:line="240" w:lineRule="auto"/>
            </w:pPr>
            <w:r>
              <w:rPr>
                <w:rFonts w:ascii="Times New Roman" w:hAnsi="Times New Roman" w:eastAsia="宋体"/>
                <w:b w:val="0"/>
                <w:sz w:val="21"/>
              </w:rPr>
              <w:t>47.0%</w:t>
            </w:r>
          </w:p>
        </w:tc>
        <w:tc>
          <w:tcPr>
            <w:tcW w:type="dxa" w:w="1814"/>
          </w:tcPr>
          <w:p>
            <w:pPr>
              <w:spacing w:line="240" w:lineRule="auto"/>
            </w:pPr>
            <w:r>
              <w:rPr>
                <w:rFonts w:ascii="Times New Roman" w:hAnsi="Times New Roman" w:eastAsia="宋体"/>
                <w:b w:val="0"/>
                <w:sz w:val="21"/>
              </w:rPr>
              <w:t>126</w:t>
            </w:r>
          </w:p>
        </w:tc>
      </w:tr>
      <w:tr>
        <w:tc>
          <w:tcPr>
            <w:tcW w:type="dxa" w:w="1814"/>
          </w:tcPr>
          <w:p>
            <w:pPr>
              <w:spacing w:line="240" w:lineRule="auto"/>
            </w:pPr>
            <w:r>
              <w:rPr>
                <w:rFonts w:ascii="Times New Roman" w:hAnsi="Times New Roman" w:eastAsia="宋体"/>
                <w:b w:val="0"/>
                <w:sz w:val="21"/>
              </w:rPr>
              <w:t>训练 ∩ 测试</w:t>
            </w:r>
          </w:p>
        </w:tc>
        <w:tc>
          <w:tcPr>
            <w:tcW w:type="dxa" w:w="1814"/>
          </w:tcPr>
          <w:p>
            <w:pPr>
              <w:spacing w:line="240" w:lineRule="auto"/>
            </w:pPr>
            <w:r>
              <w:rPr>
                <w:rFonts w:ascii="Times New Roman" w:hAnsi="Times New Roman" w:eastAsia="宋体"/>
                <w:b w:val="0"/>
                <w:sz w:val="21"/>
              </w:rPr>
              <w:t>1,207</w:t>
            </w:r>
          </w:p>
        </w:tc>
        <w:tc>
          <w:tcPr>
            <w:tcW w:type="dxa" w:w="1814"/>
          </w:tcPr>
          <w:p>
            <w:pPr>
              <w:spacing w:line="240" w:lineRule="auto"/>
            </w:pPr>
            <w:r>
              <w:rPr>
                <w:rFonts w:ascii="Times New Roman" w:hAnsi="Times New Roman" w:eastAsia="宋体"/>
                <w:b w:val="0"/>
                <w:sz w:val="21"/>
              </w:rPr>
              <w:t>8,154</w:t>
            </w:r>
          </w:p>
        </w:tc>
        <w:tc>
          <w:tcPr>
            <w:tcW w:type="dxa" w:w="1814"/>
          </w:tcPr>
          <w:p>
            <w:pPr>
              <w:spacing w:line="240" w:lineRule="auto"/>
            </w:pPr>
            <w:r>
              <w:rPr>
                <w:rFonts w:ascii="Times New Roman" w:hAnsi="Times New Roman" w:eastAsia="宋体"/>
                <w:b w:val="0"/>
                <w:sz w:val="21"/>
              </w:rPr>
              <w:t>9.9%</w:t>
            </w:r>
          </w:p>
        </w:tc>
        <w:tc>
          <w:tcPr>
            <w:tcW w:type="dxa" w:w="1814"/>
          </w:tcPr>
          <w:p>
            <w:pPr>
              <w:spacing w:line="240" w:lineRule="auto"/>
            </w:pPr>
            <w:r>
              <w:rPr>
                <w:rFonts w:ascii="Times New Roman" w:hAnsi="Times New Roman" w:eastAsia="宋体"/>
                <w:b w:val="0"/>
                <w:sz w:val="21"/>
              </w:rPr>
              <w:t>244</w:t>
            </w:r>
          </w:p>
        </w:tc>
      </w:tr>
      <w:tr>
        <w:tc>
          <w:tcPr>
            <w:tcW w:type="dxa" w:w="1814"/>
          </w:tcPr>
          <w:p>
            <w:pPr>
              <w:spacing w:line="240" w:lineRule="auto"/>
            </w:pPr>
            <w:r>
              <w:rPr>
                <w:rFonts w:ascii="Times New Roman" w:hAnsi="Times New Roman" w:eastAsia="宋体"/>
                <w:b w:val="0"/>
                <w:sz w:val="21"/>
              </w:rPr>
              <w:t>验证 ∩ 测试</w:t>
            </w:r>
          </w:p>
        </w:tc>
        <w:tc>
          <w:tcPr>
            <w:tcW w:type="dxa" w:w="1814"/>
          </w:tcPr>
          <w:p>
            <w:pPr>
              <w:spacing w:line="240" w:lineRule="auto"/>
            </w:pPr>
            <w:r>
              <w:rPr>
                <w:rFonts w:ascii="Times New Roman" w:hAnsi="Times New Roman" w:eastAsia="宋体"/>
                <w:b w:val="0"/>
                <w:sz w:val="21"/>
              </w:rPr>
              <w:t>643</w:t>
            </w:r>
          </w:p>
        </w:tc>
        <w:tc>
          <w:tcPr>
            <w:tcW w:type="dxa" w:w="1814"/>
          </w:tcPr>
          <w:p>
            <w:pPr>
              <w:spacing w:line="240" w:lineRule="auto"/>
            </w:pPr>
            <w:r>
              <w:rPr>
                <w:rFonts w:ascii="Times New Roman" w:hAnsi="Times New Roman" w:eastAsia="宋体"/>
                <w:b w:val="0"/>
                <w:sz w:val="21"/>
              </w:rPr>
              <w:t>4,675</w:t>
            </w:r>
          </w:p>
        </w:tc>
        <w:tc>
          <w:tcPr>
            <w:tcW w:type="dxa" w:w="1814"/>
          </w:tcPr>
          <w:p>
            <w:pPr>
              <w:spacing w:line="240" w:lineRule="auto"/>
            </w:pPr>
            <w:r>
              <w:rPr>
                <w:rFonts w:ascii="Times New Roman" w:hAnsi="Times New Roman" w:eastAsia="宋体"/>
                <w:b w:val="0"/>
                <w:sz w:val="21"/>
              </w:rPr>
              <w:t>5.7%</w:t>
            </w:r>
          </w:p>
        </w:tc>
        <w:tc>
          <w:tcPr>
            <w:tcW w:type="dxa" w:w="1814"/>
          </w:tcPr>
          <w:p>
            <w:pPr>
              <w:spacing w:line="240" w:lineRule="auto"/>
            </w:pPr>
            <w:r>
              <w:rPr>
                <w:rFonts w:ascii="Times New Roman" w:hAnsi="Times New Roman" w:eastAsia="宋体"/>
                <w:b w:val="0"/>
                <w:sz w:val="21"/>
              </w:rPr>
              <w:t>103</w:t>
            </w:r>
          </w:p>
        </w:tc>
      </w:tr>
    </w:tbl>
    <w:p>
      <w:pPr>
        <w:spacing w:line="360" w:lineRule="auto" w:before="0" w:after="0"/>
      </w:pPr>
    </w:p>
    <w:p>
      <w:pPr>
        <w:spacing w:line="360" w:lineRule="auto" w:before="0" w:after="0"/>
        <w:ind w:firstLine="480"/>
      </w:pPr>
      <w:r>
        <w:rPr>
          <w:rFonts w:ascii="Times New Roman" w:hAnsi="Times New Roman" w:eastAsia="宋体"/>
          <w:b w:val="0"/>
          <w:sz w:val="24"/>
        </w:rPr>
        <w:t>重叠的来源是官方划分对数据集固有重复的保留，属数据集特性而非本文流程错误。其影响方向是：与训练划分共享特征向量的测试行对模型而言"部分见过"，绝对指标（Accuracy 等）可能因此整体偏高；但该效应对所有方法对称，不改变方法间的相对比较结论。本文决策：</w:t>
      </w:r>
      <w:r>
        <w:rPr>
          <w:rFonts w:ascii="Times New Roman" w:hAnsi="Times New Roman" w:eastAsia="宋体"/>
          <w:b/>
          <w:sz w:val="24"/>
        </w:rPr>
        <w:t>保留官方划分、不做去重</w:t>
      </w:r>
      <w:r>
        <w:rPr>
          <w:rFonts w:ascii="Times New Roman" w:hAnsi="Times New Roman" w:eastAsia="宋体"/>
          <w:b w:val="0"/>
          <w:sz w:val="24"/>
        </w:rPr>
        <w:t>，以保证与已有文献可比；去重可移除标签冲突类错误，此反事实未实验，在局限性中声明（见 7.3 节）。</w:t>
      </w:r>
    </w:p>
    <w:p>
      <w:pPr>
        <w:spacing w:line="360" w:lineRule="auto" w:before="200" w:after="80"/>
      </w:pPr>
      <w:r>
        <w:rPr>
          <w:rFonts w:ascii="Times New Roman" w:hAnsi="Times New Roman" w:eastAsia="楷体_GB2312"/>
          <w:b w:val="0"/>
          <w:sz w:val="24"/>
        </w:rPr>
        <w:t>3.6 问题定义与评价指标</w:t>
      </w:r>
    </w:p>
    <w:p>
      <w:pPr>
        <w:spacing w:line="360" w:lineRule="auto" w:before="0" w:after="0"/>
        <w:ind w:firstLine="480"/>
      </w:pPr>
      <w:r>
        <w:rPr>
          <w:rFonts w:ascii="Times New Roman" w:hAnsi="Times New Roman" w:eastAsia="宋体"/>
          <w:b/>
          <w:sz w:val="24"/>
        </w:rPr>
        <w:t>问题定义</w:t>
      </w:r>
      <w:r>
        <w:rPr>
          <w:rFonts w:ascii="Times New Roman" w:hAnsi="Times New Roman" w:eastAsia="宋体"/>
          <w:b w:val="0"/>
          <w:sz w:val="24"/>
        </w:rPr>
        <w:t>：给定网络流量的 42 维特征（数值特征标准化、类别特征 one-hot 编码后的194 维向量），预测其属于 10 个类别（9 类攻击 + Normal）中的哪一类。该任务的不平衡研究问题是：在 431:1 的类别比例下，不同不平衡处理方法如何影响各类别（尤其极端少数类）的检出能力，以及相应的计算代价。</w:t>
      </w:r>
    </w:p>
    <w:p>
      <w:pPr>
        <w:spacing w:line="360" w:lineRule="auto" w:before="0" w:after="0"/>
        <w:ind w:firstLine="480"/>
      </w:pPr>
      <w:r>
        <w:rPr>
          <w:rFonts w:ascii="Times New Roman" w:hAnsi="Times New Roman" w:eastAsia="宋体"/>
          <w:b/>
          <w:sz w:val="24"/>
        </w:rPr>
        <w:t>评价指标</w:t>
      </w:r>
      <w:r>
        <w:rPr>
          <w:rFonts w:ascii="Times New Roman" w:hAnsi="Times New Roman" w:eastAsia="宋体"/>
          <w:b w:val="0"/>
          <w:sz w:val="24"/>
        </w:rPr>
        <w:t>（定义与选择理由）：</w:t>
      </w:r>
    </w:p>
    <w:p>
      <w:pPr>
        <w:spacing w:line="360" w:lineRule="auto" w:before="0" w:after="0"/>
        <w:ind w:left="420"/>
      </w:pPr>
      <w:r>
        <w:rPr>
          <w:rFonts w:ascii="Times New Roman" w:hAnsi="Times New Roman" w:eastAsia="宋体"/>
          <w:b/>
          <w:sz w:val="24"/>
        </w:rPr>
        <w:t>Macro-F1</w:t>
      </w:r>
      <w:r>
        <w:rPr>
          <w:rFonts w:ascii="Times New Roman" w:hAnsi="Times New Roman" w:eastAsia="宋体"/>
          <w:b w:val="0"/>
          <w:sz w:val="24"/>
        </w:rPr>
        <w:t>：10 个类别 F1 的算术平均，对每个类别等权——少数类的 F1 恶化会直接拉低</w:t>
      </w:r>
    </w:p>
    <w:p>
      <w:pPr>
        <w:spacing w:line="360" w:lineRule="auto" w:before="0" w:after="0"/>
        <w:ind w:firstLine="480"/>
      </w:pPr>
      <w:r>
        <w:rPr>
          <w:rFonts w:ascii="Times New Roman" w:hAnsi="Times New Roman" w:eastAsia="宋体"/>
          <w:b w:val="0"/>
          <w:sz w:val="24"/>
        </w:rPr>
        <w:t>宏平均，是本文的第一主指标。</w:t>
      </w:r>
    </w:p>
    <w:p>
      <w:pPr>
        <w:spacing w:line="360" w:lineRule="auto" w:before="0" w:after="0"/>
        <w:ind w:left="420"/>
      </w:pPr>
      <w:r>
        <w:rPr>
          <w:rFonts w:ascii="Times New Roman" w:hAnsi="Times New Roman" w:eastAsia="宋体"/>
          <w:b/>
          <w:sz w:val="24"/>
        </w:rPr>
        <w:t>Balanced Accuracy</w:t>
      </w:r>
      <w:r>
        <w:rPr>
          <w:rFonts w:ascii="Times New Roman" w:hAnsi="Times New Roman" w:eastAsia="宋体"/>
          <w:b w:val="0"/>
          <w:sz w:val="24"/>
        </w:rPr>
        <w:t>：10 个类别 Recall 的算术平均（即宏平均召回），与 Macro-F1 互补，</w:t>
      </w:r>
    </w:p>
    <w:p>
      <w:pPr>
        <w:spacing w:line="360" w:lineRule="auto" w:before="0" w:after="0"/>
        <w:ind w:firstLine="480"/>
      </w:pPr>
      <w:r>
        <w:rPr>
          <w:rFonts w:ascii="Times New Roman" w:hAnsi="Times New Roman" w:eastAsia="宋体"/>
          <w:b w:val="0"/>
          <w:sz w:val="24"/>
        </w:rPr>
        <w:t>为第二主指标。</w:t>
      </w:r>
    </w:p>
    <w:p>
      <w:pPr>
        <w:spacing w:line="360" w:lineRule="auto" w:before="0" w:after="0"/>
        <w:ind w:left="420"/>
      </w:pPr>
      <w:r>
        <w:rPr>
          <w:rFonts w:ascii="Times New Roman" w:hAnsi="Times New Roman" w:eastAsia="宋体"/>
          <w:b/>
          <w:sz w:val="24"/>
        </w:rPr>
        <w:t>每类 Recall</w:t>
      </w:r>
      <w:r>
        <w:rPr>
          <w:rFonts w:ascii="Times New Roman" w:hAnsi="Times New Roman" w:eastAsia="宋体"/>
          <w:b w:val="0"/>
          <w:sz w:val="24"/>
        </w:rPr>
        <w:t>：逐类别检出率，用于回答 RQ1"哪些类被漏检"，是少数类分析的基本单位。</w:t>
      </w:r>
    </w:p>
    <w:p>
      <w:pPr>
        <w:spacing w:line="360" w:lineRule="auto" w:before="0" w:after="0"/>
        <w:ind w:left="420"/>
      </w:pPr>
      <w:r>
        <w:rPr>
          <w:rFonts w:ascii="Times New Roman" w:hAnsi="Times New Roman" w:eastAsia="宋体"/>
          <w:b/>
          <w:sz w:val="24"/>
        </w:rPr>
        <w:t>Accuracy</w:t>
      </w:r>
      <w:r>
        <w:rPr>
          <w:rFonts w:ascii="Times New Roman" w:hAnsi="Times New Roman" w:eastAsia="宋体"/>
          <w:b w:val="0"/>
          <w:sz w:val="24"/>
        </w:rPr>
        <w:t>：仅作辅助参考；在 44.94% 为单一多数类的测试分布下，Accuracy 接近多数类</w:t>
      </w:r>
    </w:p>
    <w:p>
      <w:pPr>
        <w:spacing w:line="360" w:lineRule="auto" w:before="0" w:after="0"/>
        <w:ind w:firstLine="480"/>
      </w:pPr>
      <w:r>
        <w:rPr>
          <w:rFonts w:ascii="Times New Roman" w:hAnsi="Times New Roman" w:eastAsia="宋体"/>
          <w:b w:val="0"/>
          <w:sz w:val="24"/>
        </w:rPr>
        <w:t>占比即可达标，不具备区分度，任何结论不得单独依赖它。</w:t>
      </w:r>
    </w:p>
    <w:p>
      <w:pPr>
        <w:spacing w:line="360" w:lineRule="auto" w:before="0" w:after="0"/>
        <w:ind w:left="420"/>
      </w:pPr>
      <w:r>
        <w:rPr>
          <w:rFonts w:ascii="Times New Roman" w:hAnsi="Times New Roman" w:eastAsia="宋体"/>
          <w:b/>
          <w:sz w:val="24"/>
        </w:rPr>
        <w:t>开销指标</w:t>
      </w:r>
      <w:r>
        <w:rPr>
          <w:rFonts w:ascii="Times New Roman" w:hAnsi="Times New Roman" w:eastAsia="宋体"/>
          <w:b w:val="0"/>
          <w:sz w:val="24"/>
        </w:rPr>
        <w:t>：训练时间（含重采样）、测试推理时间、模型文件体积（纯模型 pickle 口径）。</w:t>
      </w:r>
    </w:p>
    <w:p>
      <w:pPr>
        <w:spacing w:line="360" w:lineRule="auto" w:before="200" w:after="80"/>
      </w:pPr>
      <w:r>
        <w:rPr>
          <w:rFonts w:ascii="Times New Roman" w:hAnsi="Times New Roman" w:eastAsia="楷体_GB2312"/>
          <w:b w:val="0"/>
          <w:sz w:val="24"/>
        </w:rPr>
        <w:t>3.7 本章小结</w:t>
      </w:r>
    </w:p>
    <w:p>
      <w:pPr>
        <w:spacing w:line="360" w:lineRule="auto" w:before="0" w:after="0"/>
        <w:ind w:firstLine="480"/>
      </w:pPr>
      <w:r>
        <w:rPr>
          <w:rFonts w:ascii="Times New Roman" w:hAnsi="Times New Roman" w:eastAsia="宋体"/>
          <w:b w:val="0"/>
          <w:sz w:val="24"/>
        </w:rPr>
        <w:t>本章给出了 UNSW-NB15 的来源与许可义务、官方划分规模、431:1 的类别不平衡结构、五项数据质量核查决策、划分重叠的量化审计与"保留不去重"的决策依据，并定义了以宏平均为核心的评价指标体系。数据层的两个固有缺陷——极端少数类（Worms 训练集仅 130 条）与划分重叠（验证集47.0% 的行与训练划分共享特征向量）——将分别在实验设计（第 4 节）与局限性（7.3 节）中得到处理与声明。</w:t>
      </w:r>
    </w:p>
    <w:p>
      <w:r>
        <w:br w:type="page"/>
      </w:r>
    </w:p>
    <w:p>
      <w:pPr>
        <w:spacing w:line="360" w:lineRule="auto" w:before="120" w:after="160"/>
        <w:jc w:val="left"/>
      </w:pPr>
      <w:r>
        <w:rPr>
          <w:rFonts w:ascii="Times New Roman" w:hAnsi="Times New Roman" w:eastAsia="宋体"/>
          <w:b/>
          <w:sz w:val="28"/>
        </w:rPr>
        <w:t>4 方法与实验设置</w:t>
      </w:r>
    </w:p>
    <w:p>
      <w:pPr>
        <w:spacing w:line="360" w:lineRule="auto" w:before="200" w:after="80"/>
      </w:pPr>
      <w:r>
        <w:rPr>
          <w:rFonts w:ascii="Times New Roman" w:hAnsi="Times New Roman" w:eastAsia="楷体_GB2312"/>
          <w:b w:val="0"/>
          <w:sz w:val="24"/>
        </w:rPr>
        <w:t>4.1 总体技术路线</w:t>
      </w:r>
    </w:p>
    <w:p>
      <w:pPr>
        <w:spacing w:line="360" w:lineRule="auto" w:before="0" w:after="0"/>
        <w:ind w:firstLine="480"/>
      </w:pPr>
      <w:r>
        <w:rPr>
          <w:rFonts w:ascii="Times New Roman" w:hAnsi="Times New Roman" w:eastAsia="宋体"/>
          <w:b w:val="0"/>
          <w:sz w:val="24"/>
        </w:rPr>
        <w:t>本文不提出新算法，而是在统一实验协议下做系统比较与轻量化改进。技术路线按三个研究问题组织：</w:t>
      </w:r>
    </w:p>
    <w:p>
      <w:pPr>
        <w:spacing w:line="360" w:lineRule="auto" w:before="0" w:after="0"/>
        <w:ind w:firstLine="480"/>
      </w:pPr>
      <w:r>
        <w:rPr>
          <w:rFonts w:ascii="Times New Roman" w:hAnsi="Times New Roman" w:eastAsia="宋体"/>
          <w:b w:val="0"/>
          <w:sz w:val="24"/>
        </w:rPr>
        <w:t xml:space="preserve">1. </w:t>
      </w:r>
      <w:r>
        <w:rPr>
          <w:rFonts w:ascii="Times New Roman" w:hAnsi="Times New Roman" w:eastAsia="宋体"/>
          <w:b/>
          <w:sz w:val="24"/>
        </w:rPr>
        <w:t>主实验矩阵</w:t>
      </w:r>
      <w:r>
        <w:rPr>
          <w:rFonts w:ascii="Times New Roman" w:hAnsi="Times New Roman" w:eastAsia="宋体"/>
          <w:b w:val="0"/>
          <w:sz w:val="24"/>
        </w:rPr>
        <w:t xml:space="preserve">（回答 RQ1/RQ2/RQ3）：3 模型 × 4 方法 × 3 种子 = 36 组，统一数据划分、统一超参来源、统一评估口径（第 4.2–4.5 节）。2. </w:t>
      </w:r>
      <w:r>
        <w:rPr>
          <w:rFonts w:ascii="Times New Roman" w:hAnsi="Times New Roman" w:eastAsia="宋体"/>
          <w:b/>
          <w:sz w:val="24"/>
        </w:rPr>
        <w:t>扩展对照</w:t>
      </w:r>
      <w:r>
        <w:rPr>
          <w:rFonts w:ascii="Times New Roman" w:hAnsi="Times New Roman" w:eastAsia="宋体"/>
          <w:b w:val="0"/>
          <w:sz w:val="24"/>
        </w:rPr>
        <w:t xml:space="preserve">（补全 RQ3 权衡曲线）：验证集阈值移动对照（零重训练路线，第 4.6 节）与增益重要性特征筛选轻量化（第 4.6 节）。3. </w:t>
      </w:r>
      <w:r>
        <w:rPr>
          <w:rFonts w:ascii="Times New Roman" w:hAnsi="Times New Roman" w:eastAsia="宋体"/>
          <w:b/>
          <w:sz w:val="24"/>
        </w:rPr>
        <w:t>稳健性检验</w:t>
      </w:r>
      <w:r>
        <w:rPr>
          <w:rFonts w:ascii="Times New Roman" w:hAnsi="Times New Roman" w:eastAsia="宋体"/>
          <w:b w:val="0"/>
          <w:sz w:val="24"/>
        </w:rPr>
        <w:t xml:space="preserve">（防止单口径结论）：方法排序一致性预注册检验、训练不平衡度衰减、SMOTE插值伪影取整敏感性、切分方差补测（第 4.7 节）。4. </w:t>
      </w:r>
      <w:r>
        <w:rPr>
          <w:rFonts w:ascii="Times New Roman" w:hAnsi="Times New Roman" w:eastAsia="宋体"/>
          <w:b/>
          <w:sz w:val="24"/>
        </w:rPr>
        <w:t>误差分析</w:t>
      </w:r>
      <w:r>
        <w:rPr>
          <w:rFonts w:ascii="Times New Roman" w:hAnsi="Times New Roman" w:eastAsia="宋体"/>
          <w:b w:val="0"/>
          <w:sz w:val="24"/>
        </w:rPr>
        <w:t>（回答"漏检从何而来"）：基于行哈希的逐条错误归因（第 6 节）。</w:t>
      </w:r>
    </w:p>
    <w:p>
      <w:pPr>
        <w:spacing w:line="360" w:lineRule="auto" w:before="0" w:after="0"/>
        <w:ind w:firstLine="480"/>
      </w:pPr>
      <w:r>
        <w:rPr>
          <w:rFonts w:ascii="Times New Roman" w:hAnsi="Times New Roman" w:eastAsia="宋体"/>
          <w:b w:val="0"/>
          <w:sz w:val="24"/>
        </w:rPr>
        <w:t>全流程的防泄漏纪律贯穿所有实验：先划分、后拟合；重采样只作用于训练数据；验证集只用于调参与选型；官方测试集冻结、只在最终评估时使用。</w:t>
      </w:r>
    </w:p>
    <w:p>
      <w:pPr>
        <w:spacing w:line="360" w:lineRule="auto" w:before="200" w:after="80"/>
      </w:pPr>
      <w:r>
        <w:rPr>
          <w:rFonts w:ascii="Times New Roman" w:hAnsi="Times New Roman" w:eastAsia="楷体_GB2312"/>
          <w:b w:val="0"/>
          <w:sz w:val="24"/>
        </w:rPr>
        <w:t>4.2 预处理与防泄漏流程</w:t>
      </w:r>
    </w:p>
    <w:p>
      <w:pPr>
        <w:spacing w:line="360" w:lineRule="auto" w:before="0" w:after="0"/>
        <w:ind w:firstLine="480"/>
      </w:pPr>
      <w:r>
        <w:rPr>
          <w:rFonts w:ascii="Times New Roman" w:hAnsi="Times New Roman" w:eastAsia="宋体"/>
          <w:b w:val="0"/>
          <w:sz w:val="24"/>
        </w:rPr>
        <w:t>预处理由 预处理脚本 实现，顺序即纪律：</w:t>
      </w:r>
    </w:p>
    <w:p>
      <w:pPr>
        <w:spacing w:line="360" w:lineRule="auto" w:before="0" w:after="0"/>
        <w:ind w:firstLine="480"/>
      </w:pPr>
      <w:r>
        <w:rPr>
          <w:rFonts w:ascii="Times New Roman" w:hAnsi="Times New Roman" w:eastAsia="宋体"/>
          <w:b w:val="0"/>
          <w:sz w:val="24"/>
        </w:rPr>
        <w:t xml:space="preserve">1. 丢弃 id 列；attack_cat 执行 str.strip()（第 3.4 节）。2. </w:t>
      </w:r>
      <w:r>
        <w:rPr>
          <w:rFonts w:ascii="Times New Roman" w:hAnsi="Times New Roman" w:eastAsia="宋体"/>
          <w:b/>
          <w:sz w:val="24"/>
        </w:rPr>
        <w:t>先划分</w:t>
      </w:r>
      <w:r>
        <w:rPr>
          <w:rFonts w:ascii="Times New Roman" w:hAnsi="Times New Roman" w:eastAsia="宋体"/>
          <w:b w:val="0"/>
          <w:sz w:val="24"/>
        </w:rPr>
        <w:t xml:space="preserve">：官方测试集冻结；官方训练集内部按 attack_cat 分层划出 20% 作为验证集（train_test_split，random_state=42，分层抽样保证各类别比例一致）。3. </w:t>
      </w:r>
      <w:r>
        <w:rPr>
          <w:rFonts w:ascii="Times New Roman" w:hAnsi="Times New Roman" w:eastAsia="宋体"/>
          <w:b/>
          <w:sz w:val="24"/>
        </w:rPr>
        <w:t>后拟合</w:t>
      </w:r>
      <w:r>
        <w:rPr>
          <w:rFonts w:ascii="Times New Roman" w:hAnsi="Times New Roman" w:eastAsia="宋体"/>
          <w:b w:val="0"/>
          <w:sz w:val="24"/>
        </w:rPr>
        <w:t xml:space="preserve">：OneHotEncoder（handle_unknown="ignore"）与 StandardScaler </w:t>
      </w:r>
      <w:r>
        <w:rPr>
          <w:rFonts w:ascii="Times New Roman" w:hAnsi="Times New Roman" w:eastAsia="宋体"/>
          <w:b/>
          <w:sz w:val="24"/>
        </w:rPr>
        <w:t>仅在训练划分上 fit</w:t>
      </w:r>
      <w:r>
        <w:rPr>
          <w:rFonts w:ascii="Times New Roman" w:hAnsi="Times New Roman" w:eastAsia="宋体"/>
          <w:b w:val="0"/>
          <w:sz w:val="24"/>
        </w:rPr>
        <w:t>，验证集与测试集只做 transform。4. 产出 data/processed/ 下三个 parquet 文件并留档报告（预处理报告）。</w:t>
      </w:r>
    </w:p>
    <w:p>
      <w:pPr>
        <w:spacing w:line="360" w:lineRule="auto" w:before="0" w:after="0"/>
        <w:ind w:firstLine="480"/>
      </w:pPr>
      <w:r>
        <w:rPr>
          <w:rFonts w:ascii="Times New Roman" w:hAnsi="Times New Roman" w:eastAsia="宋体"/>
          <w:b w:val="0"/>
          <w:sz w:val="24"/>
        </w:rPr>
        <w:t>该顺序保证验证集与测试集的编码类别表、标准化统计量不含自身信息，杜绝编码层与标准化层泄漏。重采样（ROS/SMOTE）不属于预处理，统一延迟到实验内部、仅作用于训练数据（第 4.4 节）。</w:t>
      </w:r>
    </w:p>
    <w:p>
      <w:pPr>
        <w:spacing w:line="360" w:lineRule="auto" w:before="200" w:after="80"/>
      </w:pPr>
      <w:r>
        <w:rPr>
          <w:rFonts w:ascii="Times New Roman" w:hAnsi="Times New Roman" w:eastAsia="楷体_GB2312"/>
          <w:b w:val="0"/>
          <w:sz w:val="24"/>
        </w:rPr>
        <w:t>4.3 模型与超参数</w:t>
      </w:r>
    </w:p>
    <w:p>
      <w:pPr>
        <w:spacing w:line="360" w:lineRule="auto" w:before="0" w:after="0"/>
        <w:ind w:firstLine="480"/>
      </w:pPr>
      <w:r>
        <w:rPr>
          <w:rFonts w:ascii="Times New Roman" w:hAnsi="Times New Roman" w:eastAsia="宋体"/>
          <w:b w:val="0"/>
          <w:sz w:val="24"/>
        </w:rPr>
        <w:t>三种模型覆盖线性模型、神经网络与梯度提升树三个族系，超参数在实验开始前冻结：</w:t>
      </w:r>
    </w:p>
    <w:p>
      <w:pPr>
        <w:spacing w:line="360" w:lineRule="auto" w:before="0" w:after="0"/>
        <w:jc w:val="center"/>
      </w:pPr>
      <w:r>
        <w:rPr>
          <w:rFonts w:ascii="Times New Roman" w:hAnsi="Times New Roman" w:eastAsia="宋体"/>
          <w:b/>
          <w:sz w:val="24"/>
        </w:rPr>
        <w:t>表 4-1 模型与冻结超参数</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line="240" w:lineRule="auto"/>
            </w:pPr>
            <w:r>
              <w:rPr>
                <w:rFonts w:ascii="Times New Roman" w:hAnsi="Times New Roman" w:eastAsia="宋体"/>
                <w:b/>
                <w:sz w:val="21"/>
              </w:rPr>
              <w:t>模型</w:t>
            </w:r>
          </w:p>
        </w:tc>
        <w:tc>
          <w:tcPr>
            <w:tcW w:type="dxa" w:w="3024"/>
          </w:tcPr>
          <w:p>
            <w:pPr>
              <w:spacing w:line="240" w:lineRule="auto"/>
            </w:pPr>
            <w:r>
              <w:rPr>
                <w:rFonts w:ascii="Times New Roman" w:hAnsi="Times New Roman" w:eastAsia="宋体"/>
                <w:b/>
                <w:sz w:val="21"/>
              </w:rPr>
              <w:t>关键超参数</w:t>
            </w:r>
          </w:p>
        </w:tc>
        <w:tc>
          <w:tcPr>
            <w:tcW w:type="dxa" w:w="3024"/>
          </w:tcPr>
          <w:p>
            <w:pPr>
              <w:spacing w:line="240" w:lineRule="auto"/>
            </w:pPr>
            <w:r>
              <w:rPr>
                <w:rFonts w:ascii="Times New Roman" w:hAnsi="Times New Roman" w:eastAsia="宋体"/>
                <w:b/>
                <w:sz w:val="21"/>
              </w:rPr>
              <w:t>备注</w:t>
            </w:r>
          </w:p>
        </w:tc>
      </w:tr>
      <w:tr>
        <w:tc>
          <w:tcPr>
            <w:tcW w:type="dxa" w:w="3024"/>
          </w:tcPr>
          <w:p>
            <w:pPr>
              <w:spacing w:line="240" w:lineRule="auto"/>
            </w:pPr>
            <w:r>
              <w:rPr>
                <w:rFonts w:ascii="Times New Roman" w:hAnsi="Times New Roman" w:eastAsia="宋体"/>
                <w:b w:val="0"/>
                <w:sz w:val="21"/>
              </w:rPr>
              <w:t>Logistic Regression</w:t>
            </w:r>
          </w:p>
        </w:tc>
        <w:tc>
          <w:tcPr>
            <w:tcW w:type="dxa" w:w="3024"/>
          </w:tcPr>
          <w:p>
            <w:pPr>
              <w:spacing w:line="240" w:lineRule="auto"/>
            </w:pPr>
            <w:r>
              <w:rPr>
                <w:rFonts w:ascii="Times New Roman" w:hAnsi="Times New Roman" w:eastAsia="宋体"/>
                <w:b w:val="0"/>
                <w:sz w:val="21"/>
              </w:rPr>
              <w:t>max_iter=1000</w:t>
            </w:r>
          </w:p>
        </w:tc>
        <w:tc>
          <w:tcPr>
            <w:tcW w:type="dxa" w:w="3024"/>
          </w:tcPr>
          <w:p>
            <w:pPr>
              <w:spacing w:line="240" w:lineRule="auto"/>
            </w:pPr>
            <w:r>
              <w:rPr>
                <w:rFonts w:ascii="Times New Roman" w:hAnsi="Times New Roman" w:eastAsia="宋体"/>
                <w:b w:val="0"/>
                <w:sz w:val="21"/>
              </w:rPr>
              <w:t>其余默认；class_weight="balanced" 用于类别权重法</w:t>
            </w:r>
          </w:p>
        </w:tc>
      </w:tr>
      <w:tr>
        <w:tc>
          <w:tcPr>
            <w:tcW w:type="dxa" w:w="3024"/>
          </w:tcPr>
          <w:p>
            <w:pPr>
              <w:spacing w:line="240" w:lineRule="auto"/>
            </w:pPr>
            <w:r>
              <w:rPr>
                <w:rFonts w:ascii="Times New Roman" w:hAnsi="Times New Roman" w:eastAsia="宋体"/>
                <w:b w:val="0"/>
                <w:sz w:val="21"/>
              </w:rPr>
              <w:t>MLP</w:t>
            </w:r>
          </w:p>
        </w:tc>
        <w:tc>
          <w:tcPr>
            <w:tcW w:type="dxa" w:w="3024"/>
          </w:tcPr>
          <w:p>
            <w:pPr>
              <w:spacing w:line="240" w:lineRule="auto"/>
            </w:pPr>
            <w:r>
              <w:rPr>
                <w:rFonts w:ascii="Times New Roman" w:hAnsi="Times New Roman" w:eastAsia="宋体"/>
                <w:b w:val="0"/>
                <w:sz w:val="21"/>
              </w:rPr>
              <w:t>隐藏层 64×64，max_iter=100，early_stopping，batch_size=1024</w:t>
            </w:r>
          </w:p>
        </w:tc>
        <w:tc>
          <w:tcPr>
            <w:tcW w:type="dxa" w:w="3024"/>
          </w:tcPr>
          <w:p>
            <w:pPr>
              <w:spacing w:line="240" w:lineRule="auto"/>
            </w:pPr>
            <w:r>
              <w:rPr>
                <w:rFonts w:ascii="Times New Roman" w:hAnsi="Times New Roman" w:eastAsia="宋体"/>
                <w:b w:val="0"/>
                <w:sz w:val="21"/>
              </w:rPr>
              <w:t>random_state=种子</w:t>
            </w:r>
          </w:p>
        </w:tc>
      </w:tr>
      <w:tr>
        <w:tc>
          <w:tcPr>
            <w:tcW w:type="dxa" w:w="3024"/>
          </w:tcPr>
          <w:p>
            <w:pPr>
              <w:spacing w:line="240" w:lineRule="auto"/>
            </w:pPr>
            <w:r>
              <w:rPr>
                <w:rFonts w:ascii="Times New Roman" w:hAnsi="Times New Roman" w:eastAsia="宋体"/>
                <w:b w:val="0"/>
                <w:sz w:val="21"/>
              </w:rPr>
              <w:t>XGBoost</w:t>
            </w:r>
          </w:p>
        </w:tc>
        <w:tc>
          <w:tcPr>
            <w:tcW w:type="dxa" w:w="3024"/>
          </w:tcPr>
          <w:p>
            <w:pPr>
              <w:spacing w:line="240" w:lineRule="auto"/>
            </w:pPr>
            <w:r>
              <w:rPr>
                <w:rFonts w:ascii="Times New Roman" w:hAnsi="Times New Roman" w:eastAsia="宋体"/>
                <w:b w:val="0"/>
                <w:sz w:val="21"/>
              </w:rPr>
              <w:t>n_estimators=300，max_depth=6，learning_rate=0.1，tree_method="hist"，objective=multi:softprob</w:t>
            </w:r>
          </w:p>
        </w:tc>
        <w:tc>
          <w:tcPr>
            <w:tcW w:type="dxa" w:w="3024"/>
          </w:tcPr>
          <w:p>
            <w:pPr>
              <w:spacing w:line="240" w:lineRule="auto"/>
            </w:pPr>
            <w:r>
              <w:rPr>
                <w:rFonts w:ascii="Times New Roman" w:hAnsi="Times New Roman" w:eastAsia="宋体"/>
                <w:b w:val="0"/>
                <w:sz w:val="21"/>
              </w:rPr>
              <w:t>random_state=种子；sample_weight=balanced 用于类别权重法</w:t>
            </w:r>
          </w:p>
        </w:tc>
      </w:tr>
    </w:tbl>
    <w:p>
      <w:pPr>
        <w:spacing w:line="360" w:lineRule="auto" w:before="0" w:after="0"/>
      </w:pPr>
    </w:p>
    <w:p>
      <w:pPr>
        <w:spacing w:line="360" w:lineRule="auto" w:before="0" w:after="0"/>
        <w:ind w:firstLine="480"/>
      </w:pPr>
      <w:r>
        <w:rPr>
          <w:rFonts w:ascii="Times New Roman" w:hAnsi="Times New Roman" w:eastAsia="宋体"/>
          <w:b w:val="0"/>
          <w:sz w:val="24"/>
        </w:rPr>
        <w:t>超参冻结的时点与依据记录于该 yaml 文件内注释（如 MLP 的 max_iter=100 保持 36 格协议统一、不因个别格子收敛警告而放宽）。LR 与 XGBoost 在 none/类别权重配置下算法过程确定，同一种子重跑结果逐位一致——这一事实对种子协议的含义在第 5.1 节与第 4.7 节处理。</w:t>
      </w:r>
    </w:p>
    <w:p>
      <w:pPr>
        <w:spacing w:line="360" w:lineRule="auto" w:before="200" w:after="80"/>
      </w:pPr>
      <w:r>
        <w:rPr>
          <w:rFonts w:ascii="Times New Roman" w:hAnsi="Times New Roman" w:eastAsia="楷体_GB2312"/>
          <w:b w:val="0"/>
          <w:sz w:val="24"/>
        </w:rPr>
        <w:t>4.4 类别不平衡处理方法</w:t>
      </w:r>
    </w:p>
    <w:p>
      <w:pPr>
        <w:spacing w:line="360" w:lineRule="auto" w:before="0" w:after="0"/>
        <w:ind w:firstLine="480"/>
      </w:pPr>
      <w:r>
        <w:rPr>
          <w:rFonts w:ascii="Times New Roman" w:hAnsi="Times New Roman" w:eastAsia="宋体"/>
          <w:b w:val="0"/>
          <w:sz w:val="24"/>
        </w:rPr>
        <w:t>四种方法均以 imblearn Pipeline 封装，保证重采样只发生在训练折内：</w:t>
      </w:r>
    </w:p>
    <w:p>
      <w:pPr>
        <w:spacing w:line="360" w:lineRule="auto" w:before="0" w:after="0"/>
        <w:ind w:firstLine="480"/>
      </w:pPr>
      <w:r>
        <w:rPr>
          <w:rFonts w:ascii="Times New Roman" w:hAnsi="Times New Roman" w:eastAsia="宋体"/>
          <w:b w:val="0"/>
          <w:sz w:val="24"/>
        </w:rPr>
        <w:t xml:space="preserve">1. </w:t>
      </w:r>
      <w:r>
        <w:rPr>
          <w:rFonts w:ascii="Times New Roman" w:hAnsi="Times New Roman" w:eastAsia="宋体"/>
          <w:b/>
          <w:sz w:val="24"/>
        </w:rPr>
        <w:t>无处理（none）</w:t>
      </w:r>
      <w:r>
        <w:rPr>
          <w:rFonts w:ascii="Times New Roman" w:hAnsi="Times New Roman" w:eastAsia="宋体"/>
          <w:b w:val="0"/>
          <w:sz w:val="24"/>
        </w:rPr>
        <w:t xml:space="preserve">：原始训练分布直接训练，作为所有方法的对照基线。2. </w:t>
      </w:r>
      <w:r>
        <w:rPr>
          <w:rFonts w:ascii="Times New Roman" w:hAnsi="Times New Roman" w:eastAsia="宋体"/>
          <w:b/>
          <w:sz w:val="24"/>
        </w:rPr>
        <w:t>类别权重（class_weight）</w:t>
      </w:r>
      <w:r>
        <w:rPr>
          <w:rFonts w:ascii="Times New Roman" w:hAnsi="Times New Roman" w:eastAsia="宋体"/>
          <w:b w:val="0"/>
          <w:sz w:val="24"/>
        </w:rPr>
        <w:t xml:space="preserve">：不改变训练分布。LR 使用 class_weight="balanced"；XGBoost 与 MLP 使用 compute_sample_weight("balanced") 的逐样本权重——权重与类别频率成反比，等价于按逆类频率加权损失。3. </w:t>
      </w:r>
      <w:r>
        <w:rPr>
          <w:rFonts w:ascii="Times New Roman" w:hAnsi="Times New Roman" w:eastAsia="宋体"/>
          <w:b/>
          <w:sz w:val="24"/>
        </w:rPr>
        <w:t>随机过采样（ROS）</w:t>
      </w:r>
      <w:r>
        <w:rPr>
          <w:rFonts w:ascii="Times New Roman" w:hAnsi="Times New Roman" w:eastAsia="宋体"/>
          <w:b w:val="0"/>
          <w:sz w:val="24"/>
        </w:rPr>
        <w:t xml:space="preserve">：对少数类随机复制直至与多数类同规模（训练集补至约 44.8 万行）。4. </w:t>
      </w:r>
      <w:r>
        <w:rPr>
          <w:rFonts w:ascii="Times New Roman" w:hAnsi="Times New Roman" w:eastAsia="宋体"/>
          <w:b/>
          <w:sz w:val="24"/>
        </w:rPr>
        <w:t>SMOTE</w:t>
      </w:r>
      <w:r>
        <w:rPr>
          <w:rFonts w:ascii="Times New Roman" w:hAnsi="Times New Roman" w:eastAsia="宋体"/>
          <w:b w:val="0"/>
          <w:sz w:val="24"/>
        </w:rPr>
        <w:t>：k=5 近邻插值生成合成少数类样本（imbalanced-learn 实现，random_state=种子；k_neighbors 亦冻结于 yaml）。已知局限：one-hot 编码空间插值会产生非 0/1 的合成哑变量取值，属该协议的已知伪影，第 5.7 节以取整敏感性检验专门评估其影响。</w:t>
      </w:r>
    </w:p>
    <w:p>
      <w:pPr>
        <w:spacing w:line="360" w:lineRule="auto" w:before="0" w:after="0"/>
        <w:ind w:firstLine="480"/>
      </w:pPr>
      <w:r>
        <w:rPr>
          <w:rFonts w:ascii="Times New Roman" w:hAnsi="Times New Roman" w:eastAsia="宋体"/>
          <w:b w:val="0"/>
          <w:sz w:val="24"/>
        </w:rPr>
        <w:t>三种子（0、1、2）同时作用于模型 random_state 与重采样器 random_state。</w:t>
      </w:r>
    </w:p>
    <w:p>
      <w:pPr>
        <w:spacing w:line="360" w:lineRule="auto" w:before="200" w:after="80"/>
      </w:pPr>
      <w:r>
        <w:rPr>
          <w:rFonts w:ascii="Times New Roman" w:hAnsi="Times New Roman" w:eastAsia="楷体_GB2312"/>
          <w:b w:val="0"/>
          <w:sz w:val="24"/>
        </w:rPr>
        <w:t>4.5 评估与选型协议</w:t>
      </w:r>
    </w:p>
    <w:p>
      <w:pPr>
        <w:spacing w:line="360" w:lineRule="auto" w:before="0" w:after="0"/>
        <w:ind w:left="420"/>
      </w:pPr>
      <w:r>
        <w:rPr>
          <w:rFonts w:ascii="Times New Roman" w:hAnsi="Times New Roman" w:eastAsia="宋体"/>
          <w:b/>
          <w:sz w:val="24"/>
        </w:rPr>
        <w:t>主指标</w:t>
      </w:r>
      <w:r>
        <w:rPr>
          <w:rFonts w:ascii="Times New Roman" w:hAnsi="Times New Roman" w:eastAsia="宋体"/>
          <w:b w:val="0"/>
          <w:sz w:val="24"/>
        </w:rPr>
        <w:t>：Macro-F1、Balanced Accuracy、每类 Recall；Accuracy 仅辅助（理由见第 3.6 节）。</w:t>
      </w:r>
    </w:p>
    <w:p>
      <w:pPr>
        <w:spacing w:line="360" w:lineRule="auto" w:before="0" w:after="0"/>
        <w:ind w:left="420"/>
      </w:pPr>
      <w:r>
        <w:rPr>
          <w:rFonts w:ascii="Times New Roman" w:hAnsi="Times New Roman" w:eastAsia="宋体"/>
          <w:b/>
          <w:sz w:val="24"/>
        </w:rPr>
        <w:t>开销指标</w:t>
      </w:r>
      <w:r>
        <w:rPr>
          <w:rFonts w:ascii="Times New Roman" w:hAnsi="Times New Roman" w:eastAsia="宋体"/>
          <w:b w:val="0"/>
          <w:sz w:val="24"/>
        </w:rPr>
        <w:t>：训练时间（wall-clock，含重采样）、测试推理时间、模型体积（纯模型 pickle</w:t>
      </w:r>
    </w:p>
    <w:p>
      <w:pPr>
        <w:spacing w:line="360" w:lineRule="auto" w:before="0" w:after="0"/>
        <w:ind w:firstLine="480"/>
      </w:pPr>
      <w:r>
        <w:rPr>
          <w:rFonts w:ascii="Times New Roman" w:hAnsi="Times New Roman" w:eastAsia="宋体"/>
          <w:b w:val="0"/>
          <w:sz w:val="24"/>
        </w:rPr>
        <w:t>口径；不含采样器索引——审计修订：含索引的 pipeline 口径不可比）。</w:t>
      </w:r>
    </w:p>
    <w:p>
      <w:pPr>
        <w:spacing w:line="360" w:lineRule="auto" w:before="0" w:after="0"/>
        <w:ind w:left="420"/>
      </w:pPr>
      <w:r>
        <w:rPr>
          <w:rFonts w:ascii="Times New Roman" w:hAnsi="Times New Roman" w:eastAsia="宋体"/>
          <w:b/>
          <w:sz w:val="24"/>
        </w:rPr>
        <w:t>种子协议</w:t>
      </w:r>
      <w:r>
        <w:rPr>
          <w:rFonts w:ascii="Times New Roman" w:hAnsi="Times New Roman" w:eastAsia="宋体"/>
          <w:b w:val="0"/>
          <w:sz w:val="24"/>
        </w:rPr>
        <w:t>：正式实验至少 3 种子（0/1/2），结果以均值±样本标准差（ddof=1）呈现；</w:t>
      </w:r>
    </w:p>
    <w:p>
      <w:pPr>
        <w:spacing w:line="360" w:lineRule="auto" w:before="0" w:after="0"/>
        <w:ind w:firstLine="480"/>
      </w:pPr>
      <w:r>
        <w:rPr>
          <w:rFonts w:ascii="Times New Roman" w:hAnsi="Times New Roman" w:eastAsia="宋体"/>
          <w:b w:val="0"/>
          <w:sz w:val="24"/>
        </w:rPr>
        <w:t>确定性配置标准差为 0 的含义与补救（切分方差补测）见第 4.7 节。</w:t>
      </w:r>
    </w:p>
    <w:p>
      <w:pPr>
        <w:spacing w:line="360" w:lineRule="auto" w:before="0" w:after="0"/>
        <w:ind w:left="420"/>
      </w:pPr>
      <w:r>
        <w:rPr>
          <w:rFonts w:ascii="Times New Roman" w:hAnsi="Times New Roman" w:eastAsia="宋体"/>
          <w:b/>
          <w:sz w:val="24"/>
        </w:rPr>
        <w:t>选型纪律</w:t>
      </w:r>
      <w:r>
        <w:rPr>
          <w:rFonts w:ascii="Times New Roman" w:hAnsi="Times New Roman" w:eastAsia="宋体"/>
          <w:b w:val="0"/>
          <w:sz w:val="24"/>
        </w:rPr>
        <w:t>：模型选择与调参只允许使用验证集；测试集每个设置只评估一次。第 6 节误差</w:t>
      </w:r>
    </w:p>
    <w:p>
      <w:pPr>
        <w:spacing w:line="360" w:lineRule="auto" w:before="0" w:after="0"/>
        <w:ind w:firstLine="480"/>
      </w:pPr>
      <w:r>
        <w:rPr>
          <w:rFonts w:ascii="Times New Roman" w:hAnsi="Times New Roman" w:eastAsia="宋体"/>
          <w:b w:val="0"/>
          <w:sz w:val="24"/>
        </w:rPr>
        <w:t>分析的代表性配置按"3 种子平均验证集 Macro-F1 最高"选出——本文曾在第 4 周初版中误用测试集 Macro-F1 选型，经独立审计后改为验证集选型并重跑全部误差分析（审计留痕。</w:t>
      </w:r>
    </w:p>
    <w:p>
      <w:pPr>
        <w:spacing w:line="360" w:lineRule="auto" w:before="200" w:after="80"/>
      </w:pPr>
      <w:r>
        <w:rPr>
          <w:rFonts w:ascii="Times New Roman" w:hAnsi="Times New Roman" w:eastAsia="楷体_GB2312"/>
          <w:b w:val="0"/>
          <w:sz w:val="24"/>
        </w:rPr>
        <w:t>4.6 扩展对照协议</w:t>
      </w:r>
    </w:p>
    <w:p>
      <w:pPr>
        <w:spacing w:line="360" w:lineRule="auto" w:before="0" w:after="0"/>
        <w:ind w:firstLine="480"/>
      </w:pPr>
      <w:r>
        <w:rPr>
          <w:rFonts w:ascii="Times New Roman" w:hAnsi="Times New Roman" w:eastAsia="宋体"/>
          <w:b/>
          <w:sz w:val="24"/>
        </w:rPr>
        <w:t>阈值移动对照</w:t>
      </w:r>
      <w:r>
        <w:rPr>
          <w:rFonts w:ascii="Times New Roman" w:hAnsi="Times New Roman" w:eastAsia="宋体"/>
          <w:b w:val="0"/>
          <w:sz w:val="24"/>
        </w:rPr>
        <w:t>（阈值移动脚本，docstring 即预注册）：对 XGBoost 的 none与类别权重两配置，在验证集上为每类学习乘性决策阈值权重 w_k（网格 0.5–2.5 步长 0.1，坐标上升 2 轮），预测改为 argmax_k w_k·P(k|x)。以 Macro-F1 与少数类宏 Recall（Analysis/Backdoor/Shellcode/Worms 四类均值）双目标分别搜索、分别报告，禁止混选；测试集每个设置只评估一次，同时报告未移动基线。该方法零重训练，推理仅增加一次逐类乘法。</w:t>
      </w:r>
    </w:p>
    <w:p>
      <w:pPr>
        <w:spacing w:line="360" w:lineRule="auto" w:before="0" w:after="0"/>
        <w:ind w:firstLine="480"/>
      </w:pPr>
      <w:r>
        <w:rPr>
          <w:rFonts w:ascii="Times New Roman" w:hAnsi="Times New Roman" w:eastAsia="宋体"/>
          <w:b/>
          <w:sz w:val="24"/>
        </w:rPr>
        <w:t>轻量化协议</w:t>
      </w:r>
      <w:r>
        <w:rPr>
          <w:rFonts w:ascii="Times New Roman" w:hAnsi="Times New Roman" w:eastAsia="宋体"/>
          <w:b w:val="0"/>
          <w:sz w:val="24"/>
        </w:rPr>
        <w:t>（轻量化脚本）：以 XGBoost 增益重要性（gain）排序特征，排序模型仅在训练划分上拟合；K 在验证集上按 {194, 128, 64, 32, 16, 8} 扫描，以验证 Macro-F1 选 K、并列取更小 K（轻量化优先），测试集不进入扫描阶段；选出的 K* 与全量特征版本在测试集终评，对比 Macro-F1、Balanced Accuracy、每类 Recall、训练时间与纯模型体积。</w:t>
      </w:r>
    </w:p>
    <w:p>
      <w:pPr>
        <w:spacing w:line="360" w:lineRule="auto" w:before="200" w:after="80"/>
      </w:pPr>
      <w:r>
        <w:rPr>
          <w:rFonts w:ascii="Times New Roman" w:hAnsi="Times New Roman" w:eastAsia="楷体_GB2312"/>
          <w:b w:val="0"/>
          <w:sz w:val="24"/>
        </w:rPr>
        <w:t>4.7 稳健性检验与方差补测协议</w:t>
      </w:r>
    </w:p>
    <w:p>
      <w:pPr>
        <w:spacing w:line="360" w:lineRule="auto" w:before="0" w:after="0"/>
        <w:ind w:firstLine="480"/>
      </w:pPr>
      <w:r>
        <w:rPr>
          <w:rFonts w:ascii="Times New Roman" w:hAnsi="Times New Roman" w:eastAsia="宋体"/>
          <w:b w:val="0"/>
          <w:sz w:val="24"/>
        </w:rPr>
        <w:t>四项稳健性检验的协议要点（预注册文档与判定标准先于计算冻结）：</w:t>
      </w:r>
    </w:p>
    <w:p>
      <w:pPr>
        <w:spacing w:line="360" w:lineRule="auto" w:before="0" w:after="0"/>
        <w:ind w:firstLine="480"/>
      </w:pPr>
      <w:r>
        <w:rPr>
          <w:rFonts w:ascii="Times New Roman" w:hAnsi="Times New Roman" w:eastAsia="宋体"/>
          <w:b w:val="0"/>
          <w:sz w:val="24"/>
        </w:rPr>
        <w:t xml:space="preserve">1. </w:t>
      </w:r>
      <w:r>
        <w:rPr>
          <w:rFonts w:ascii="Times New Roman" w:hAnsi="Times New Roman" w:eastAsia="宋体"/>
          <w:b/>
          <w:sz w:val="24"/>
        </w:rPr>
        <w:t>方法排序一致性</w:t>
      </w:r>
      <w:r>
        <w:rPr>
          <w:rFonts w:ascii="Times New Roman" w:hAnsi="Times New Roman" w:eastAsia="宋体"/>
          <w:b w:val="0"/>
          <w:sz w:val="24"/>
        </w:rPr>
        <w:t xml:space="preserve">，预注册文档 ：Kendall τ 在三种分割维度（模型间/指标口径间/选型分割间）度量 4 方法排序的一致性；预注册判定线为平均 τ &lt; 2/3 即支持"排序不一致"；n=4 属小样本描述性检验，无 p 值宣称，τ 必须与完整排序表共同阅读。2. </w:t>
      </w:r>
      <w:r>
        <w:rPr>
          <w:rFonts w:ascii="Times New Roman" w:hAnsi="Times New Roman" w:eastAsia="宋体"/>
          <w:b/>
          <w:sz w:val="24"/>
        </w:rPr>
        <w:t>训练不平衡度衰减</w:t>
      </w:r>
      <w:r>
        <w:rPr>
          <w:rFonts w:ascii="Times New Roman" w:hAnsi="Times New Roman" w:eastAsia="宋体"/>
          <w:b w:val="0"/>
          <w:sz w:val="24"/>
        </w:rPr>
        <w:t xml:space="preserve">：训练划分少数类按 p ∈ {1.0, 0.5, 0.25, 0.1} 随机降采样（Normal 不动），判定标准预注册为"p=0.25 时 Macro-F1 降幅 &lt; 0.02"。v2 版本将降采样随机数改为随种子变化，并新增 SMOTE 配置（其 k_neighbors 遇极小类时回退并逐格披露）。3. </w:t>
      </w:r>
      <w:r>
        <w:rPr>
          <w:rFonts w:ascii="Times New Roman" w:hAnsi="Times New Roman" w:eastAsia="宋体"/>
          <w:b/>
          <w:sz w:val="24"/>
        </w:rPr>
        <w:t>SMOTE 插值伪影取整敏感性</w:t>
      </w:r>
      <w:r>
        <w:rPr>
          <w:rFonts w:ascii="Times New Roman" w:hAnsi="Times New Roman" w:eastAsia="宋体"/>
          <w:b w:val="0"/>
          <w:sz w:val="24"/>
        </w:rPr>
        <w:t xml:space="preserve">：对合成行的 one-hot 哑变量取整（最小干预），检验插值伪影是否翻转主要结论；仅跑 XGBoost 格子 3 种子。4. </w:t>
      </w:r>
      <w:r>
        <w:rPr>
          <w:rFonts w:ascii="Times New Roman" w:hAnsi="Times New Roman" w:eastAsia="宋体"/>
          <w:b/>
          <w:sz w:val="24"/>
        </w:rPr>
        <w:t>切分方差补测</w:t>
      </w:r>
      <w:r>
        <w:rPr>
          <w:rFonts w:ascii="Times New Roman" w:hAnsi="Times New Roman" w:eastAsia="宋体"/>
          <w:b w:val="0"/>
          <w:sz w:val="24"/>
        </w:rPr>
        <w:t>（重切分补测协议脚本 + 各脚本 --v2 分支）：针对确定性模型在固定切分下3 种子坍缩的方法论缺口（第 5.1 节披露），每种子重切官方训练池（80/20 分层），OneHotEncoder 类别表固定沿用封板 schema（194 列，列级断言一致），标准化统计量逐种子仅拟合各自训练划分，官方测试集仍冻结只 transform。该协议使"3 种子"度量真实的切分敏感性方差而非可复现性；对衰减、阈值移动、轻量化三批实验补测，与 v1 固定切分结果并列呈现、不互换代读。</w:t>
      </w:r>
    </w:p>
    <w:p>
      <w:pPr>
        <w:spacing w:line="360" w:lineRule="auto" w:before="200" w:after="80"/>
      </w:pPr>
      <w:r>
        <w:rPr>
          <w:rFonts w:ascii="Times New Roman" w:hAnsi="Times New Roman" w:eastAsia="楷体_GB2312"/>
          <w:b w:val="0"/>
          <w:sz w:val="24"/>
        </w:rPr>
        <w:t>4.8 实验环境</w:t>
      </w:r>
    </w:p>
    <w:p>
      <w:pPr>
        <w:spacing w:line="360" w:lineRule="auto" w:before="0" w:after="0"/>
        <w:ind w:firstLine="480"/>
      </w:pPr>
      <w:r>
        <w:rPr>
          <w:rFonts w:ascii="Times New Roman" w:hAnsi="Times New Roman" w:eastAsia="宋体"/>
          <w:b w:val="0"/>
          <w:sz w:val="24"/>
        </w:rPr>
        <w:t>全部实验在同一环境完成：Windows 11，Python 3.13.15，scikit-learn 1.9.0，XGBoost 3.4.1，imbalanced-learn 0.14.2，pandas 3.0.5，numpy 2.5.2。完整依赖清单精确锁定于requirements.lock.txt，环境快照存档于 ，保证可复现。</w:t>
      </w:r>
    </w:p>
    <w:p>
      <w:pPr>
        <w:spacing w:line="360" w:lineRule="auto" w:before="200" w:after="80"/>
      </w:pPr>
      <w:r>
        <w:rPr>
          <w:rFonts w:ascii="Times New Roman" w:hAnsi="Times New Roman" w:eastAsia="楷体_GB2312"/>
          <w:b w:val="0"/>
          <w:sz w:val="24"/>
        </w:rPr>
        <w:t>4.9 本章小结</w:t>
      </w:r>
    </w:p>
    <w:p>
      <w:pPr>
        <w:spacing w:line="360" w:lineRule="auto" w:before="0" w:after="0"/>
        <w:ind w:firstLine="480"/>
      </w:pPr>
      <w:r>
        <w:rPr>
          <w:rFonts w:ascii="Times New Roman" w:hAnsi="Times New Roman" w:eastAsia="宋体"/>
          <w:b w:val="0"/>
          <w:sz w:val="24"/>
        </w:rPr>
        <w:t>本章定义了以"统一协议 + 防泄漏纪律"为骨架的实验方法：冻结超参的 36 组主矩阵、双扩展对照（阈值移动、特征筛选轻量化）、四项稳健性检验与切分方差补测协议。所有协议先于对应实验结果冻结并留痕于 git 与预注册文档；下一章给出全部实验结果。</w:t>
      </w:r>
    </w:p>
    <w:p>
      <w:r>
        <w:br w:type="page"/>
      </w:r>
    </w:p>
    <w:p>
      <w:pPr>
        <w:spacing w:line="360" w:lineRule="auto" w:before="120" w:after="160"/>
        <w:jc w:val="left"/>
      </w:pPr>
      <w:r>
        <w:rPr>
          <w:rFonts w:ascii="Times New Roman" w:hAnsi="Times New Roman" w:eastAsia="宋体"/>
          <w:b/>
          <w:sz w:val="28"/>
        </w:rPr>
        <w:t>5 实验结果</w:t>
      </w:r>
    </w:p>
    <w:p>
      <w:pPr>
        <w:spacing w:line="360" w:lineRule="auto" w:before="200" w:after="80"/>
      </w:pPr>
      <w:r>
        <w:rPr>
          <w:rFonts w:ascii="Times New Roman" w:hAnsi="Times New Roman" w:eastAsia="楷体_GB2312"/>
          <w:b w:val="0"/>
          <w:sz w:val="24"/>
        </w:rPr>
        <w:t>5.1 实验矩阵与总体结果</w:t>
      </w:r>
    </w:p>
    <w:p>
      <w:pPr>
        <w:spacing w:line="360" w:lineRule="auto" w:before="0" w:after="0"/>
        <w:ind w:firstLine="480"/>
      </w:pPr>
      <w:r>
        <w:rPr>
          <w:rFonts w:ascii="Times New Roman" w:hAnsi="Times New Roman" w:eastAsia="宋体"/>
          <w:b w:val="0"/>
          <w:sz w:val="24"/>
        </w:rPr>
        <w:t>按照第 4 节所述协议，本章在 UNSW-NB15 官方划分集上完成了 3 种模型（Logistic Regression、MLP、XGBoost）× 4 种类别不平衡处理方法（无处理、类别权重、随机过采样 ROS、SMOTE）×3 种随机种子（0、1、2）共 36 组实验，全部成功、无失败格子。模型超参数在实验开始前冻结于实验配置文件（先于结果固定），重采样仅作用于训练划分，官方测试集自始至终只做一次最终评估。</w:t>
      </w:r>
    </w:p>
    <w:p>
      <w:pPr>
        <w:spacing w:line="360" w:lineRule="auto" w:before="0" w:after="0"/>
        <w:ind w:firstLine="480"/>
      </w:pPr>
      <w:r>
        <w:rPr>
          <w:rFonts w:ascii="Times New Roman" w:hAnsi="Times New Roman" w:eastAsia="宋体"/>
          <w:b w:val="0"/>
          <w:sz w:val="24"/>
        </w:rPr>
        <w:t>表 5-1 给出各配置在测试集上的 Macro-F1（3 种子均值±标准差）。</w:t>
      </w:r>
    </w:p>
    <w:p>
      <w:pPr>
        <w:spacing w:line="360" w:lineRule="auto" w:before="0" w:after="0"/>
        <w:jc w:val="center"/>
      </w:pPr>
      <w:r>
        <w:rPr>
          <w:rFonts w:ascii="Times New Roman" w:hAnsi="Times New Roman" w:eastAsia="宋体"/>
          <w:b/>
          <w:sz w:val="24"/>
        </w:rPr>
        <w:t>表 5-1 测试集 Macro-F1（3 种子均值±标准差）</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spacing w:line="240" w:lineRule="auto"/>
            </w:pPr>
            <w:r>
              <w:rPr>
                <w:rFonts w:ascii="Times New Roman" w:hAnsi="Times New Roman" w:eastAsia="宋体"/>
                <w:b/>
                <w:sz w:val="21"/>
              </w:rPr>
              <w:t>模型</w:t>
            </w:r>
          </w:p>
        </w:tc>
        <w:tc>
          <w:tcPr>
            <w:tcW w:type="dxa" w:w="1814"/>
          </w:tcPr>
          <w:p>
            <w:pPr>
              <w:spacing w:line="240" w:lineRule="auto"/>
            </w:pPr>
            <w:r>
              <w:rPr>
                <w:rFonts w:ascii="Times New Roman" w:hAnsi="Times New Roman" w:eastAsia="宋体"/>
                <w:b/>
                <w:sz w:val="21"/>
              </w:rPr>
              <w:t>ROS</w:t>
            </w:r>
          </w:p>
        </w:tc>
        <w:tc>
          <w:tcPr>
            <w:tcW w:type="dxa" w:w="1814"/>
          </w:tcPr>
          <w:p>
            <w:pPr>
              <w:spacing w:line="240" w:lineRule="auto"/>
            </w:pPr>
            <w:r>
              <w:rPr>
                <w:rFonts w:ascii="Times New Roman" w:hAnsi="Times New Roman" w:eastAsia="宋体"/>
                <w:b/>
                <w:sz w:val="21"/>
              </w:rPr>
              <w:t>SMOTE</w:t>
            </w:r>
          </w:p>
        </w:tc>
        <w:tc>
          <w:tcPr>
            <w:tcW w:type="dxa" w:w="1814"/>
          </w:tcPr>
          <w:p>
            <w:pPr>
              <w:spacing w:line="240" w:lineRule="auto"/>
            </w:pPr>
            <w:r>
              <w:rPr>
                <w:rFonts w:ascii="Times New Roman" w:hAnsi="Times New Roman" w:eastAsia="宋体"/>
                <w:b/>
                <w:sz w:val="21"/>
              </w:rPr>
              <w:t>类别权重</w:t>
            </w:r>
          </w:p>
        </w:tc>
        <w:tc>
          <w:tcPr>
            <w:tcW w:type="dxa" w:w="1814"/>
          </w:tcPr>
          <w:p>
            <w:pPr>
              <w:spacing w:line="240" w:lineRule="auto"/>
            </w:pPr>
            <w:r>
              <w:rPr>
                <w:rFonts w:ascii="Times New Roman" w:hAnsi="Times New Roman" w:eastAsia="宋体"/>
                <w:b/>
                <w:sz w:val="21"/>
              </w:rPr>
              <w:t>无处理</w:t>
            </w:r>
          </w:p>
        </w:tc>
      </w:tr>
      <w:tr>
        <w:tc>
          <w:tcPr>
            <w:tcW w:type="dxa" w:w="1814"/>
          </w:tcPr>
          <w:p>
            <w:pPr>
              <w:spacing w:line="240" w:lineRule="auto"/>
            </w:pPr>
            <w:r>
              <w:rPr>
                <w:rFonts w:ascii="Times New Roman" w:hAnsi="Times New Roman" w:eastAsia="宋体"/>
                <w:b w:val="0"/>
                <w:sz w:val="21"/>
              </w:rPr>
              <w:t>LR</w:t>
            </w:r>
          </w:p>
        </w:tc>
        <w:tc>
          <w:tcPr>
            <w:tcW w:type="dxa" w:w="1814"/>
          </w:tcPr>
          <w:p>
            <w:pPr>
              <w:spacing w:line="240" w:lineRule="auto"/>
            </w:pPr>
            <w:r>
              <w:rPr>
                <w:rFonts w:ascii="Times New Roman" w:hAnsi="Times New Roman" w:eastAsia="宋体"/>
                <w:b w:val="0"/>
                <w:sz w:val="21"/>
              </w:rPr>
              <w:t>0.3579 ± 0.0003</w:t>
            </w:r>
          </w:p>
        </w:tc>
        <w:tc>
          <w:tcPr>
            <w:tcW w:type="dxa" w:w="1814"/>
          </w:tcPr>
          <w:p>
            <w:pPr>
              <w:spacing w:line="240" w:lineRule="auto"/>
            </w:pPr>
            <w:r>
              <w:rPr>
                <w:rFonts w:ascii="Times New Roman" w:hAnsi="Times New Roman" w:eastAsia="宋体"/>
                <w:b/>
                <w:sz w:val="21"/>
              </w:rPr>
              <w:t>0.3672 ± 0.0007</w:t>
            </w:r>
          </w:p>
        </w:tc>
        <w:tc>
          <w:tcPr>
            <w:tcW w:type="dxa" w:w="1814"/>
          </w:tcPr>
          <w:p>
            <w:pPr>
              <w:spacing w:line="240" w:lineRule="auto"/>
            </w:pPr>
            <w:r>
              <w:rPr>
                <w:rFonts w:ascii="Times New Roman" w:hAnsi="Times New Roman" w:eastAsia="宋体"/>
                <w:b w:val="0"/>
                <w:sz w:val="21"/>
              </w:rPr>
              <w:t>0.3543 ± 0.0000</w:t>
            </w:r>
          </w:p>
        </w:tc>
        <w:tc>
          <w:tcPr>
            <w:tcW w:type="dxa" w:w="1814"/>
          </w:tcPr>
          <w:p>
            <w:pPr>
              <w:spacing w:line="240" w:lineRule="auto"/>
            </w:pPr>
            <w:r>
              <w:rPr>
                <w:rFonts w:ascii="Times New Roman" w:hAnsi="Times New Roman" w:eastAsia="宋体"/>
                <w:b w:val="0"/>
                <w:sz w:val="21"/>
              </w:rPr>
              <w:t>0.3389 ± 0.0000</w:t>
            </w:r>
          </w:p>
        </w:tc>
      </w:tr>
      <w:tr>
        <w:tc>
          <w:tcPr>
            <w:tcW w:type="dxa" w:w="1814"/>
          </w:tcPr>
          <w:p>
            <w:pPr>
              <w:spacing w:line="240" w:lineRule="auto"/>
            </w:pPr>
            <w:r>
              <w:rPr>
                <w:rFonts w:ascii="Times New Roman" w:hAnsi="Times New Roman" w:eastAsia="宋体"/>
                <w:b w:val="0"/>
                <w:sz w:val="21"/>
              </w:rPr>
              <w:t>MLP</w:t>
            </w:r>
          </w:p>
        </w:tc>
        <w:tc>
          <w:tcPr>
            <w:tcW w:type="dxa" w:w="1814"/>
          </w:tcPr>
          <w:p>
            <w:pPr>
              <w:spacing w:line="240" w:lineRule="auto"/>
            </w:pPr>
            <w:r>
              <w:rPr>
                <w:rFonts w:ascii="Times New Roman" w:hAnsi="Times New Roman" w:eastAsia="宋体"/>
                <w:b/>
                <w:sz w:val="21"/>
              </w:rPr>
              <w:t>0.4313 ± 0.0037</w:t>
            </w:r>
          </w:p>
        </w:tc>
        <w:tc>
          <w:tcPr>
            <w:tcW w:type="dxa" w:w="1814"/>
          </w:tcPr>
          <w:p>
            <w:pPr>
              <w:spacing w:line="240" w:lineRule="auto"/>
            </w:pPr>
            <w:r>
              <w:rPr>
                <w:rFonts w:ascii="Times New Roman" w:hAnsi="Times New Roman" w:eastAsia="宋体"/>
                <w:b w:val="0"/>
                <w:sz w:val="21"/>
              </w:rPr>
              <w:t>0.4192 ± 0.0014</w:t>
            </w:r>
          </w:p>
        </w:tc>
        <w:tc>
          <w:tcPr>
            <w:tcW w:type="dxa" w:w="1814"/>
          </w:tcPr>
          <w:p>
            <w:pPr>
              <w:spacing w:line="240" w:lineRule="auto"/>
            </w:pPr>
            <w:r>
              <w:rPr>
                <w:rFonts w:ascii="Times New Roman" w:hAnsi="Times New Roman" w:eastAsia="宋体"/>
                <w:b w:val="0"/>
                <w:sz w:val="21"/>
              </w:rPr>
              <w:t>0.4051 ± 0.0170</w:t>
            </w:r>
          </w:p>
        </w:tc>
        <w:tc>
          <w:tcPr>
            <w:tcW w:type="dxa" w:w="1814"/>
          </w:tcPr>
          <w:p>
            <w:pPr>
              <w:spacing w:line="240" w:lineRule="auto"/>
            </w:pPr>
            <w:r>
              <w:rPr>
                <w:rFonts w:ascii="Times New Roman" w:hAnsi="Times New Roman" w:eastAsia="宋体"/>
                <w:b w:val="0"/>
                <w:sz w:val="21"/>
              </w:rPr>
              <w:t>0.4244 ± 0.0072</w:t>
            </w:r>
          </w:p>
        </w:tc>
      </w:tr>
      <w:tr>
        <w:tc>
          <w:tcPr>
            <w:tcW w:type="dxa" w:w="1814"/>
          </w:tcPr>
          <w:p>
            <w:pPr>
              <w:spacing w:line="240" w:lineRule="auto"/>
            </w:pPr>
            <w:r>
              <w:rPr>
                <w:rFonts w:ascii="Times New Roman" w:hAnsi="Times New Roman" w:eastAsia="宋体"/>
                <w:b w:val="0"/>
                <w:sz w:val="21"/>
              </w:rPr>
              <w:t>XGBoost</w:t>
            </w:r>
          </w:p>
        </w:tc>
        <w:tc>
          <w:tcPr>
            <w:tcW w:type="dxa" w:w="1814"/>
          </w:tcPr>
          <w:p>
            <w:pPr>
              <w:spacing w:line="240" w:lineRule="auto"/>
            </w:pPr>
            <w:r>
              <w:rPr>
                <w:rFonts w:ascii="Times New Roman" w:hAnsi="Times New Roman" w:eastAsia="宋体"/>
                <w:b w:val="0"/>
                <w:sz w:val="21"/>
              </w:rPr>
              <w:t>0.5107 ± 0.0034</w:t>
            </w:r>
          </w:p>
        </w:tc>
        <w:tc>
          <w:tcPr>
            <w:tcW w:type="dxa" w:w="1814"/>
          </w:tcPr>
          <w:p>
            <w:pPr>
              <w:spacing w:line="240" w:lineRule="auto"/>
            </w:pPr>
            <w:r>
              <w:rPr>
                <w:rFonts w:ascii="Times New Roman" w:hAnsi="Times New Roman" w:eastAsia="宋体"/>
                <w:b w:val="0"/>
                <w:sz w:val="21"/>
              </w:rPr>
              <w:t>0.5041 ± 0.0014</w:t>
            </w:r>
          </w:p>
        </w:tc>
        <w:tc>
          <w:tcPr>
            <w:tcW w:type="dxa" w:w="1814"/>
          </w:tcPr>
          <w:p>
            <w:pPr>
              <w:spacing w:line="240" w:lineRule="auto"/>
            </w:pPr>
            <w:r>
              <w:rPr>
                <w:rFonts w:ascii="Times New Roman" w:hAnsi="Times New Roman" w:eastAsia="宋体"/>
                <w:b/>
                <w:sz w:val="21"/>
              </w:rPr>
              <w:t>0.5123 ± 0.0000</w:t>
            </w:r>
          </w:p>
        </w:tc>
        <w:tc>
          <w:tcPr>
            <w:tcW w:type="dxa" w:w="1814"/>
          </w:tcPr>
          <w:p>
            <w:pPr>
              <w:spacing w:line="240" w:lineRule="auto"/>
            </w:pPr>
            <w:r>
              <w:rPr>
                <w:rFonts w:ascii="Times New Roman" w:hAnsi="Times New Roman" w:eastAsia="宋体"/>
                <w:b w:val="0"/>
                <w:sz w:val="21"/>
              </w:rPr>
              <w:t>0.5097 ± 0.0000</w:t>
            </w:r>
          </w:p>
        </w:tc>
      </w:tr>
    </w:tbl>
    <w:p>
      <w:pPr>
        <w:spacing w:line="360" w:lineRule="auto" w:before="0" w:after="0"/>
      </w:pPr>
    </w:p>
    <w:p>
      <w:pPr>
        <w:spacing w:line="360" w:lineRule="auto" w:before="0" w:after="0"/>
        <w:ind w:firstLine="480"/>
      </w:pPr>
      <w:r>
        <w:rPr>
          <w:rFonts w:ascii="Times New Roman" w:hAnsi="Times New Roman" w:eastAsia="宋体"/>
          <w:b w:val="0"/>
          <w:sz w:val="24"/>
        </w:rPr>
        <w:t>Macro-F1 口径下，三种模型的最优方法各不相同：LR 最优为 SMOTE（0.3672），MLP 最优为ROS（0.4313），XGBoost 最优为类别权重（0.5123）。XGBoost 各格整体高于 LR 与 MLP 约一个量级（0.50–0.51 对 0.34–0.43），说明模型容量对本任务的影响大于不平衡处理方法的选择。值得注意的是，"哪种不平衡处理方法最优"没有跨模型的一致答案——这一观察在第 5.2 节以排序一致性检验正式化。</w:t>
      </w:r>
    </w:p>
    <w:p>
      <w:pPr>
        <w:spacing w:line="360" w:lineRule="auto" w:before="0" w:after="0"/>
        <w:ind w:firstLine="480"/>
      </w:pPr>
      <w:r>
        <w:rPr>
          <w:rFonts w:ascii="Times New Roman" w:hAnsi="Times New Roman" w:eastAsia="宋体"/>
          <w:b w:val="0"/>
          <w:sz w:val="24"/>
        </w:rPr>
        <w:t>Balanced Accuracy 口径下结论发生变化（表 5-2）。</w:t>
      </w:r>
    </w:p>
    <w:p>
      <w:pPr>
        <w:spacing w:line="360" w:lineRule="auto" w:before="0" w:after="0"/>
        <w:jc w:val="center"/>
      </w:pPr>
      <w:r>
        <w:rPr>
          <w:rFonts w:ascii="Times New Roman" w:hAnsi="Times New Roman" w:eastAsia="宋体"/>
          <w:b/>
          <w:sz w:val="24"/>
        </w:rPr>
        <w:t>表 5-2 测试集 Balanced Accuracy（3 种子均值±标准差）</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spacing w:line="240" w:lineRule="auto"/>
            </w:pPr>
            <w:r>
              <w:rPr>
                <w:rFonts w:ascii="Times New Roman" w:hAnsi="Times New Roman" w:eastAsia="宋体"/>
                <w:b/>
                <w:sz w:val="21"/>
              </w:rPr>
              <w:t>模型</w:t>
            </w:r>
          </w:p>
        </w:tc>
        <w:tc>
          <w:tcPr>
            <w:tcW w:type="dxa" w:w="1814"/>
          </w:tcPr>
          <w:p>
            <w:pPr>
              <w:spacing w:line="240" w:lineRule="auto"/>
            </w:pPr>
            <w:r>
              <w:rPr>
                <w:rFonts w:ascii="Times New Roman" w:hAnsi="Times New Roman" w:eastAsia="宋体"/>
                <w:b/>
                <w:sz w:val="21"/>
              </w:rPr>
              <w:t>ROS</w:t>
            </w:r>
          </w:p>
        </w:tc>
        <w:tc>
          <w:tcPr>
            <w:tcW w:type="dxa" w:w="1814"/>
          </w:tcPr>
          <w:p>
            <w:pPr>
              <w:spacing w:line="240" w:lineRule="auto"/>
            </w:pPr>
            <w:r>
              <w:rPr>
                <w:rFonts w:ascii="Times New Roman" w:hAnsi="Times New Roman" w:eastAsia="宋体"/>
                <w:b/>
                <w:sz w:val="21"/>
              </w:rPr>
              <w:t>SMOTE</w:t>
            </w:r>
          </w:p>
        </w:tc>
        <w:tc>
          <w:tcPr>
            <w:tcW w:type="dxa" w:w="1814"/>
          </w:tcPr>
          <w:p>
            <w:pPr>
              <w:spacing w:line="240" w:lineRule="auto"/>
            </w:pPr>
            <w:r>
              <w:rPr>
                <w:rFonts w:ascii="Times New Roman" w:hAnsi="Times New Roman" w:eastAsia="宋体"/>
                <w:b/>
                <w:sz w:val="21"/>
              </w:rPr>
              <w:t>类别权重</w:t>
            </w:r>
          </w:p>
        </w:tc>
        <w:tc>
          <w:tcPr>
            <w:tcW w:type="dxa" w:w="1814"/>
          </w:tcPr>
          <w:p>
            <w:pPr>
              <w:spacing w:line="240" w:lineRule="auto"/>
            </w:pPr>
            <w:r>
              <w:rPr>
                <w:rFonts w:ascii="Times New Roman" w:hAnsi="Times New Roman" w:eastAsia="宋体"/>
                <w:b/>
                <w:sz w:val="21"/>
              </w:rPr>
              <w:t>无处理</w:t>
            </w:r>
          </w:p>
        </w:tc>
      </w:tr>
      <w:tr>
        <w:tc>
          <w:tcPr>
            <w:tcW w:type="dxa" w:w="1814"/>
          </w:tcPr>
          <w:p>
            <w:pPr>
              <w:spacing w:line="240" w:lineRule="auto"/>
            </w:pPr>
            <w:r>
              <w:rPr>
                <w:rFonts w:ascii="Times New Roman" w:hAnsi="Times New Roman" w:eastAsia="宋体"/>
                <w:b w:val="0"/>
                <w:sz w:val="21"/>
              </w:rPr>
              <w:t>LR</w:t>
            </w:r>
          </w:p>
        </w:tc>
        <w:tc>
          <w:tcPr>
            <w:tcW w:type="dxa" w:w="1814"/>
          </w:tcPr>
          <w:p>
            <w:pPr>
              <w:spacing w:line="240" w:lineRule="auto"/>
            </w:pPr>
            <w:r>
              <w:rPr>
                <w:rFonts w:ascii="Times New Roman" w:hAnsi="Times New Roman" w:eastAsia="宋体"/>
                <w:b w:val="0"/>
                <w:sz w:val="21"/>
              </w:rPr>
              <w:t>0.5557 ± 0.0012</w:t>
            </w:r>
          </w:p>
        </w:tc>
        <w:tc>
          <w:tcPr>
            <w:tcW w:type="dxa" w:w="1814"/>
          </w:tcPr>
          <w:p>
            <w:pPr>
              <w:spacing w:line="240" w:lineRule="auto"/>
            </w:pPr>
            <w:r>
              <w:rPr>
                <w:rFonts w:ascii="Times New Roman" w:hAnsi="Times New Roman" w:eastAsia="宋体"/>
                <w:b/>
                <w:sz w:val="21"/>
              </w:rPr>
              <w:t>0.5637 ± 0.0014</w:t>
            </w:r>
          </w:p>
        </w:tc>
        <w:tc>
          <w:tcPr>
            <w:tcW w:type="dxa" w:w="1814"/>
          </w:tcPr>
          <w:p>
            <w:pPr>
              <w:spacing w:line="240" w:lineRule="auto"/>
            </w:pPr>
            <w:r>
              <w:rPr>
                <w:rFonts w:ascii="Times New Roman" w:hAnsi="Times New Roman" w:eastAsia="宋体"/>
                <w:b w:val="0"/>
                <w:sz w:val="21"/>
              </w:rPr>
              <w:t>0.5534 ± 0.0000</w:t>
            </w:r>
          </w:p>
        </w:tc>
        <w:tc>
          <w:tcPr>
            <w:tcW w:type="dxa" w:w="1814"/>
          </w:tcPr>
          <w:p>
            <w:pPr>
              <w:spacing w:line="240" w:lineRule="auto"/>
            </w:pPr>
            <w:r>
              <w:rPr>
                <w:rFonts w:ascii="Times New Roman" w:hAnsi="Times New Roman" w:eastAsia="宋体"/>
                <w:b w:val="0"/>
                <w:sz w:val="21"/>
              </w:rPr>
              <w:t>0.3847 ± 0.0000</w:t>
            </w:r>
          </w:p>
        </w:tc>
      </w:tr>
      <w:tr>
        <w:tc>
          <w:tcPr>
            <w:tcW w:type="dxa" w:w="1814"/>
          </w:tcPr>
          <w:p>
            <w:pPr>
              <w:spacing w:line="240" w:lineRule="auto"/>
            </w:pPr>
            <w:r>
              <w:rPr>
                <w:rFonts w:ascii="Times New Roman" w:hAnsi="Times New Roman" w:eastAsia="宋体"/>
                <w:b w:val="0"/>
                <w:sz w:val="21"/>
              </w:rPr>
              <w:t>MLP</w:t>
            </w:r>
          </w:p>
        </w:tc>
        <w:tc>
          <w:tcPr>
            <w:tcW w:type="dxa" w:w="1814"/>
          </w:tcPr>
          <w:p>
            <w:pPr>
              <w:spacing w:line="240" w:lineRule="auto"/>
            </w:pPr>
            <w:r>
              <w:rPr>
                <w:rFonts w:ascii="Times New Roman" w:hAnsi="Times New Roman" w:eastAsia="宋体"/>
                <w:b w:val="0"/>
                <w:sz w:val="21"/>
              </w:rPr>
              <w:t>0.5966 ± 0.0065</w:t>
            </w:r>
          </w:p>
        </w:tc>
        <w:tc>
          <w:tcPr>
            <w:tcW w:type="dxa" w:w="1814"/>
          </w:tcPr>
          <w:p>
            <w:pPr>
              <w:spacing w:line="240" w:lineRule="auto"/>
            </w:pPr>
            <w:r>
              <w:rPr>
                <w:rFonts w:ascii="Times New Roman" w:hAnsi="Times New Roman" w:eastAsia="宋体"/>
                <w:b w:val="0"/>
                <w:sz w:val="21"/>
              </w:rPr>
              <w:t>0.5732 ± 0.0168</w:t>
            </w:r>
          </w:p>
        </w:tc>
        <w:tc>
          <w:tcPr>
            <w:tcW w:type="dxa" w:w="1814"/>
          </w:tcPr>
          <w:p>
            <w:pPr>
              <w:spacing w:line="240" w:lineRule="auto"/>
            </w:pPr>
            <w:r>
              <w:rPr>
                <w:rFonts w:ascii="Times New Roman" w:hAnsi="Times New Roman" w:eastAsia="宋体"/>
                <w:b/>
                <w:sz w:val="21"/>
              </w:rPr>
              <w:t>0.6089 ± 0.0099</w:t>
            </w:r>
          </w:p>
        </w:tc>
        <w:tc>
          <w:tcPr>
            <w:tcW w:type="dxa" w:w="1814"/>
          </w:tcPr>
          <w:p>
            <w:pPr>
              <w:spacing w:line="240" w:lineRule="auto"/>
            </w:pPr>
            <w:r>
              <w:rPr>
                <w:rFonts w:ascii="Times New Roman" w:hAnsi="Times New Roman" w:eastAsia="宋体"/>
                <w:b w:val="0"/>
                <w:sz w:val="21"/>
              </w:rPr>
              <w:t>0.4459 ± 0.0079</w:t>
            </w:r>
          </w:p>
        </w:tc>
      </w:tr>
      <w:tr>
        <w:tc>
          <w:tcPr>
            <w:tcW w:type="dxa" w:w="1814"/>
          </w:tcPr>
          <w:p>
            <w:pPr>
              <w:spacing w:line="240" w:lineRule="auto"/>
            </w:pPr>
            <w:r>
              <w:rPr>
                <w:rFonts w:ascii="Times New Roman" w:hAnsi="Times New Roman" w:eastAsia="宋体"/>
                <w:b w:val="0"/>
                <w:sz w:val="21"/>
              </w:rPr>
              <w:t>XGBoost</w:t>
            </w:r>
          </w:p>
        </w:tc>
        <w:tc>
          <w:tcPr>
            <w:tcW w:type="dxa" w:w="1814"/>
          </w:tcPr>
          <w:p>
            <w:pPr>
              <w:spacing w:line="240" w:lineRule="auto"/>
            </w:pPr>
            <w:r>
              <w:rPr>
                <w:rFonts w:ascii="Times New Roman" w:hAnsi="Times New Roman" w:eastAsia="宋体"/>
                <w:b w:val="0"/>
                <w:sz w:val="21"/>
              </w:rPr>
              <w:t>0.6457 ± 0.0036</w:t>
            </w:r>
          </w:p>
        </w:tc>
        <w:tc>
          <w:tcPr>
            <w:tcW w:type="dxa" w:w="1814"/>
          </w:tcPr>
          <w:p>
            <w:pPr>
              <w:spacing w:line="240" w:lineRule="auto"/>
            </w:pPr>
            <w:r>
              <w:rPr>
                <w:rFonts w:ascii="Times New Roman" w:hAnsi="Times New Roman" w:eastAsia="宋体"/>
                <w:b w:val="0"/>
                <w:sz w:val="21"/>
              </w:rPr>
              <w:t>0.6035 ± 0.0057</w:t>
            </w:r>
          </w:p>
        </w:tc>
        <w:tc>
          <w:tcPr>
            <w:tcW w:type="dxa" w:w="1814"/>
          </w:tcPr>
          <w:p>
            <w:pPr>
              <w:spacing w:line="240" w:lineRule="auto"/>
            </w:pPr>
            <w:r>
              <w:rPr>
                <w:rFonts w:ascii="Times New Roman" w:hAnsi="Times New Roman" w:eastAsia="宋体"/>
                <w:b/>
                <w:sz w:val="21"/>
              </w:rPr>
              <w:t>0.6549 ± 0.0000</w:t>
            </w:r>
          </w:p>
        </w:tc>
        <w:tc>
          <w:tcPr>
            <w:tcW w:type="dxa" w:w="1814"/>
          </w:tcPr>
          <w:p>
            <w:pPr>
              <w:spacing w:line="240" w:lineRule="auto"/>
            </w:pPr>
            <w:r>
              <w:rPr>
                <w:rFonts w:ascii="Times New Roman" w:hAnsi="Times New Roman" w:eastAsia="宋体"/>
                <w:b w:val="0"/>
                <w:sz w:val="21"/>
              </w:rPr>
              <w:t>0.5497 ± 0.0000</w:t>
            </w:r>
          </w:p>
        </w:tc>
      </w:tr>
    </w:tbl>
    <w:p>
      <w:pPr>
        <w:spacing w:line="360" w:lineRule="auto" w:before="0" w:after="0"/>
      </w:pPr>
    </w:p>
    <w:p>
      <w:pPr>
        <w:spacing w:line="360" w:lineRule="auto" w:before="0" w:after="0"/>
        <w:ind w:firstLine="480"/>
      </w:pPr>
      <w:r>
        <w:rPr>
          <w:rFonts w:ascii="Times New Roman" w:hAnsi="Times New Roman" w:eastAsia="宋体"/>
          <w:b w:val="0"/>
          <w:sz w:val="24"/>
        </w:rPr>
        <w:t>Balanced Accuracy 衡量各类别 Recall 的宏平均，对少数类更敏感。该口径下 XGBoost 与 MLP均为类别权重最优（0.6549 与 0.6089），但 LR 仍是 SMOTE 最优（0.5637，类别权重仅0.5534）。两种主指标给出不同的方法排序，这本身就是方法结论依赖指标口径的直接证据；因此本文后续所有方法比较均按"模型 × 指标口径"分别陈述，不给出跨口径的单一排序。</w:t>
      </w:r>
    </w:p>
    <w:p>
      <w:pPr>
        <w:spacing w:line="360" w:lineRule="auto" w:before="0" w:after="0"/>
        <w:ind w:firstLine="480"/>
      </w:pPr>
      <w:r>
        <w:rPr>
          <w:rFonts w:ascii="Times New Roman" w:hAnsi="Times New Roman" w:eastAsia="宋体"/>
          <w:b w:val="0"/>
          <w:sz w:val="24"/>
        </w:rPr>
        <w:t>需要披露的确定性事实：LR 与 XGBoost 在 none 与类别权重两种配置下算法过程不含随机性，3 个种子的结果完全相同（标准差为 0）。标准差为 0 表示该配置在固定数据划分下可精确复现，而非跨划分稳健；针对这一点的切分方差补测见第 5.7 节。</w:t>
      </w:r>
    </w:p>
    <w:p>
      <w:pPr>
        <w:spacing w:line="360" w:lineRule="auto" w:before="200" w:after="80"/>
      </w:pPr>
      <w:r>
        <w:rPr>
          <w:rFonts w:ascii="Times New Roman" w:hAnsi="Times New Roman" w:eastAsia="楷体_GB2312"/>
          <w:b w:val="0"/>
          <w:sz w:val="24"/>
        </w:rPr>
        <w:t>5.2 方法排序稳定性</w:t>
      </w:r>
    </w:p>
    <w:p>
      <w:pPr>
        <w:spacing w:line="360" w:lineRule="auto" w:before="0" w:after="0"/>
        <w:ind w:firstLine="480"/>
      </w:pPr>
      <w:r>
        <w:rPr>
          <w:rFonts w:ascii="Times New Roman" w:hAnsi="Times New Roman" w:eastAsia="宋体"/>
          <w:b w:val="0"/>
          <w:sz w:val="24"/>
        </w:rPr>
        <w:t>本节的预注册检验以 Kendall τ 统计量考察"4 种方法的排序"在三种分割维度上的一致性（模型间、指标口径间、选型分割间；n=4 的描述性检验，无 p 值宣称，τ 须与完整排序表共同阅读，见 。</w:t>
      </w:r>
    </w:p>
    <w:p>
      <w:pPr>
        <w:spacing w:line="360" w:lineRule="auto" w:before="0" w:after="0"/>
        <w:ind w:firstLine="480"/>
      </w:pPr>
      <w:r>
        <w:rPr>
          <w:rFonts w:ascii="Times New Roman" w:hAnsi="Times New Roman" w:eastAsia="宋体"/>
          <w:b w:val="0"/>
          <w:sz w:val="24"/>
        </w:rPr>
        <w:t>三组平均 τ 分别为 0.111（选型分割间）、0.278（指标口径间）、0.111（模型间），均低于预注册的 2/3 稳定线。但逐模型分解显示结果高度异质：选型分割间（验证集口径 vs 测试集口径）LR 的 τ = +1.0（排序完全一致），XGBoost 的 τ = −1.0（排序完全反转：验证集口径下SMOTE 最优，测试集口径下类别权重最优），MLP 的 τ = +0.333（部分一致）。因此恰当的结论不是"方法排序普遍不稳定"，而是</w:t>
      </w:r>
      <w:r>
        <w:rPr>
          <w:rFonts w:ascii="Times New Roman" w:hAnsi="Times New Roman" w:eastAsia="宋体"/>
          <w:b/>
          <w:sz w:val="24"/>
        </w:rPr>
        <w:t>排序稳定性高度依赖具体模型</w:t>
      </w:r>
      <w:r>
        <w:rPr>
          <w:rFonts w:ascii="Times New Roman" w:hAnsi="Times New Roman" w:eastAsia="宋体"/>
          <w:b w:val="0"/>
          <w:sz w:val="24"/>
        </w:rPr>
        <w:t>：确定性越强、对划分越敏感的模型，其方法排序越容易随评估口径翻转。</w:t>
      </w:r>
    </w:p>
    <w:p>
      <w:pPr>
        <w:spacing w:line="360" w:lineRule="auto" w:before="0" w:after="0"/>
        <w:ind w:firstLine="480"/>
      </w:pPr>
      <w:r>
        <w:rPr>
          <w:rFonts w:ascii="Times New Roman" w:hAnsi="Times New Roman" w:eastAsia="宋体"/>
          <w:b w:val="0"/>
          <w:sz w:val="24"/>
        </w:rPr>
        <w:t>这一结果对第 2 节所述"已有比较研究常给出单一最优方法"的表述方式构成直接警示：在不平衡学习比较中，脱离模型与口径谈论方法优劣是不可靠的。</w:t>
      </w:r>
    </w:p>
    <w:p>
      <w:pPr>
        <w:spacing w:line="360" w:lineRule="auto" w:before="200" w:after="80"/>
      </w:pPr>
      <w:r>
        <w:rPr>
          <w:rFonts w:ascii="Times New Roman" w:hAnsi="Times New Roman" w:eastAsia="楷体_GB2312"/>
          <w:b w:val="0"/>
          <w:sz w:val="24"/>
        </w:rPr>
        <w:t>5.3 每类 Recall 分析</w:t>
      </w:r>
    </w:p>
    <w:p>
      <w:pPr>
        <w:spacing w:line="360" w:lineRule="auto" w:before="0" w:after="0"/>
        <w:ind w:firstLine="480"/>
      </w:pPr>
      <w:r>
        <w:rPr>
          <w:rFonts w:ascii="Times New Roman" w:hAnsi="Times New Roman" w:eastAsia="宋体"/>
          <w:b w:val="0"/>
          <w:sz w:val="24"/>
        </w:rPr>
        <w:t>表 5-3 给出全部 10 个攻击类别的 Recall（3 种子均值）。漏检格局是"类别 × 方法"的强交互：</w:t>
      </w:r>
    </w:p>
    <w:p>
      <w:pPr>
        <w:spacing w:line="360" w:lineRule="auto" w:before="0" w:after="0"/>
        <w:jc w:val="center"/>
      </w:pPr>
      <w:r>
        <w:rPr>
          <w:rFonts w:ascii="Times New Roman" w:hAnsi="Times New Roman" w:eastAsia="宋体"/>
          <w:b/>
          <w:sz w:val="24"/>
        </w:rPr>
        <w:t>表 5-3 每类 Recall（3 种子均值，节选关键列）</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Pr>
          <w:p>
            <w:pPr>
              <w:spacing w:line="240" w:lineRule="auto"/>
            </w:pPr>
            <w:r>
              <w:rPr>
                <w:rFonts w:ascii="Times New Roman" w:hAnsi="Times New Roman" w:eastAsia="宋体"/>
                <w:b/>
                <w:sz w:val="21"/>
              </w:rPr>
              <w:t>模型</w:t>
            </w:r>
          </w:p>
        </w:tc>
        <w:tc>
          <w:tcPr>
            <w:tcW w:type="dxa" w:w="1296"/>
          </w:tcPr>
          <w:p>
            <w:pPr>
              <w:spacing w:line="240" w:lineRule="auto"/>
            </w:pPr>
            <w:r>
              <w:rPr>
                <w:rFonts w:ascii="Times New Roman" w:hAnsi="Times New Roman" w:eastAsia="宋体"/>
                <w:b/>
                <w:sz w:val="21"/>
              </w:rPr>
              <w:t>方法</w:t>
            </w:r>
          </w:p>
        </w:tc>
        <w:tc>
          <w:tcPr>
            <w:tcW w:type="dxa" w:w="1296"/>
          </w:tcPr>
          <w:p>
            <w:pPr>
              <w:spacing w:line="240" w:lineRule="auto"/>
            </w:pPr>
            <w:r>
              <w:rPr>
                <w:rFonts w:ascii="Times New Roman" w:hAnsi="Times New Roman" w:eastAsia="宋体"/>
                <w:b/>
                <w:sz w:val="21"/>
              </w:rPr>
              <w:t>Analysis</w:t>
            </w:r>
          </w:p>
        </w:tc>
        <w:tc>
          <w:tcPr>
            <w:tcW w:type="dxa" w:w="1296"/>
          </w:tcPr>
          <w:p>
            <w:pPr>
              <w:spacing w:line="240" w:lineRule="auto"/>
            </w:pPr>
            <w:r>
              <w:rPr>
                <w:rFonts w:ascii="Times New Roman" w:hAnsi="Times New Roman" w:eastAsia="宋体"/>
                <w:b/>
                <w:sz w:val="21"/>
              </w:rPr>
              <w:t>Backdoor</w:t>
            </w:r>
          </w:p>
        </w:tc>
        <w:tc>
          <w:tcPr>
            <w:tcW w:type="dxa" w:w="1296"/>
          </w:tcPr>
          <w:p>
            <w:pPr>
              <w:spacing w:line="240" w:lineRule="auto"/>
            </w:pPr>
            <w:r>
              <w:rPr>
                <w:rFonts w:ascii="Times New Roman" w:hAnsi="Times New Roman" w:eastAsia="宋体"/>
                <w:b/>
                <w:sz w:val="21"/>
              </w:rPr>
              <w:t>DoS</w:t>
            </w:r>
          </w:p>
        </w:tc>
        <w:tc>
          <w:tcPr>
            <w:tcW w:type="dxa" w:w="1296"/>
          </w:tcPr>
          <w:p>
            <w:pPr>
              <w:spacing w:line="240" w:lineRule="auto"/>
            </w:pPr>
            <w:r>
              <w:rPr>
                <w:rFonts w:ascii="Times New Roman" w:hAnsi="Times New Roman" w:eastAsia="宋体"/>
                <w:b/>
                <w:sz w:val="21"/>
              </w:rPr>
              <w:t>Shellcode</w:t>
            </w:r>
          </w:p>
        </w:tc>
        <w:tc>
          <w:tcPr>
            <w:tcW w:type="dxa" w:w="1296"/>
          </w:tcPr>
          <w:p>
            <w:pPr>
              <w:spacing w:line="240" w:lineRule="auto"/>
            </w:pPr>
            <w:r>
              <w:rPr>
                <w:rFonts w:ascii="Times New Roman" w:hAnsi="Times New Roman" w:eastAsia="宋体"/>
                <w:b/>
                <w:sz w:val="21"/>
              </w:rPr>
              <w:t>Worms</w:t>
            </w:r>
          </w:p>
        </w:tc>
      </w:tr>
      <w:tr>
        <w:tc>
          <w:tcPr>
            <w:tcW w:type="dxa" w:w="1296"/>
          </w:tcPr>
          <w:p>
            <w:pPr>
              <w:spacing w:line="240" w:lineRule="auto"/>
            </w:pPr>
            <w:r>
              <w:rPr>
                <w:rFonts w:ascii="Times New Roman" w:hAnsi="Times New Roman" w:eastAsia="宋体"/>
                <w:b w:val="0"/>
                <w:sz w:val="21"/>
              </w:rPr>
              <w:t>LR</w:t>
            </w:r>
          </w:p>
        </w:tc>
        <w:tc>
          <w:tcPr>
            <w:tcW w:type="dxa" w:w="1296"/>
          </w:tcPr>
          <w:p>
            <w:pPr>
              <w:spacing w:line="240" w:lineRule="auto"/>
            </w:pPr>
            <w:r>
              <w:rPr>
                <w:rFonts w:ascii="Times New Roman" w:hAnsi="Times New Roman" w:eastAsia="宋体"/>
                <w:b w:val="0"/>
                <w:sz w:val="21"/>
              </w:rPr>
              <w:t>none</w:t>
            </w:r>
          </w:p>
        </w:tc>
        <w:tc>
          <w:tcPr>
            <w:tcW w:type="dxa" w:w="1296"/>
          </w:tcPr>
          <w:p>
            <w:pPr>
              <w:spacing w:line="240" w:lineRule="auto"/>
            </w:pPr>
            <w:r>
              <w:rPr>
                <w:rFonts w:ascii="Times New Roman" w:hAnsi="Times New Roman" w:eastAsia="宋体"/>
                <w:b w:val="0"/>
                <w:sz w:val="21"/>
              </w:rPr>
              <w:t>0.013</w:t>
            </w:r>
          </w:p>
        </w:tc>
        <w:tc>
          <w:tcPr>
            <w:tcW w:type="dxa" w:w="1296"/>
          </w:tcPr>
          <w:p>
            <w:pPr>
              <w:spacing w:line="240" w:lineRule="auto"/>
            </w:pPr>
            <w:r>
              <w:rPr>
                <w:rFonts w:ascii="Times New Roman" w:hAnsi="Times New Roman" w:eastAsia="宋体"/>
                <w:b w:val="0"/>
                <w:sz w:val="21"/>
              </w:rPr>
              <w:t>0.000</w:t>
            </w:r>
          </w:p>
        </w:tc>
        <w:tc>
          <w:tcPr>
            <w:tcW w:type="dxa" w:w="1296"/>
          </w:tcPr>
          <w:p>
            <w:pPr>
              <w:spacing w:line="240" w:lineRule="auto"/>
            </w:pPr>
            <w:r>
              <w:rPr>
                <w:rFonts w:ascii="Times New Roman" w:hAnsi="Times New Roman" w:eastAsia="宋体"/>
                <w:b w:val="0"/>
                <w:sz w:val="21"/>
              </w:rPr>
              <w:t>0.027</w:t>
            </w:r>
          </w:p>
        </w:tc>
        <w:tc>
          <w:tcPr>
            <w:tcW w:type="dxa" w:w="1296"/>
          </w:tcPr>
          <w:p>
            <w:pPr>
              <w:spacing w:line="240" w:lineRule="auto"/>
            </w:pPr>
            <w:r>
              <w:rPr>
                <w:rFonts w:ascii="Times New Roman" w:hAnsi="Times New Roman" w:eastAsia="宋体"/>
                <w:b w:val="0"/>
                <w:sz w:val="21"/>
              </w:rPr>
              <w:t>0.000</w:t>
            </w:r>
          </w:p>
        </w:tc>
        <w:tc>
          <w:tcPr>
            <w:tcW w:type="dxa" w:w="1296"/>
          </w:tcPr>
          <w:p>
            <w:pPr>
              <w:spacing w:line="240" w:lineRule="auto"/>
            </w:pPr>
            <w:r>
              <w:rPr>
                <w:rFonts w:ascii="Times New Roman" w:hAnsi="Times New Roman" w:eastAsia="宋体"/>
                <w:b w:val="0"/>
                <w:sz w:val="21"/>
              </w:rPr>
              <w:t>0.000</w:t>
            </w:r>
          </w:p>
        </w:tc>
      </w:tr>
      <w:tr>
        <w:tc>
          <w:tcPr>
            <w:tcW w:type="dxa" w:w="1296"/>
          </w:tcPr>
          <w:p>
            <w:pPr>
              <w:spacing w:line="240" w:lineRule="auto"/>
            </w:pPr>
            <w:r>
              <w:rPr>
                <w:rFonts w:ascii="Times New Roman" w:hAnsi="Times New Roman" w:eastAsia="宋体"/>
                <w:b w:val="0"/>
                <w:sz w:val="21"/>
              </w:rPr>
              <w:t>LR</w:t>
            </w:r>
          </w:p>
        </w:tc>
        <w:tc>
          <w:tcPr>
            <w:tcW w:type="dxa" w:w="1296"/>
          </w:tcPr>
          <w:p>
            <w:pPr>
              <w:spacing w:line="240" w:lineRule="auto"/>
            </w:pPr>
            <w:r>
              <w:rPr>
                <w:rFonts w:ascii="Times New Roman" w:hAnsi="Times New Roman" w:eastAsia="宋体"/>
                <w:b w:val="0"/>
                <w:sz w:val="21"/>
              </w:rPr>
              <w:t>SMOTE</w:t>
            </w:r>
          </w:p>
        </w:tc>
        <w:tc>
          <w:tcPr>
            <w:tcW w:type="dxa" w:w="1296"/>
          </w:tcPr>
          <w:p>
            <w:pPr>
              <w:spacing w:line="240" w:lineRule="auto"/>
            </w:pPr>
            <w:r>
              <w:rPr>
                <w:rFonts w:ascii="Times New Roman" w:hAnsi="Times New Roman" w:eastAsia="宋体"/>
                <w:b w:val="0"/>
                <w:sz w:val="21"/>
              </w:rPr>
              <w:t>0.465</w:t>
            </w:r>
          </w:p>
        </w:tc>
        <w:tc>
          <w:tcPr>
            <w:tcW w:type="dxa" w:w="1296"/>
          </w:tcPr>
          <w:p>
            <w:pPr>
              <w:spacing w:line="240" w:lineRule="auto"/>
            </w:pPr>
            <w:r>
              <w:rPr>
                <w:rFonts w:ascii="Times New Roman" w:hAnsi="Times New Roman" w:eastAsia="宋体"/>
                <w:b w:val="0"/>
                <w:sz w:val="21"/>
              </w:rPr>
              <w:t>0.335</w:t>
            </w:r>
          </w:p>
        </w:tc>
        <w:tc>
          <w:tcPr>
            <w:tcW w:type="dxa" w:w="1296"/>
          </w:tcPr>
          <w:p>
            <w:pPr>
              <w:spacing w:line="240" w:lineRule="auto"/>
            </w:pPr>
            <w:r>
              <w:rPr>
                <w:rFonts w:ascii="Times New Roman" w:hAnsi="Times New Roman" w:eastAsia="宋体"/>
                <w:b w:val="0"/>
                <w:sz w:val="21"/>
              </w:rPr>
              <w:t>0.177</w:t>
            </w:r>
          </w:p>
        </w:tc>
        <w:tc>
          <w:tcPr>
            <w:tcW w:type="dxa" w:w="1296"/>
          </w:tcPr>
          <w:p>
            <w:pPr>
              <w:spacing w:line="240" w:lineRule="auto"/>
            </w:pPr>
            <w:r>
              <w:rPr>
                <w:rFonts w:ascii="Times New Roman" w:hAnsi="Times New Roman" w:eastAsia="宋体"/>
                <w:b w:val="0"/>
                <w:sz w:val="21"/>
              </w:rPr>
              <w:t>0.774</w:t>
            </w:r>
          </w:p>
        </w:tc>
        <w:tc>
          <w:tcPr>
            <w:tcW w:type="dxa" w:w="1296"/>
          </w:tcPr>
          <w:p>
            <w:pPr>
              <w:spacing w:line="240" w:lineRule="auto"/>
            </w:pPr>
            <w:r>
              <w:rPr>
                <w:rFonts w:ascii="Times New Roman" w:hAnsi="Times New Roman" w:eastAsia="宋体"/>
                <w:b w:val="0"/>
                <w:sz w:val="21"/>
              </w:rPr>
              <w:t>0.818</w:t>
            </w:r>
          </w:p>
        </w:tc>
      </w:tr>
      <w:tr>
        <w:tc>
          <w:tcPr>
            <w:tcW w:type="dxa" w:w="1296"/>
          </w:tcPr>
          <w:p>
            <w:pPr>
              <w:spacing w:line="240" w:lineRule="auto"/>
            </w:pPr>
            <w:r>
              <w:rPr>
                <w:rFonts w:ascii="Times New Roman" w:hAnsi="Times New Roman" w:eastAsia="宋体"/>
                <w:b w:val="0"/>
                <w:sz w:val="21"/>
              </w:rPr>
              <w:t>LR</w:t>
            </w:r>
          </w:p>
        </w:tc>
        <w:tc>
          <w:tcPr>
            <w:tcW w:type="dxa" w:w="1296"/>
          </w:tcPr>
          <w:p>
            <w:pPr>
              <w:spacing w:line="240" w:lineRule="auto"/>
            </w:pPr>
            <w:r>
              <w:rPr>
                <w:rFonts w:ascii="Times New Roman" w:hAnsi="Times New Roman" w:eastAsia="宋体"/>
                <w:b w:val="0"/>
                <w:sz w:val="21"/>
              </w:rPr>
              <w:t>类别权重</w:t>
            </w:r>
          </w:p>
        </w:tc>
        <w:tc>
          <w:tcPr>
            <w:tcW w:type="dxa" w:w="1296"/>
          </w:tcPr>
          <w:p>
            <w:pPr>
              <w:spacing w:line="240" w:lineRule="auto"/>
            </w:pPr>
            <w:r>
              <w:rPr>
                <w:rFonts w:ascii="Times New Roman" w:hAnsi="Times New Roman" w:eastAsia="宋体"/>
                <w:b/>
                <w:sz w:val="21"/>
              </w:rPr>
              <w:t>0.582</w:t>
            </w:r>
          </w:p>
        </w:tc>
        <w:tc>
          <w:tcPr>
            <w:tcW w:type="dxa" w:w="1296"/>
          </w:tcPr>
          <w:p>
            <w:pPr>
              <w:spacing w:line="240" w:lineRule="auto"/>
            </w:pPr>
            <w:r>
              <w:rPr>
                <w:rFonts w:ascii="Times New Roman" w:hAnsi="Times New Roman" w:eastAsia="宋体"/>
                <w:b w:val="0"/>
                <w:sz w:val="21"/>
              </w:rPr>
              <w:t>0.208</w:t>
            </w:r>
          </w:p>
        </w:tc>
        <w:tc>
          <w:tcPr>
            <w:tcW w:type="dxa" w:w="1296"/>
          </w:tcPr>
          <w:p>
            <w:pPr>
              <w:spacing w:line="240" w:lineRule="auto"/>
            </w:pPr>
            <w:r>
              <w:rPr>
                <w:rFonts w:ascii="Times New Roman" w:hAnsi="Times New Roman" w:eastAsia="宋体"/>
                <w:b w:val="0"/>
                <w:sz w:val="21"/>
              </w:rPr>
              <w:t>0.145</w:t>
            </w:r>
          </w:p>
        </w:tc>
        <w:tc>
          <w:tcPr>
            <w:tcW w:type="dxa" w:w="1296"/>
          </w:tcPr>
          <w:p>
            <w:pPr>
              <w:spacing w:line="240" w:lineRule="auto"/>
            </w:pPr>
            <w:r>
              <w:rPr>
                <w:rFonts w:ascii="Times New Roman" w:hAnsi="Times New Roman" w:eastAsia="宋体"/>
                <w:b w:val="0"/>
                <w:sz w:val="21"/>
              </w:rPr>
              <w:t>0.812</w:t>
            </w:r>
          </w:p>
        </w:tc>
        <w:tc>
          <w:tcPr>
            <w:tcW w:type="dxa" w:w="1296"/>
          </w:tcPr>
          <w:p>
            <w:pPr>
              <w:spacing w:line="240" w:lineRule="auto"/>
            </w:pPr>
            <w:r>
              <w:rPr>
                <w:rFonts w:ascii="Times New Roman" w:hAnsi="Times New Roman" w:eastAsia="宋体"/>
                <w:b w:val="0"/>
                <w:sz w:val="21"/>
              </w:rPr>
              <w:t>0.818</w:t>
            </w:r>
          </w:p>
        </w:tc>
      </w:tr>
      <w:tr>
        <w:tc>
          <w:tcPr>
            <w:tcW w:type="dxa" w:w="1296"/>
          </w:tcPr>
          <w:p>
            <w:pPr>
              <w:spacing w:line="240" w:lineRule="auto"/>
            </w:pPr>
            <w:r>
              <w:rPr>
                <w:rFonts w:ascii="Times New Roman" w:hAnsi="Times New Roman" w:eastAsia="宋体"/>
                <w:b w:val="0"/>
                <w:sz w:val="21"/>
              </w:rPr>
              <w:t>XGBoost</w:t>
            </w:r>
          </w:p>
        </w:tc>
        <w:tc>
          <w:tcPr>
            <w:tcW w:type="dxa" w:w="1296"/>
          </w:tcPr>
          <w:p>
            <w:pPr>
              <w:spacing w:line="240" w:lineRule="auto"/>
            </w:pPr>
            <w:r>
              <w:rPr>
                <w:rFonts w:ascii="Times New Roman" w:hAnsi="Times New Roman" w:eastAsia="宋体"/>
                <w:b w:val="0"/>
                <w:sz w:val="21"/>
              </w:rPr>
              <w:t>none</w:t>
            </w:r>
          </w:p>
        </w:tc>
        <w:tc>
          <w:tcPr>
            <w:tcW w:type="dxa" w:w="1296"/>
          </w:tcPr>
          <w:p>
            <w:pPr>
              <w:spacing w:line="240" w:lineRule="auto"/>
            </w:pPr>
            <w:r>
              <w:rPr>
                <w:rFonts w:ascii="Times New Roman" w:hAnsi="Times New Roman" w:eastAsia="宋体"/>
                <w:b w:val="0"/>
                <w:sz w:val="21"/>
              </w:rPr>
              <w:t>0.050</w:t>
            </w:r>
          </w:p>
        </w:tc>
        <w:tc>
          <w:tcPr>
            <w:tcW w:type="dxa" w:w="1296"/>
          </w:tcPr>
          <w:p>
            <w:pPr>
              <w:spacing w:line="240" w:lineRule="auto"/>
            </w:pPr>
            <w:r>
              <w:rPr>
                <w:rFonts w:ascii="Times New Roman" w:hAnsi="Times New Roman" w:eastAsia="宋体"/>
                <w:b w:val="0"/>
                <w:sz w:val="21"/>
              </w:rPr>
              <w:t>0.139</w:t>
            </w:r>
          </w:p>
        </w:tc>
        <w:tc>
          <w:tcPr>
            <w:tcW w:type="dxa" w:w="1296"/>
          </w:tcPr>
          <w:p>
            <w:pPr>
              <w:spacing w:line="240" w:lineRule="auto"/>
            </w:pPr>
            <w:r>
              <w:rPr>
                <w:rFonts w:ascii="Times New Roman" w:hAnsi="Times New Roman" w:eastAsia="宋体"/>
                <w:b w:val="0"/>
                <w:sz w:val="21"/>
              </w:rPr>
              <w:t>0.098</w:t>
            </w:r>
          </w:p>
        </w:tc>
        <w:tc>
          <w:tcPr>
            <w:tcW w:type="dxa" w:w="1296"/>
          </w:tcPr>
          <w:p>
            <w:pPr>
              <w:spacing w:line="240" w:lineRule="auto"/>
            </w:pPr>
            <w:r>
              <w:rPr>
                <w:rFonts w:ascii="Times New Roman" w:hAnsi="Times New Roman" w:eastAsia="宋体"/>
                <w:b w:val="0"/>
                <w:sz w:val="21"/>
              </w:rPr>
              <w:t>0.807</w:t>
            </w:r>
          </w:p>
        </w:tc>
        <w:tc>
          <w:tcPr>
            <w:tcW w:type="dxa" w:w="1296"/>
          </w:tcPr>
          <w:p>
            <w:pPr>
              <w:spacing w:line="240" w:lineRule="auto"/>
            </w:pPr>
            <w:r>
              <w:rPr>
                <w:rFonts w:ascii="Times New Roman" w:hAnsi="Times New Roman" w:eastAsia="宋体"/>
                <w:b w:val="0"/>
                <w:sz w:val="21"/>
              </w:rPr>
              <w:t>0.432</w:t>
            </w:r>
          </w:p>
        </w:tc>
      </w:tr>
      <w:tr>
        <w:tc>
          <w:tcPr>
            <w:tcW w:type="dxa" w:w="1296"/>
          </w:tcPr>
          <w:p>
            <w:pPr>
              <w:spacing w:line="240" w:lineRule="auto"/>
            </w:pPr>
            <w:r>
              <w:rPr>
                <w:rFonts w:ascii="Times New Roman" w:hAnsi="Times New Roman" w:eastAsia="宋体"/>
                <w:b w:val="0"/>
                <w:sz w:val="21"/>
              </w:rPr>
              <w:t>XGBoost</w:t>
            </w:r>
          </w:p>
        </w:tc>
        <w:tc>
          <w:tcPr>
            <w:tcW w:type="dxa" w:w="1296"/>
          </w:tcPr>
          <w:p>
            <w:pPr>
              <w:spacing w:line="240" w:lineRule="auto"/>
            </w:pPr>
            <w:r>
              <w:rPr>
                <w:rFonts w:ascii="Times New Roman" w:hAnsi="Times New Roman" w:eastAsia="宋体"/>
                <w:b w:val="0"/>
                <w:sz w:val="21"/>
              </w:rPr>
              <w:t>SMOTE</w:t>
            </w:r>
          </w:p>
        </w:tc>
        <w:tc>
          <w:tcPr>
            <w:tcW w:type="dxa" w:w="1296"/>
          </w:tcPr>
          <w:p>
            <w:pPr>
              <w:spacing w:line="240" w:lineRule="auto"/>
            </w:pPr>
            <w:r>
              <w:rPr>
                <w:rFonts w:ascii="Times New Roman" w:hAnsi="Times New Roman" w:eastAsia="宋体"/>
                <w:b w:val="0"/>
                <w:sz w:val="21"/>
              </w:rPr>
              <w:t>0.053</w:t>
            </w:r>
          </w:p>
        </w:tc>
        <w:tc>
          <w:tcPr>
            <w:tcW w:type="dxa" w:w="1296"/>
          </w:tcPr>
          <w:p>
            <w:pPr>
              <w:spacing w:line="240" w:lineRule="auto"/>
            </w:pPr>
            <w:r>
              <w:rPr>
                <w:rFonts w:ascii="Times New Roman" w:hAnsi="Times New Roman" w:eastAsia="宋体"/>
                <w:b w:val="0"/>
                <w:sz w:val="21"/>
              </w:rPr>
              <w:t>0.194</w:t>
            </w:r>
          </w:p>
        </w:tc>
        <w:tc>
          <w:tcPr>
            <w:tcW w:type="dxa" w:w="1296"/>
          </w:tcPr>
          <w:p>
            <w:pPr>
              <w:spacing w:line="240" w:lineRule="auto"/>
            </w:pPr>
            <w:r>
              <w:rPr>
                <w:rFonts w:ascii="Times New Roman" w:hAnsi="Times New Roman" w:eastAsia="宋体"/>
                <w:b/>
                <w:sz w:val="21"/>
              </w:rPr>
              <w:t>0.488</w:t>
            </w:r>
          </w:p>
        </w:tc>
        <w:tc>
          <w:tcPr>
            <w:tcW w:type="dxa" w:w="1296"/>
          </w:tcPr>
          <w:p>
            <w:pPr>
              <w:spacing w:line="240" w:lineRule="auto"/>
            </w:pPr>
            <w:r>
              <w:rPr>
                <w:rFonts w:ascii="Times New Roman" w:hAnsi="Times New Roman" w:eastAsia="宋体"/>
                <w:b w:val="0"/>
                <w:sz w:val="21"/>
              </w:rPr>
              <w:t>0.925</w:t>
            </w:r>
          </w:p>
        </w:tc>
        <w:tc>
          <w:tcPr>
            <w:tcW w:type="dxa" w:w="1296"/>
          </w:tcPr>
          <w:p>
            <w:pPr>
              <w:spacing w:line="240" w:lineRule="auto"/>
            </w:pPr>
            <w:r>
              <w:rPr>
                <w:rFonts w:ascii="Times New Roman" w:hAnsi="Times New Roman" w:eastAsia="宋体"/>
                <w:b w:val="0"/>
                <w:sz w:val="21"/>
              </w:rPr>
              <w:t>0.674</w:t>
            </w:r>
          </w:p>
        </w:tc>
      </w:tr>
      <w:tr>
        <w:tc>
          <w:tcPr>
            <w:tcW w:type="dxa" w:w="1296"/>
          </w:tcPr>
          <w:p>
            <w:pPr>
              <w:spacing w:line="240" w:lineRule="auto"/>
            </w:pPr>
            <w:r>
              <w:rPr>
                <w:rFonts w:ascii="Times New Roman" w:hAnsi="Times New Roman" w:eastAsia="宋体"/>
                <w:b w:val="0"/>
                <w:sz w:val="21"/>
              </w:rPr>
              <w:t>XGBoost</w:t>
            </w:r>
          </w:p>
        </w:tc>
        <w:tc>
          <w:tcPr>
            <w:tcW w:type="dxa" w:w="1296"/>
          </w:tcPr>
          <w:p>
            <w:pPr>
              <w:spacing w:line="240" w:lineRule="auto"/>
            </w:pPr>
            <w:r>
              <w:rPr>
                <w:rFonts w:ascii="Times New Roman" w:hAnsi="Times New Roman" w:eastAsia="宋体"/>
                <w:b w:val="0"/>
                <w:sz w:val="21"/>
              </w:rPr>
              <w:t>类别权重</w:t>
            </w:r>
          </w:p>
        </w:tc>
        <w:tc>
          <w:tcPr>
            <w:tcW w:type="dxa" w:w="1296"/>
          </w:tcPr>
          <w:p>
            <w:pPr>
              <w:spacing w:line="240" w:lineRule="auto"/>
            </w:pPr>
            <w:r>
              <w:rPr>
                <w:rFonts w:ascii="Times New Roman" w:hAnsi="Times New Roman" w:eastAsia="宋体"/>
                <w:b w:val="0"/>
                <w:sz w:val="21"/>
              </w:rPr>
              <w:t>0.058</w:t>
            </w:r>
          </w:p>
        </w:tc>
        <w:tc>
          <w:tcPr>
            <w:tcW w:type="dxa" w:w="1296"/>
          </w:tcPr>
          <w:p>
            <w:pPr>
              <w:spacing w:line="240" w:lineRule="auto"/>
            </w:pPr>
            <w:r>
              <w:rPr>
                <w:rFonts w:ascii="Times New Roman" w:hAnsi="Times New Roman" w:eastAsia="宋体"/>
                <w:b/>
                <w:sz w:val="21"/>
              </w:rPr>
              <w:t>0.842</w:t>
            </w:r>
          </w:p>
        </w:tc>
        <w:tc>
          <w:tcPr>
            <w:tcW w:type="dxa" w:w="1296"/>
          </w:tcPr>
          <w:p>
            <w:pPr>
              <w:spacing w:line="240" w:lineRule="auto"/>
            </w:pPr>
            <w:r>
              <w:rPr>
                <w:rFonts w:ascii="Times New Roman" w:hAnsi="Times New Roman" w:eastAsia="宋体"/>
                <w:b w:val="0"/>
                <w:sz w:val="21"/>
              </w:rPr>
              <w:t>0.171</w:t>
            </w:r>
          </w:p>
        </w:tc>
        <w:tc>
          <w:tcPr>
            <w:tcW w:type="dxa" w:w="1296"/>
          </w:tcPr>
          <w:p>
            <w:pPr>
              <w:spacing w:line="240" w:lineRule="auto"/>
            </w:pPr>
            <w:r>
              <w:rPr>
                <w:rFonts w:ascii="Times New Roman" w:hAnsi="Times New Roman" w:eastAsia="宋体"/>
                <w:b/>
                <w:sz w:val="21"/>
              </w:rPr>
              <w:t>0.971</w:t>
            </w:r>
          </w:p>
        </w:tc>
        <w:tc>
          <w:tcPr>
            <w:tcW w:type="dxa" w:w="1296"/>
          </w:tcPr>
          <w:p>
            <w:pPr>
              <w:spacing w:line="240" w:lineRule="auto"/>
            </w:pPr>
            <w:r>
              <w:rPr>
                <w:rFonts w:ascii="Times New Roman" w:hAnsi="Times New Roman" w:eastAsia="宋体"/>
                <w:b/>
                <w:sz w:val="21"/>
              </w:rPr>
              <w:t>0.818</w:t>
            </w:r>
          </w:p>
        </w:tc>
      </w:tr>
    </w:tbl>
    <w:p>
      <w:pPr>
        <w:spacing w:line="360" w:lineRule="auto" w:before="0" w:after="0"/>
      </w:pPr>
    </w:p>
    <w:p>
      <w:pPr>
        <w:spacing w:line="360" w:lineRule="auto" w:before="0" w:after="0"/>
        <w:ind w:firstLine="480"/>
      </w:pPr>
      <w:r>
        <w:rPr>
          <w:rFonts w:ascii="Times New Roman" w:hAnsi="Times New Roman" w:eastAsia="宋体"/>
          <w:b w:val="0"/>
          <w:sz w:val="24"/>
        </w:rPr>
        <w:t>三点主要观察。第一，LR 在无处理时对 Backdoor、Shellcode、Worms 的 Recall 为 0（完全不预测），任一处理方法都能将其恢复到 0.21–0.82 区间——对 LR 而言不平衡处理是必要的。第二，XGBoost 无处理已能捕获 Shellcode 0.807 与 Worms 0.432，"不平衡处理是必要的"这一命题需按模型×类别逐格陈述，不能一概而论。第三，DoS 的挽救呈现明显的方法依赖：XGBoost+SMOTE 达 0.488（同模型类别权重仅 0.171），而 LR 各配置均低于 0.18——若应用目标是捕获 DoS，SMOTE 是唯一有效组合；这与第 5.1 节"SMOTE 对 XGBoost 的 Macro-F1 最低"并不矛盾，而是少数类召回与宏平均指标的权衡（第 5.2 节口径依赖的类别级体现）。</w:t>
      </w:r>
    </w:p>
    <w:p>
      <w:pPr>
        <w:spacing w:line="360" w:lineRule="auto" w:before="200" w:after="80"/>
      </w:pPr>
      <w:r>
        <w:rPr>
          <w:rFonts w:ascii="Times New Roman" w:hAnsi="Times New Roman" w:eastAsia="楷体_GB2312"/>
          <w:b w:val="0"/>
          <w:sz w:val="24"/>
        </w:rPr>
        <w:t>5.4 计算开销与模型体积</w:t>
      </w:r>
    </w:p>
    <w:p>
      <w:pPr>
        <w:spacing w:line="360" w:lineRule="auto" w:before="0" w:after="0"/>
        <w:jc w:val="center"/>
      </w:pPr>
      <w:r>
        <w:rPr>
          <w:rFonts w:ascii="Times New Roman" w:hAnsi="Times New Roman" w:eastAsia="宋体"/>
          <w:b/>
          <w:sz w:val="24"/>
        </w:rPr>
        <w:t>表 5-4 训练/推理开销与模型体积（3 种子均值）</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Pr>
          <w:p>
            <w:pPr>
              <w:spacing w:line="240" w:lineRule="auto"/>
            </w:pPr>
            <w:r>
              <w:rPr>
                <w:rFonts w:ascii="Times New Roman" w:hAnsi="Times New Roman" w:eastAsia="宋体"/>
                <w:b/>
                <w:sz w:val="21"/>
              </w:rPr>
              <w:t>模型</w:t>
            </w:r>
          </w:p>
        </w:tc>
        <w:tc>
          <w:tcPr>
            <w:tcW w:type="dxa" w:w="1512"/>
          </w:tcPr>
          <w:p>
            <w:pPr>
              <w:spacing w:line="240" w:lineRule="auto"/>
            </w:pPr>
            <w:r>
              <w:rPr>
                <w:rFonts w:ascii="Times New Roman" w:hAnsi="Times New Roman" w:eastAsia="宋体"/>
                <w:b/>
                <w:sz w:val="21"/>
              </w:rPr>
              <w:t>方法</w:t>
            </w:r>
          </w:p>
        </w:tc>
        <w:tc>
          <w:tcPr>
            <w:tcW w:type="dxa" w:w="1512"/>
          </w:tcPr>
          <w:p>
            <w:pPr>
              <w:spacing w:line="240" w:lineRule="auto"/>
            </w:pPr>
            <w:r>
              <w:rPr>
                <w:rFonts w:ascii="Times New Roman" w:hAnsi="Times New Roman" w:eastAsia="宋体"/>
                <w:b/>
                <w:sz w:val="21"/>
              </w:rPr>
              <w:t>训练时间 (s)</w:t>
            </w:r>
          </w:p>
        </w:tc>
        <w:tc>
          <w:tcPr>
            <w:tcW w:type="dxa" w:w="1512"/>
          </w:tcPr>
          <w:p>
            <w:pPr>
              <w:spacing w:line="240" w:lineRule="auto"/>
            </w:pPr>
            <w:r>
              <w:rPr>
                <w:rFonts w:ascii="Times New Roman" w:hAnsi="Times New Roman" w:eastAsia="宋体"/>
                <w:b/>
                <w:sz w:val="21"/>
              </w:rPr>
              <w:t>测试推理 (s)</w:t>
            </w:r>
          </w:p>
        </w:tc>
        <w:tc>
          <w:tcPr>
            <w:tcW w:type="dxa" w:w="1512"/>
          </w:tcPr>
          <w:p>
            <w:pPr>
              <w:spacing w:line="240" w:lineRule="auto"/>
            </w:pPr>
            <w:r>
              <w:rPr>
                <w:rFonts w:ascii="Times New Roman" w:hAnsi="Times New Roman" w:eastAsia="宋体"/>
                <w:b/>
                <w:sz w:val="21"/>
              </w:rPr>
              <w:t>模型体积 (MB)</w:t>
            </w:r>
          </w:p>
        </w:tc>
        <w:tc>
          <w:tcPr>
            <w:tcW w:type="dxa" w:w="1512"/>
          </w:tcPr>
          <w:p>
            <w:pPr>
              <w:spacing w:line="240" w:lineRule="auto"/>
            </w:pPr>
            <w:r>
              <w:rPr>
                <w:rFonts w:ascii="Times New Roman" w:hAnsi="Times New Roman" w:eastAsia="宋体"/>
                <w:b/>
                <w:sz w:val="21"/>
              </w:rPr>
              <w:t>重采样后训练规模</w:t>
            </w:r>
          </w:p>
        </w:tc>
      </w:tr>
      <w:tr>
        <w:tc>
          <w:tcPr>
            <w:tcW w:type="dxa" w:w="1512"/>
          </w:tcPr>
          <w:p>
            <w:pPr>
              <w:spacing w:line="240" w:lineRule="auto"/>
            </w:pPr>
            <w:r>
              <w:rPr>
                <w:rFonts w:ascii="Times New Roman" w:hAnsi="Times New Roman" w:eastAsia="宋体"/>
                <w:b w:val="0"/>
                <w:sz w:val="21"/>
              </w:rPr>
              <w:t>LR</w:t>
            </w:r>
          </w:p>
        </w:tc>
        <w:tc>
          <w:tcPr>
            <w:tcW w:type="dxa" w:w="1512"/>
          </w:tcPr>
          <w:p>
            <w:pPr>
              <w:spacing w:line="240" w:lineRule="auto"/>
            </w:pPr>
            <w:r>
              <w:rPr>
                <w:rFonts w:ascii="Times New Roman" w:hAnsi="Times New Roman" w:eastAsia="宋体"/>
                <w:b w:val="0"/>
                <w:sz w:val="21"/>
              </w:rPr>
              <w:t>none</w:t>
            </w:r>
          </w:p>
        </w:tc>
        <w:tc>
          <w:tcPr>
            <w:tcW w:type="dxa" w:w="1512"/>
          </w:tcPr>
          <w:p>
            <w:pPr>
              <w:spacing w:line="240" w:lineRule="auto"/>
            </w:pPr>
            <w:r>
              <w:rPr>
                <w:rFonts w:ascii="Times New Roman" w:hAnsi="Times New Roman" w:eastAsia="宋体"/>
                <w:b w:val="0"/>
                <w:sz w:val="21"/>
              </w:rPr>
              <w:t>33.97</w:t>
            </w:r>
          </w:p>
        </w:tc>
        <w:tc>
          <w:tcPr>
            <w:tcW w:type="dxa" w:w="1512"/>
          </w:tcPr>
          <w:p>
            <w:pPr>
              <w:spacing w:line="240" w:lineRule="auto"/>
            </w:pPr>
            <w:r>
              <w:rPr>
                <w:rFonts w:ascii="Times New Roman" w:hAnsi="Times New Roman" w:eastAsia="宋体"/>
                <w:b w:val="0"/>
                <w:sz w:val="21"/>
              </w:rPr>
              <w:t>0.04</w:t>
            </w:r>
          </w:p>
        </w:tc>
        <w:tc>
          <w:tcPr>
            <w:tcW w:type="dxa" w:w="1512"/>
          </w:tcPr>
          <w:p>
            <w:pPr>
              <w:spacing w:line="240" w:lineRule="auto"/>
            </w:pPr>
            <w:r>
              <w:rPr>
                <w:rFonts w:ascii="Times New Roman" w:hAnsi="Times New Roman" w:eastAsia="宋体"/>
                <w:b w:val="0"/>
                <w:sz w:val="21"/>
              </w:rPr>
              <w:t>0.02</w:t>
            </w:r>
          </w:p>
        </w:tc>
        <w:tc>
          <w:tcPr>
            <w:tcW w:type="dxa" w:w="1512"/>
          </w:tcPr>
          <w:p>
            <w:pPr>
              <w:spacing w:line="240" w:lineRule="auto"/>
            </w:pPr>
            <w:r>
              <w:rPr>
                <w:rFonts w:ascii="Times New Roman" w:hAnsi="Times New Roman" w:eastAsia="宋体"/>
                <w:b w:val="0"/>
                <w:sz w:val="21"/>
              </w:rPr>
              <w:t>140,272</w:t>
            </w:r>
          </w:p>
        </w:tc>
      </w:tr>
      <w:tr>
        <w:tc>
          <w:tcPr>
            <w:tcW w:type="dxa" w:w="1512"/>
          </w:tcPr>
          <w:p>
            <w:pPr>
              <w:spacing w:line="240" w:lineRule="auto"/>
            </w:pPr>
            <w:r>
              <w:rPr>
                <w:rFonts w:ascii="Times New Roman" w:hAnsi="Times New Roman" w:eastAsia="宋体"/>
                <w:b w:val="0"/>
                <w:sz w:val="21"/>
              </w:rPr>
              <w:t>LR</w:t>
            </w:r>
          </w:p>
        </w:tc>
        <w:tc>
          <w:tcPr>
            <w:tcW w:type="dxa" w:w="1512"/>
          </w:tcPr>
          <w:p>
            <w:pPr>
              <w:spacing w:line="240" w:lineRule="auto"/>
            </w:pPr>
            <w:r>
              <w:rPr>
                <w:rFonts w:ascii="Times New Roman" w:hAnsi="Times New Roman" w:eastAsia="宋体"/>
                <w:b w:val="0"/>
                <w:sz w:val="21"/>
              </w:rPr>
              <w:t>SMOTE</w:t>
            </w:r>
          </w:p>
        </w:tc>
        <w:tc>
          <w:tcPr>
            <w:tcW w:type="dxa" w:w="1512"/>
          </w:tcPr>
          <w:p>
            <w:pPr>
              <w:spacing w:line="240" w:lineRule="auto"/>
            </w:pPr>
            <w:r>
              <w:rPr>
                <w:rFonts w:ascii="Times New Roman" w:hAnsi="Times New Roman" w:eastAsia="宋体"/>
                <w:b w:val="0"/>
                <w:sz w:val="21"/>
              </w:rPr>
              <w:t>178.67</w:t>
            </w:r>
          </w:p>
        </w:tc>
        <w:tc>
          <w:tcPr>
            <w:tcW w:type="dxa" w:w="1512"/>
          </w:tcPr>
          <w:p>
            <w:pPr>
              <w:spacing w:line="240" w:lineRule="auto"/>
            </w:pPr>
            <w:r>
              <w:rPr>
                <w:rFonts w:ascii="Times New Roman" w:hAnsi="Times New Roman" w:eastAsia="宋体"/>
                <w:b w:val="0"/>
                <w:sz w:val="21"/>
              </w:rPr>
              <w:t>0.04</w:t>
            </w:r>
          </w:p>
        </w:tc>
        <w:tc>
          <w:tcPr>
            <w:tcW w:type="dxa" w:w="1512"/>
          </w:tcPr>
          <w:p>
            <w:pPr>
              <w:spacing w:line="240" w:lineRule="auto"/>
            </w:pPr>
            <w:r>
              <w:rPr>
                <w:rFonts w:ascii="Times New Roman" w:hAnsi="Times New Roman" w:eastAsia="宋体"/>
                <w:b w:val="0"/>
                <w:sz w:val="21"/>
              </w:rPr>
              <w:t>0.18</w:t>
            </w:r>
          </w:p>
        </w:tc>
        <w:tc>
          <w:tcPr>
            <w:tcW w:type="dxa" w:w="1512"/>
          </w:tcPr>
          <w:p>
            <w:pPr>
              <w:spacing w:line="240" w:lineRule="auto"/>
            </w:pPr>
            <w:r>
              <w:rPr>
                <w:rFonts w:ascii="Times New Roman" w:hAnsi="Times New Roman" w:eastAsia="宋体"/>
                <w:b w:val="0"/>
                <w:sz w:val="21"/>
              </w:rPr>
              <w:t>140,272*</w:t>
            </w:r>
          </w:p>
        </w:tc>
      </w:tr>
      <w:tr>
        <w:tc>
          <w:tcPr>
            <w:tcW w:type="dxa" w:w="1512"/>
          </w:tcPr>
          <w:p>
            <w:pPr>
              <w:spacing w:line="240" w:lineRule="auto"/>
            </w:pPr>
            <w:r>
              <w:rPr>
                <w:rFonts w:ascii="Times New Roman" w:hAnsi="Times New Roman" w:eastAsia="宋体"/>
                <w:b w:val="0"/>
                <w:sz w:val="21"/>
              </w:rPr>
              <w:t>XGBoost</w:t>
            </w:r>
          </w:p>
        </w:tc>
        <w:tc>
          <w:tcPr>
            <w:tcW w:type="dxa" w:w="1512"/>
          </w:tcPr>
          <w:p>
            <w:pPr>
              <w:spacing w:line="240" w:lineRule="auto"/>
            </w:pPr>
            <w:r>
              <w:rPr>
                <w:rFonts w:ascii="Times New Roman" w:hAnsi="Times New Roman" w:eastAsia="宋体"/>
                <w:b w:val="0"/>
                <w:sz w:val="21"/>
              </w:rPr>
              <w:t>none</w:t>
            </w:r>
          </w:p>
        </w:tc>
        <w:tc>
          <w:tcPr>
            <w:tcW w:type="dxa" w:w="1512"/>
          </w:tcPr>
          <w:p>
            <w:pPr>
              <w:spacing w:line="240" w:lineRule="auto"/>
            </w:pPr>
            <w:r>
              <w:rPr>
                <w:rFonts w:ascii="Times New Roman" w:hAnsi="Times New Roman" w:eastAsia="宋体"/>
                <w:b w:val="0"/>
                <w:sz w:val="21"/>
              </w:rPr>
              <w:t>29.30</w:t>
            </w:r>
          </w:p>
        </w:tc>
        <w:tc>
          <w:tcPr>
            <w:tcW w:type="dxa" w:w="1512"/>
          </w:tcPr>
          <w:p>
            <w:pPr>
              <w:spacing w:line="240" w:lineRule="auto"/>
            </w:pPr>
            <w:r>
              <w:rPr>
                <w:rFonts w:ascii="Times New Roman" w:hAnsi="Times New Roman" w:eastAsia="宋体"/>
                <w:b w:val="0"/>
                <w:sz w:val="21"/>
              </w:rPr>
              <w:t>0.46</w:t>
            </w:r>
          </w:p>
        </w:tc>
        <w:tc>
          <w:tcPr>
            <w:tcW w:type="dxa" w:w="1512"/>
          </w:tcPr>
          <w:p>
            <w:pPr>
              <w:spacing w:line="240" w:lineRule="auto"/>
            </w:pPr>
            <w:r>
              <w:rPr>
                <w:rFonts w:ascii="Times New Roman" w:hAnsi="Times New Roman" w:eastAsia="宋体"/>
                <w:b w:val="0"/>
                <w:sz w:val="21"/>
              </w:rPr>
              <w:t>7.50</w:t>
            </w:r>
          </w:p>
        </w:tc>
        <w:tc>
          <w:tcPr>
            <w:tcW w:type="dxa" w:w="1512"/>
          </w:tcPr>
          <w:p>
            <w:pPr>
              <w:spacing w:line="240" w:lineRule="auto"/>
            </w:pPr>
            <w:r>
              <w:rPr>
                <w:rFonts w:ascii="Times New Roman" w:hAnsi="Times New Roman" w:eastAsia="宋体"/>
                <w:b w:val="0"/>
                <w:sz w:val="21"/>
              </w:rPr>
              <w:t>140,272</w:t>
            </w:r>
          </w:p>
        </w:tc>
      </w:tr>
      <w:tr>
        <w:tc>
          <w:tcPr>
            <w:tcW w:type="dxa" w:w="1512"/>
          </w:tcPr>
          <w:p>
            <w:pPr>
              <w:spacing w:line="240" w:lineRule="auto"/>
            </w:pPr>
            <w:r>
              <w:rPr>
                <w:rFonts w:ascii="Times New Roman" w:hAnsi="Times New Roman" w:eastAsia="宋体"/>
                <w:b w:val="0"/>
                <w:sz w:val="21"/>
              </w:rPr>
              <w:t>XGBoost</w:t>
            </w:r>
          </w:p>
        </w:tc>
        <w:tc>
          <w:tcPr>
            <w:tcW w:type="dxa" w:w="1512"/>
          </w:tcPr>
          <w:p>
            <w:pPr>
              <w:spacing w:line="240" w:lineRule="auto"/>
            </w:pPr>
            <w:r>
              <w:rPr>
                <w:rFonts w:ascii="Times New Roman" w:hAnsi="Times New Roman" w:eastAsia="宋体"/>
                <w:b w:val="0"/>
                <w:sz w:val="21"/>
              </w:rPr>
              <w:t>类别权重</w:t>
            </w:r>
          </w:p>
        </w:tc>
        <w:tc>
          <w:tcPr>
            <w:tcW w:type="dxa" w:w="1512"/>
          </w:tcPr>
          <w:p>
            <w:pPr>
              <w:spacing w:line="240" w:lineRule="auto"/>
            </w:pPr>
            <w:r>
              <w:rPr>
                <w:rFonts w:ascii="Times New Roman" w:hAnsi="Times New Roman" w:eastAsia="宋体"/>
                <w:b w:val="0"/>
                <w:sz w:val="21"/>
              </w:rPr>
              <w:t>27.00</w:t>
            </w:r>
          </w:p>
        </w:tc>
        <w:tc>
          <w:tcPr>
            <w:tcW w:type="dxa" w:w="1512"/>
          </w:tcPr>
          <w:p>
            <w:pPr>
              <w:spacing w:line="240" w:lineRule="auto"/>
            </w:pPr>
            <w:r>
              <w:rPr>
                <w:rFonts w:ascii="Times New Roman" w:hAnsi="Times New Roman" w:eastAsia="宋体"/>
                <w:b w:val="0"/>
                <w:sz w:val="21"/>
              </w:rPr>
              <w:t>0.39</w:t>
            </w:r>
          </w:p>
        </w:tc>
        <w:tc>
          <w:tcPr>
            <w:tcW w:type="dxa" w:w="1512"/>
          </w:tcPr>
          <w:p>
            <w:pPr>
              <w:spacing w:line="240" w:lineRule="auto"/>
            </w:pPr>
            <w:r>
              <w:rPr>
                <w:rFonts w:ascii="Times New Roman" w:hAnsi="Times New Roman" w:eastAsia="宋体"/>
                <w:b w:val="0"/>
                <w:sz w:val="21"/>
              </w:rPr>
              <w:t>7.67</w:t>
            </w:r>
          </w:p>
        </w:tc>
        <w:tc>
          <w:tcPr>
            <w:tcW w:type="dxa" w:w="1512"/>
          </w:tcPr>
          <w:p>
            <w:pPr>
              <w:spacing w:line="240" w:lineRule="auto"/>
            </w:pPr>
            <w:r>
              <w:rPr>
                <w:rFonts w:ascii="Times New Roman" w:hAnsi="Times New Roman" w:eastAsia="宋体"/>
                <w:b w:val="0"/>
                <w:sz w:val="21"/>
              </w:rPr>
              <w:t>140,272</w:t>
            </w:r>
          </w:p>
        </w:tc>
      </w:tr>
      <w:tr>
        <w:tc>
          <w:tcPr>
            <w:tcW w:type="dxa" w:w="1512"/>
          </w:tcPr>
          <w:p>
            <w:pPr>
              <w:spacing w:line="240" w:lineRule="auto"/>
            </w:pPr>
            <w:r>
              <w:rPr>
                <w:rFonts w:ascii="Times New Roman" w:hAnsi="Times New Roman" w:eastAsia="宋体"/>
                <w:b w:val="0"/>
                <w:sz w:val="21"/>
              </w:rPr>
              <w:t>XGBoost</w:t>
            </w:r>
          </w:p>
        </w:tc>
        <w:tc>
          <w:tcPr>
            <w:tcW w:type="dxa" w:w="1512"/>
          </w:tcPr>
          <w:p>
            <w:pPr>
              <w:spacing w:line="240" w:lineRule="auto"/>
            </w:pPr>
            <w:r>
              <w:rPr>
                <w:rFonts w:ascii="Times New Roman" w:hAnsi="Times New Roman" w:eastAsia="宋体"/>
                <w:b w:val="0"/>
                <w:sz w:val="21"/>
              </w:rPr>
              <w:t>ROS</w:t>
            </w:r>
          </w:p>
        </w:tc>
        <w:tc>
          <w:tcPr>
            <w:tcW w:type="dxa" w:w="1512"/>
          </w:tcPr>
          <w:p>
            <w:pPr>
              <w:spacing w:line="240" w:lineRule="auto"/>
            </w:pPr>
            <w:r>
              <w:rPr>
                <w:rFonts w:ascii="Times New Roman" w:hAnsi="Times New Roman" w:eastAsia="宋体"/>
                <w:b w:val="0"/>
                <w:sz w:val="21"/>
              </w:rPr>
              <w:t>67.73</w:t>
            </w:r>
          </w:p>
        </w:tc>
        <w:tc>
          <w:tcPr>
            <w:tcW w:type="dxa" w:w="1512"/>
          </w:tcPr>
          <w:p>
            <w:pPr>
              <w:spacing w:line="240" w:lineRule="auto"/>
            </w:pPr>
            <w:r>
              <w:rPr>
                <w:rFonts w:ascii="Times New Roman" w:hAnsi="Times New Roman" w:eastAsia="宋体"/>
                <w:b w:val="0"/>
                <w:sz w:val="21"/>
              </w:rPr>
              <w:t>0.41</w:t>
            </w:r>
          </w:p>
        </w:tc>
        <w:tc>
          <w:tcPr>
            <w:tcW w:type="dxa" w:w="1512"/>
          </w:tcPr>
          <w:p>
            <w:pPr>
              <w:spacing w:line="240" w:lineRule="auto"/>
            </w:pPr>
            <w:r>
              <w:rPr>
                <w:rFonts w:ascii="Times New Roman" w:hAnsi="Times New Roman" w:eastAsia="宋体"/>
                <w:b w:val="0"/>
                <w:sz w:val="21"/>
              </w:rPr>
              <w:t>11.38</w:t>
            </w:r>
          </w:p>
        </w:tc>
        <w:tc>
          <w:tcPr>
            <w:tcW w:type="dxa" w:w="1512"/>
          </w:tcPr>
          <w:p>
            <w:pPr>
              <w:spacing w:line="240" w:lineRule="auto"/>
            </w:pPr>
            <w:r>
              <w:rPr>
                <w:rFonts w:ascii="Times New Roman" w:hAnsi="Times New Roman" w:eastAsia="宋体"/>
                <w:b w:val="0"/>
                <w:sz w:val="21"/>
              </w:rPr>
              <w:t>448,000</w:t>
            </w:r>
          </w:p>
        </w:tc>
      </w:tr>
      <w:tr>
        <w:tc>
          <w:tcPr>
            <w:tcW w:type="dxa" w:w="1512"/>
          </w:tcPr>
          <w:p>
            <w:pPr>
              <w:spacing w:line="240" w:lineRule="auto"/>
            </w:pPr>
            <w:r>
              <w:rPr>
                <w:rFonts w:ascii="Times New Roman" w:hAnsi="Times New Roman" w:eastAsia="宋体"/>
                <w:b w:val="0"/>
                <w:sz w:val="21"/>
              </w:rPr>
              <w:t>XGBoost</w:t>
            </w:r>
          </w:p>
        </w:tc>
        <w:tc>
          <w:tcPr>
            <w:tcW w:type="dxa" w:w="1512"/>
          </w:tcPr>
          <w:p>
            <w:pPr>
              <w:spacing w:line="240" w:lineRule="auto"/>
            </w:pPr>
            <w:r>
              <w:rPr>
                <w:rFonts w:ascii="Times New Roman" w:hAnsi="Times New Roman" w:eastAsia="宋体"/>
                <w:b w:val="0"/>
                <w:sz w:val="21"/>
              </w:rPr>
              <w:t>SMOTE</w:t>
            </w:r>
          </w:p>
        </w:tc>
        <w:tc>
          <w:tcPr>
            <w:tcW w:type="dxa" w:w="1512"/>
          </w:tcPr>
          <w:p>
            <w:pPr>
              <w:spacing w:line="240" w:lineRule="auto"/>
            </w:pPr>
            <w:r>
              <w:rPr>
                <w:rFonts w:ascii="Times New Roman" w:hAnsi="Times New Roman" w:eastAsia="宋体"/>
                <w:b w:val="0"/>
                <w:sz w:val="21"/>
              </w:rPr>
              <w:t>100.07</w:t>
            </w:r>
          </w:p>
        </w:tc>
        <w:tc>
          <w:tcPr>
            <w:tcW w:type="dxa" w:w="1512"/>
          </w:tcPr>
          <w:p>
            <w:pPr>
              <w:spacing w:line="240" w:lineRule="auto"/>
            </w:pPr>
            <w:r>
              <w:rPr>
                <w:rFonts w:ascii="Times New Roman" w:hAnsi="Times New Roman" w:eastAsia="宋体"/>
                <w:b w:val="0"/>
                <w:sz w:val="21"/>
              </w:rPr>
              <w:t>0.43</w:t>
            </w:r>
          </w:p>
        </w:tc>
        <w:tc>
          <w:tcPr>
            <w:tcW w:type="dxa" w:w="1512"/>
          </w:tcPr>
          <w:p>
            <w:pPr>
              <w:spacing w:line="240" w:lineRule="auto"/>
            </w:pPr>
            <w:r>
              <w:rPr>
                <w:rFonts w:ascii="Times New Roman" w:hAnsi="Times New Roman" w:eastAsia="宋体"/>
                <w:b w:val="0"/>
                <w:sz w:val="21"/>
              </w:rPr>
              <w:t>8.73</w:t>
            </w:r>
          </w:p>
        </w:tc>
        <w:tc>
          <w:tcPr>
            <w:tcW w:type="dxa" w:w="1512"/>
          </w:tcPr>
          <w:p>
            <w:pPr>
              <w:spacing w:line="240" w:lineRule="auto"/>
            </w:pPr>
            <w:r>
              <w:rPr>
                <w:rFonts w:ascii="Times New Roman" w:hAnsi="Times New Roman" w:eastAsia="宋体"/>
                <w:b w:val="0"/>
                <w:sz w:val="21"/>
              </w:rPr>
              <w:t>140,272*</w:t>
            </w:r>
          </w:p>
        </w:tc>
      </w:tr>
    </w:tbl>
    <w:p>
      <w:pPr>
        <w:spacing w:line="360" w:lineRule="auto" w:before="0" w:after="0"/>
      </w:pPr>
    </w:p>
    <w:p>
      <w:pPr>
        <w:spacing w:line="360" w:lineRule="auto" w:before="0" w:after="0"/>
        <w:ind w:firstLine="480"/>
      </w:pPr>
      <w:r>
        <w:rPr>
          <w:rFonts w:ascii="Times New Roman" w:hAnsi="Times New Roman" w:eastAsia="宋体"/>
          <w:b w:val="0"/>
          <w:sz w:val="24"/>
        </w:rPr>
        <w:t>过采样类方法（ROS/SMOTE）将训练集补至多数类规模（约 44.8 万行），训练时间升至无处理的约 2.3–5.9 倍（逐格实测，XGBoost+ROS 2.3 倍最低，LR/MLP+SMOTE 约 5.3/5.9 倍）；类别权重不增加训练样本，XGBoost+类别权重训练时间（27.0s）甚至略低于无处理（29.3s）。全部配置测试推理均在亚秒级。模型体积方面，LR 系列本体仅 0.02MB；XGBoost 的体积由树结构主导（7.5–11.4MB），重采样方法因训练数据分布变化反而可能增大体积——这一现象在第 5.6 节轻量化实验中再次出现。</w:t>
      </w:r>
    </w:p>
    <w:p>
      <w:pPr>
        <w:spacing w:line="360" w:lineRule="auto" w:before="200" w:after="80"/>
      </w:pPr>
      <w:r>
        <w:rPr>
          <w:rFonts w:ascii="Times New Roman" w:hAnsi="Times New Roman" w:eastAsia="楷体_GB2312"/>
          <w:b w:val="0"/>
          <w:sz w:val="24"/>
        </w:rPr>
        <w:t>5.5 阈值移动对照</w:t>
      </w:r>
    </w:p>
    <w:p>
      <w:pPr>
        <w:spacing w:line="360" w:lineRule="auto" w:before="0" w:after="0"/>
        <w:ind w:firstLine="480"/>
      </w:pPr>
      <w:r>
        <w:rPr>
          <w:rFonts w:ascii="Times New Roman" w:hAnsi="Times New Roman" w:eastAsia="宋体"/>
          <w:b w:val="0"/>
          <w:sz w:val="24"/>
        </w:rPr>
        <w:t>为补全"零重采样开销的少数类挽救路线"这一对照，本文对 XGBoost 的 none 与类别权重两种配置增加验证集决策阈值搜索：在预测概率上为每类学习乘性权重（网格 0.5–2.5、坐标上升 2 轮），分别以验证集 Macro-F1 与少数类宏 Recall 为目标，测试集每个设置只评估一次（协议预注册于 阈值移动脚本 docstring）。</w:t>
      </w:r>
    </w:p>
    <w:p>
      <w:pPr>
        <w:spacing w:line="360" w:lineRule="auto" w:before="0" w:after="0"/>
        <w:jc w:val="center"/>
      </w:pPr>
      <w:r>
        <w:rPr>
          <w:rFonts w:ascii="Times New Roman" w:hAnsi="Times New Roman" w:eastAsia="宋体"/>
          <w:b/>
          <w:sz w:val="24"/>
        </w:rPr>
        <w:t>表 5-5 阈值移动测试集对照（Macro-F1 目标；v1 固定切分与 v2 重切分方差补测）</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spacing w:line="240" w:lineRule="auto"/>
            </w:pPr>
            <w:r>
              <w:rPr>
                <w:rFonts w:ascii="Times New Roman" w:hAnsi="Times New Roman" w:eastAsia="宋体"/>
                <w:b/>
                <w:sz w:val="21"/>
              </w:rPr>
              <w:t>配置</w:t>
            </w:r>
          </w:p>
        </w:tc>
        <w:tc>
          <w:tcPr>
            <w:tcW w:type="dxa" w:w="2268"/>
          </w:tcPr>
          <w:p>
            <w:pPr>
              <w:spacing w:line="240" w:lineRule="auto"/>
            </w:pPr>
            <w:r>
              <w:rPr>
                <w:rFonts w:ascii="Times New Roman" w:hAnsi="Times New Roman" w:eastAsia="宋体"/>
                <w:b/>
                <w:sz w:val="21"/>
              </w:rPr>
              <w:t>基线</w:t>
            </w:r>
          </w:p>
        </w:tc>
        <w:tc>
          <w:tcPr>
            <w:tcW w:type="dxa" w:w="2268"/>
          </w:tcPr>
          <w:p>
            <w:pPr>
              <w:spacing w:line="240" w:lineRule="auto"/>
            </w:pPr>
            <w:r>
              <w:rPr>
                <w:rFonts w:ascii="Times New Roman" w:hAnsi="Times New Roman" w:eastAsia="宋体"/>
                <w:b/>
                <w:sz w:val="21"/>
              </w:rPr>
              <w:t>移动后（v1 固定切分）</w:t>
            </w:r>
          </w:p>
        </w:tc>
        <w:tc>
          <w:tcPr>
            <w:tcW w:type="dxa" w:w="2268"/>
          </w:tcPr>
          <w:p>
            <w:pPr>
              <w:spacing w:line="240" w:lineRule="auto"/>
            </w:pPr>
            <w:r>
              <w:rPr>
                <w:rFonts w:ascii="Times New Roman" w:hAnsi="Times New Roman" w:eastAsia="宋体"/>
                <w:b/>
                <w:sz w:val="21"/>
              </w:rPr>
              <w:t>移动后（v2 重切分，3 种子）</w:t>
            </w:r>
          </w:p>
        </w:tc>
      </w:tr>
      <w:tr>
        <w:tc>
          <w:tcPr>
            <w:tcW w:type="dxa" w:w="2268"/>
          </w:tcPr>
          <w:p>
            <w:pPr>
              <w:spacing w:line="240" w:lineRule="auto"/>
            </w:pPr>
            <w:r>
              <w:rPr>
                <w:rFonts w:ascii="Times New Roman" w:hAnsi="Times New Roman" w:eastAsia="宋体"/>
                <w:b w:val="0"/>
                <w:sz w:val="21"/>
              </w:rPr>
              <w:t>none</w:t>
            </w:r>
          </w:p>
        </w:tc>
        <w:tc>
          <w:tcPr>
            <w:tcW w:type="dxa" w:w="2268"/>
          </w:tcPr>
          <w:p>
            <w:pPr>
              <w:spacing w:line="240" w:lineRule="auto"/>
            </w:pPr>
            <w:r>
              <w:rPr>
                <w:rFonts w:ascii="Times New Roman" w:hAnsi="Times New Roman" w:eastAsia="宋体"/>
                <w:b w:val="0"/>
                <w:sz w:val="21"/>
              </w:rPr>
              <w:t>0.5097</w:t>
            </w:r>
          </w:p>
        </w:tc>
        <w:tc>
          <w:tcPr>
            <w:tcW w:type="dxa" w:w="2268"/>
          </w:tcPr>
          <w:p>
            <w:pPr>
              <w:spacing w:line="240" w:lineRule="auto"/>
            </w:pPr>
            <w:r>
              <w:rPr>
                <w:rFonts w:ascii="Times New Roman" w:hAnsi="Times New Roman" w:eastAsia="宋体"/>
                <w:b/>
                <w:sz w:val="21"/>
              </w:rPr>
              <w:t>0.5483</w:t>
            </w:r>
          </w:p>
        </w:tc>
        <w:tc>
          <w:tcPr>
            <w:tcW w:type="dxa" w:w="2268"/>
          </w:tcPr>
          <w:p>
            <w:pPr>
              <w:spacing w:line="240" w:lineRule="auto"/>
            </w:pPr>
            <w:r>
              <w:rPr>
                <w:rFonts w:ascii="Times New Roman" w:hAnsi="Times New Roman" w:eastAsia="宋体"/>
                <w:b w:val="0"/>
                <w:sz w:val="21"/>
              </w:rPr>
              <w:t>0.5436 ± 0.0063</w:t>
            </w:r>
          </w:p>
        </w:tc>
      </w:tr>
      <w:tr>
        <w:tc>
          <w:tcPr>
            <w:tcW w:type="dxa" w:w="2268"/>
          </w:tcPr>
          <w:p>
            <w:pPr>
              <w:spacing w:line="240" w:lineRule="auto"/>
            </w:pPr>
            <w:r>
              <w:rPr>
                <w:rFonts w:ascii="Times New Roman" w:hAnsi="Times New Roman" w:eastAsia="宋体"/>
                <w:b w:val="0"/>
                <w:sz w:val="21"/>
              </w:rPr>
              <w:t>类别权重</w:t>
            </w:r>
          </w:p>
        </w:tc>
        <w:tc>
          <w:tcPr>
            <w:tcW w:type="dxa" w:w="2268"/>
          </w:tcPr>
          <w:p>
            <w:pPr>
              <w:spacing w:line="240" w:lineRule="auto"/>
            </w:pPr>
            <w:r>
              <w:rPr>
                <w:rFonts w:ascii="Times New Roman" w:hAnsi="Times New Roman" w:eastAsia="宋体"/>
                <w:b w:val="0"/>
                <w:sz w:val="21"/>
              </w:rPr>
              <w:t>0.5123</w:t>
            </w:r>
          </w:p>
        </w:tc>
        <w:tc>
          <w:tcPr>
            <w:tcW w:type="dxa" w:w="2268"/>
          </w:tcPr>
          <w:p>
            <w:pPr>
              <w:spacing w:line="240" w:lineRule="auto"/>
            </w:pPr>
            <w:r>
              <w:rPr>
                <w:rFonts w:ascii="Times New Roman" w:hAnsi="Times New Roman" w:eastAsia="宋体"/>
                <w:b w:val="0"/>
                <w:sz w:val="21"/>
              </w:rPr>
              <w:t>0.5295</w:t>
            </w:r>
          </w:p>
        </w:tc>
        <w:tc>
          <w:tcPr>
            <w:tcW w:type="dxa" w:w="2268"/>
          </w:tcPr>
          <w:p>
            <w:pPr>
              <w:spacing w:line="240" w:lineRule="auto"/>
            </w:pPr>
            <w:r>
              <w:rPr>
                <w:rFonts w:ascii="Times New Roman" w:hAnsi="Times New Roman" w:eastAsia="宋体"/>
                <w:b w:val="0"/>
                <w:sz w:val="21"/>
              </w:rPr>
              <w:t>0.5301 ± 0.0013</w:t>
            </w:r>
          </w:p>
        </w:tc>
      </w:tr>
    </w:tbl>
    <w:p>
      <w:pPr>
        <w:spacing w:line="360" w:lineRule="auto" w:before="0" w:after="0"/>
      </w:pPr>
    </w:p>
    <w:p>
      <w:pPr>
        <w:spacing w:line="360" w:lineRule="auto" w:before="0" w:after="0"/>
        <w:ind w:firstLine="480"/>
      </w:pPr>
      <w:r>
        <w:rPr>
          <w:rFonts w:ascii="Times New Roman" w:hAnsi="Times New Roman" w:eastAsia="宋体"/>
          <w:b w:val="0"/>
          <w:sz w:val="24"/>
        </w:rPr>
        <w:t>三个结果值得强调。第一，none+阈值移动（Macro-F1 目标）达到 0.5483（v2 重切分下0.5436±0.0063，最差种子 0.5367），</w:t>
      </w:r>
      <w:r>
        <w:rPr>
          <w:rFonts w:ascii="Times New Roman" w:hAnsi="Times New Roman" w:eastAsia="宋体"/>
          <w:b/>
          <w:sz w:val="24"/>
        </w:rPr>
        <w:t>超过全部 12 个模型×方法格的 3 种子均值（最高XGBoost+类别权重 0.5123）与全部 36 个单次运行值（最高 XGBoost+ROS seed0 0.5146）</w:t>
      </w:r>
      <w:r>
        <w:rPr>
          <w:rFonts w:ascii="Times New Roman" w:hAnsi="Times New Roman" w:eastAsia="宋体"/>
          <w:b w:val="0"/>
          <w:sz w:val="24"/>
        </w:rPr>
        <w:t>——即全项目最高 Macro-F1 来自一个零重训练的后处理步骤。第二，阈值移动的得失随目标与配置互异：以 Macro-F1 为目标时，none 配置的少数类宏 Recall 反而同步上升（0.357→0.483）、Balanced Acc 亦升（0.550→0.625），但类别权重配置的少数类宏 Recall 由 0.672 降至 0.478；而以少数类宏 Recall 为目标调阈值时出现迁移失败（类别权重配置测试集 0.672→0.452）——阈值搜索的验证目标与测试表现之间的迁移并不总成立。第三，公平性边界必须声明：阈值移动是在验证集上直接优化目标指标的后处理，与训练期不平衡处理机制不同，二者互补而非互斥；本文将其作为 RQ3 权衡曲线上"零重训练"的独立选项呈现，而非与训练期方法混排排名。</w:t>
      </w:r>
    </w:p>
    <w:p>
      <w:pPr>
        <w:spacing w:line="360" w:lineRule="auto" w:before="200" w:after="80"/>
      </w:pPr>
      <w:r>
        <w:rPr>
          <w:rFonts w:ascii="Times New Roman" w:hAnsi="Times New Roman" w:eastAsia="楷体_GB2312"/>
          <w:b w:val="0"/>
          <w:sz w:val="24"/>
        </w:rPr>
        <w:t>5.6 轻量化改进结果</w:t>
      </w:r>
    </w:p>
    <w:p>
      <w:pPr>
        <w:spacing w:line="360" w:lineRule="auto" w:before="0" w:after="0"/>
        <w:ind w:firstLine="480"/>
      </w:pPr>
      <w:r>
        <w:rPr>
          <w:rFonts w:ascii="Times New Roman" w:hAnsi="Times New Roman" w:eastAsia="宋体"/>
          <w:b w:val="0"/>
          <w:sz w:val="24"/>
        </w:rPr>
        <w:t>第 5 周在 XGBoost+类别权重（第 5.1 节 Balanced Accuracy 最优配置）上实施增益重要性特征筛选：特征排序仅在训练划分上拟合，K 在验证集上扫描选定（K* = 32，并列取更小 K），测试集不进入扫描阶段（协议见 轻量化脚本 docstring 与 configs/experiment_hyperparams.yaml）。</w:t>
      </w:r>
    </w:p>
    <w:p>
      <w:pPr>
        <w:spacing w:line="360" w:lineRule="auto" w:before="0" w:after="0"/>
        <w:jc w:val="center"/>
      </w:pPr>
      <w:r>
        <w:rPr>
          <w:rFonts w:ascii="Times New Roman" w:hAnsi="Times New Roman" w:eastAsia="宋体"/>
          <w:b/>
          <w:sz w:val="24"/>
        </w:rPr>
        <w:t>表 5-6 轻量化终评（测试集；v1 固定切分与 v2 重切分方差补测）</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line="240" w:lineRule="auto"/>
            </w:pPr>
            <w:r>
              <w:rPr>
                <w:rFonts w:ascii="Times New Roman" w:hAnsi="Times New Roman" w:eastAsia="宋体"/>
                <w:b/>
                <w:sz w:val="21"/>
              </w:rPr>
              <w:t>指标</w:t>
            </w:r>
          </w:p>
        </w:tc>
        <w:tc>
          <w:tcPr>
            <w:tcW w:type="dxa" w:w="3024"/>
          </w:tcPr>
          <w:p>
            <w:pPr>
              <w:spacing w:line="240" w:lineRule="auto"/>
            </w:pPr>
            <w:r>
              <w:rPr>
                <w:rFonts w:ascii="Times New Roman" w:hAnsi="Times New Roman" w:eastAsia="宋体"/>
                <w:b/>
                <w:sz w:val="21"/>
              </w:rPr>
              <w:t>全量特征（194）</w:t>
            </w:r>
          </w:p>
        </w:tc>
        <w:tc>
          <w:tcPr>
            <w:tcW w:type="dxa" w:w="3024"/>
          </w:tcPr>
          <w:p>
            <w:pPr>
              <w:spacing w:line="240" w:lineRule="auto"/>
            </w:pPr>
            <w:r>
              <w:rPr>
                <w:rFonts w:ascii="Times New Roman" w:hAnsi="Times New Roman" w:eastAsia="宋体"/>
                <w:b/>
                <w:sz w:val="21"/>
              </w:rPr>
              <w:t>精简特征（K*=32）</w:t>
            </w:r>
          </w:p>
        </w:tc>
      </w:tr>
      <w:tr>
        <w:tc>
          <w:tcPr>
            <w:tcW w:type="dxa" w:w="3024"/>
          </w:tcPr>
          <w:p>
            <w:pPr>
              <w:spacing w:line="240" w:lineRule="auto"/>
            </w:pPr>
            <w:r>
              <w:rPr>
                <w:rFonts w:ascii="Times New Roman" w:hAnsi="Times New Roman" w:eastAsia="宋体"/>
                <w:b w:val="0"/>
                <w:sz w:val="21"/>
              </w:rPr>
              <w:t>Macro-F1（v1 固定切分）</w:t>
            </w:r>
          </w:p>
        </w:tc>
        <w:tc>
          <w:tcPr>
            <w:tcW w:type="dxa" w:w="3024"/>
          </w:tcPr>
          <w:p>
            <w:pPr>
              <w:spacing w:line="240" w:lineRule="auto"/>
            </w:pPr>
            <w:r>
              <w:rPr>
                <w:rFonts w:ascii="Times New Roman" w:hAnsi="Times New Roman" w:eastAsia="宋体"/>
                <w:b w:val="0"/>
                <w:sz w:val="21"/>
              </w:rPr>
              <w:t>0.5123 ± 0.0000</w:t>
            </w:r>
          </w:p>
        </w:tc>
        <w:tc>
          <w:tcPr>
            <w:tcW w:type="dxa" w:w="3024"/>
          </w:tcPr>
          <w:p>
            <w:pPr>
              <w:spacing w:line="240" w:lineRule="auto"/>
            </w:pPr>
            <w:r>
              <w:rPr>
                <w:rFonts w:ascii="Times New Roman" w:hAnsi="Times New Roman" w:eastAsia="宋体"/>
                <w:b w:val="0"/>
                <w:sz w:val="21"/>
              </w:rPr>
              <w:t>0.5087 ± 0.0000</w:t>
            </w:r>
          </w:p>
        </w:tc>
      </w:tr>
      <w:tr>
        <w:tc>
          <w:tcPr>
            <w:tcW w:type="dxa" w:w="3024"/>
          </w:tcPr>
          <w:p>
            <w:pPr>
              <w:spacing w:line="240" w:lineRule="auto"/>
            </w:pPr>
            <w:r>
              <w:rPr>
                <w:rFonts w:ascii="Times New Roman" w:hAnsi="Times New Roman" w:eastAsia="宋体"/>
                <w:b w:val="0"/>
                <w:sz w:val="21"/>
              </w:rPr>
              <w:t>Macro-F1（v2 重切分）</w:t>
            </w:r>
          </w:p>
        </w:tc>
        <w:tc>
          <w:tcPr>
            <w:tcW w:type="dxa" w:w="3024"/>
          </w:tcPr>
          <w:p>
            <w:pPr>
              <w:spacing w:line="240" w:lineRule="auto"/>
            </w:pPr>
            <w:r>
              <w:rPr>
                <w:rFonts w:ascii="Times New Roman" w:hAnsi="Times New Roman" w:eastAsia="宋体"/>
                <w:b w:val="0"/>
                <w:sz w:val="21"/>
              </w:rPr>
              <w:t>0.5103 ± 0.0028</w:t>
            </w:r>
          </w:p>
        </w:tc>
        <w:tc>
          <w:tcPr>
            <w:tcW w:type="dxa" w:w="3024"/>
          </w:tcPr>
          <w:p>
            <w:pPr>
              <w:spacing w:line="240" w:lineRule="auto"/>
            </w:pPr>
            <w:r>
              <w:rPr>
                <w:rFonts w:ascii="Times New Roman" w:hAnsi="Times New Roman" w:eastAsia="宋体"/>
                <w:b w:val="0"/>
                <w:sz w:val="21"/>
              </w:rPr>
              <w:t>0.5081 ± 0.0055</w:t>
            </w:r>
          </w:p>
        </w:tc>
      </w:tr>
      <w:tr>
        <w:tc>
          <w:tcPr>
            <w:tcW w:type="dxa" w:w="3024"/>
          </w:tcPr>
          <w:p>
            <w:pPr>
              <w:spacing w:line="240" w:lineRule="auto"/>
            </w:pPr>
            <w:r>
              <w:rPr>
                <w:rFonts w:ascii="Times New Roman" w:hAnsi="Times New Roman" w:eastAsia="宋体"/>
                <w:b w:val="0"/>
                <w:sz w:val="21"/>
              </w:rPr>
              <w:t>Balanced Accuracy（v1 / v2）</w:t>
            </w:r>
          </w:p>
        </w:tc>
        <w:tc>
          <w:tcPr>
            <w:tcW w:type="dxa" w:w="3024"/>
          </w:tcPr>
          <w:p>
            <w:pPr>
              <w:spacing w:line="240" w:lineRule="auto"/>
            </w:pPr>
            <w:r>
              <w:rPr>
                <w:rFonts w:ascii="Times New Roman" w:hAnsi="Times New Roman" w:eastAsia="宋体"/>
                <w:b w:val="0"/>
                <w:sz w:val="21"/>
              </w:rPr>
              <w:t>0.6549 / 0.6522±0.0016</w:t>
            </w:r>
          </w:p>
        </w:tc>
        <w:tc>
          <w:tcPr>
            <w:tcW w:type="dxa" w:w="3024"/>
          </w:tcPr>
          <w:p>
            <w:pPr>
              <w:spacing w:line="240" w:lineRule="auto"/>
            </w:pPr>
            <w:r>
              <w:rPr>
                <w:rFonts w:ascii="Times New Roman" w:hAnsi="Times New Roman" w:eastAsia="宋体"/>
                <w:b w:val="0"/>
                <w:sz w:val="21"/>
              </w:rPr>
              <w:t>0.6605 / 0.6581±0.0033</w:t>
            </w:r>
          </w:p>
        </w:tc>
      </w:tr>
      <w:tr>
        <w:tc>
          <w:tcPr>
            <w:tcW w:type="dxa" w:w="3024"/>
          </w:tcPr>
          <w:p>
            <w:pPr>
              <w:spacing w:line="240" w:lineRule="auto"/>
            </w:pPr>
            <w:r>
              <w:rPr>
                <w:rFonts w:ascii="Times New Roman" w:hAnsi="Times New Roman" w:eastAsia="宋体"/>
                <w:b w:val="0"/>
                <w:sz w:val="21"/>
              </w:rPr>
              <w:t>训练时间（v2 均值）</w:t>
            </w:r>
          </w:p>
        </w:tc>
        <w:tc>
          <w:tcPr>
            <w:tcW w:type="dxa" w:w="3024"/>
          </w:tcPr>
          <w:p>
            <w:pPr>
              <w:spacing w:line="240" w:lineRule="auto"/>
            </w:pPr>
            <w:r>
              <w:rPr>
                <w:rFonts w:ascii="Times New Roman" w:hAnsi="Times New Roman" w:eastAsia="宋体"/>
                <w:b w:val="0"/>
                <w:sz w:val="21"/>
              </w:rPr>
              <w:t>25.53 s</w:t>
            </w:r>
          </w:p>
        </w:tc>
        <w:tc>
          <w:tcPr>
            <w:tcW w:type="dxa" w:w="3024"/>
          </w:tcPr>
          <w:p>
            <w:pPr>
              <w:spacing w:line="240" w:lineRule="auto"/>
            </w:pPr>
            <w:r>
              <w:rPr>
                <w:rFonts w:ascii="Times New Roman" w:hAnsi="Times New Roman" w:eastAsia="宋体"/>
                <w:b w:val="0"/>
                <w:sz w:val="21"/>
              </w:rPr>
              <w:t>9.57 s（加速 ≈ 2.67×）</w:t>
            </w:r>
          </w:p>
        </w:tc>
      </w:tr>
      <w:tr>
        <w:tc>
          <w:tcPr>
            <w:tcW w:type="dxa" w:w="3024"/>
          </w:tcPr>
          <w:p>
            <w:pPr>
              <w:spacing w:line="240" w:lineRule="auto"/>
            </w:pPr>
            <w:r>
              <w:rPr>
                <w:rFonts w:ascii="Times New Roman" w:hAnsi="Times New Roman" w:eastAsia="宋体"/>
                <w:b w:val="0"/>
                <w:sz w:val="21"/>
              </w:rPr>
              <w:t>模型体积（纯模型口径，v1 / v2）</w:t>
            </w:r>
          </w:p>
        </w:tc>
        <w:tc>
          <w:tcPr>
            <w:tcW w:type="dxa" w:w="3024"/>
          </w:tcPr>
          <w:p>
            <w:pPr>
              <w:spacing w:line="240" w:lineRule="auto"/>
            </w:pPr>
            <w:r>
              <w:rPr>
                <w:rFonts w:ascii="Times New Roman" w:hAnsi="Times New Roman" w:eastAsia="宋体"/>
                <w:b w:val="0"/>
                <w:sz w:val="21"/>
              </w:rPr>
              <w:t>7.67 / 7.61 MB</w:t>
            </w:r>
          </w:p>
        </w:tc>
        <w:tc>
          <w:tcPr>
            <w:tcW w:type="dxa" w:w="3024"/>
          </w:tcPr>
          <w:p>
            <w:pPr>
              <w:spacing w:line="240" w:lineRule="auto"/>
            </w:pPr>
            <w:r>
              <w:rPr>
                <w:rFonts w:ascii="Times New Roman" w:hAnsi="Times New Roman" w:eastAsia="宋体"/>
                <w:b w:val="0"/>
                <w:sz w:val="21"/>
              </w:rPr>
              <w:t>7.82 / 7.83 MB（+2.0% / +2.9%）</w:t>
            </w:r>
          </w:p>
        </w:tc>
      </w:tr>
    </w:tbl>
    <w:p>
      <w:pPr>
        <w:spacing w:line="360" w:lineRule="auto" w:before="0" w:after="0"/>
      </w:pPr>
    </w:p>
    <w:p>
      <w:pPr>
        <w:spacing w:line="360" w:lineRule="auto" w:before="0" w:after="0"/>
        <w:ind w:firstLine="480"/>
      </w:pPr>
      <w:r>
        <w:rPr>
          <w:rFonts w:ascii="Times New Roman" w:hAnsi="Times New Roman" w:eastAsia="宋体"/>
          <w:b w:val="0"/>
          <w:sz w:val="24"/>
        </w:rPr>
        <w:t>三点结论。第一，</w:t>
      </w:r>
      <w:r>
        <w:rPr>
          <w:rFonts w:ascii="Times New Roman" w:hAnsi="Times New Roman" w:eastAsia="宋体"/>
          <w:b/>
          <w:sz w:val="24"/>
        </w:rPr>
        <w:t>特征筛选买到的是训练加速与少数类召回的再平衡，买不到主指标与体积</w:t>
      </w:r>
      <w:r>
        <w:rPr>
          <w:rFonts w:ascii="Times New Roman" w:hAnsi="Times New Roman" w:eastAsia="宋体"/>
          <w:b w:val="0"/>
          <w:sz w:val="24"/>
        </w:rPr>
        <w:t>：精简版训练加速约 2.67×（v1 口径 2.52×），Balanced Accuracy 略升（+0.006），但 Macro-F1差 −0.0022 落在切分方差（±0.0028–0.0055）之内，即主指标差异在噪声范围内；模型体积不降反增 2%——XGBoost 体积由树结构主导，减少输入特征不减小树模型体积（负结果，如实报告）。第二，少数类召回的再平衡方向真实但波动大：Analysis Recall 翻倍（v1 口径 0.058→0.120；v2 增量 +0.096±0.166）与 Worms +0.061±0.035、DoS +0.024±0.012 方向稳健，Backdoor−0.113±0.193 为高波动类，方向性表述须附区间。第三，v2 补测同时闭环了"单次特征排序（seed 42）未做稳定性检验"的局限：逐种子重排序的 top-32 特征集 Jaccard 重合度 0.83–0.94（对 v1 与两两种子间），排序基本稳定。</w:t>
      </w:r>
    </w:p>
    <w:p>
      <w:pPr>
        <w:spacing w:line="360" w:lineRule="auto" w:before="200" w:after="80"/>
      </w:pPr>
      <w:r>
        <w:rPr>
          <w:rFonts w:ascii="Times New Roman" w:hAnsi="Times New Roman" w:eastAsia="楷体_GB2312"/>
          <w:b w:val="0"/>
          <w:sz w:val="24"/>
        </w:rPr>
        <w:t>5.7 稳健性检验</w:t>
      </w:r>
    </w:p>
    <w:p>
      <w:pPr>
        <w:spacing w:line="360" w:lineRule="auto" w:before="0" w:after="0"/>
        <w:ind w:firstLine="480"/>
      </w:pPr>
      <w:r>
        <w:rPr>
          <w:rFonts w:ascii="Times New Roman" w:hAnsi="Times New Roman" w:eastAsia="宋体"/>
          <w:b w:val="0"/>
          <w:sz w:val="24"/>
        </w:rPr>
        <w:t>本章结论的稳健性从三个维度检验，全部在实验封板后按预注册或披露口径执行。</w:t>
      </w:r>
    </w:p>
    <w:p>
      <w:pPr>
        <w:spacing w:line="360" w:lineRule="auto" w:before="0" w:after="0"/>
        <w:ind w:firstLine="480"/>
      </w:pPr>
      <w:r>
        <w:rPr>
          <w:rFonts w:ascii="Times New Roman" w:hAnsi="Times New Roman" w:eastAsia="宋体"/>
          <w:b/>
          <w:sz w:val="24"/>
        </w:rPr>
        <w:t>（1）训练不平衡度敏感性。</w:t>
      </w:r>
      <w:r>
        <w:rPr>
          <w:rFonts w:ascii="Times New Roman" w:hAnsi="Times New Roman" w:eastAsia="宋体"/>
          <w:b w:val="0"/>
          <w:sz w:val="24"/>
        </w:rPr>
        <w:t xml:space="preserve"> 将训练划分少数类降至 50%/25%/10%（Normal 不动），考察none、类别权重与 SMOTE（v2 补测新增）三种配置的衰减曲线（图 6-2，数据源衰减实验结果表）。Macro-F1 口径下三种配置在 p=0.25 时相对p=1.0 的均值降幅分别为 0.0065、0.0084、0.0030，均小于预注册阈值 0.02——Macro-F1 结论对训练不平衡度扰动稳健（仅此口径与范围）；p=0.10 时降幅升至 0.028–0.054，超出阈值，不判稳健。少数类宏 Recall 则随 p 单调流失：类别权重 0.6626±0.0047（p=1.0）→0.4952±0.0421（p=0.25）→0.3314±0.0379（p=0.10）；SMOTE 恒介于无处理（0.3461→0.1687）与类别权重之间。即：不平衡处理方法在较轻不平衡下的价值主要是保住 Macro-F1，而非保住少数类召回——少数类召回对训练不平衡度本身高度敏感。</w:t>
      </w:r>
    </w:p>
    <w:p>
      <w:pPr>
        <w:spacing w:line="360" w:lineRule="auto" w:before="0" w:after="0"/>
        <w:ind w:firstLine="480"/>
      </w:pPr>
      <w:r>
        <w:rPr>
          <w:rFonts w:ascii="Times New Roman" w:hAnsi="Times New Roman" w:eastAsia="宋体"/>
          <w:b/>
          <w:sz w:val="24"/>
        </w:rPr>
        <w:t>（2）SMOTE 插值伪影敏感性。</w:t>
      </w:r>
      <w:r>
        <w:rPr>
          <w:rFonts w:ascii="Times New Roman" w:hAnsi="Times New Roman" w:eastAsia="宋体"/>
          <w:b w:val="0"/>
          <w:sz w:val="24"/>
        </w:rPr>
        <w:t xml:space="preserve"> SMOTE 在 one-hot 编码空间的插值会产生非 0/1 的合成哑变量取值。将合成行哑变量取整后重训（最小干预检验），Macro-F1 仅差 0.002（0.5041→0.5021），Balanced Acc 差 0.002，相对方法间差距（SMOTE 与 none 差 0.006）影响可忽略；但 DoS Recall系统性下降 0.05（0.4878→0.4378，3/3 种子方向一致），单类结论需谨慎；取整后 SMOTE 的DoS Recall（0.438）仍远高于无处理（0.098），方法排序不变。</w:t>
      </w:r>
    </w:p>
    <w:p>
      <w:pPr>
        <w:spacing w:line="360" w:lineRule="auto" w:before="0" w:after="0"/>
        <w:ind w:firstLine="480"/>
      </w:pPr>
      <w:r>
        <w:rPr>
          <w:rFonts w:ascii="Times New Roman" w:hAnsi="Times New Roman" w:eastAsia="宋体"/>
          <w:b/>
          <w:sz w:val="24"/>
        </w:rPr>
        <w:t>（3）切分方差补测。</w:t>
      </w:r>
      <w:r>
        <w:rPr>
          <w:rFonts w:ascii="Times New Roman" w:hAnsi="Times New Roman" w:eastAsia="宋体"/>
          <w:b w:val="0"/>
          <w:sz w:val="24"/>
        </w:rPr>
        <w:t xml:space="preserve"> 针对确定性配置"3 种子坍缩"（第 5.1 节披露）的方法论缺口，按per-seed 重切验证集协议对衰减、阈值移动、轻量化三批实验补测真实切分方差（协议重切分补测协议脚本：每种子重切官方训练池 80/20，编码器/标准化器逐种子仅拟合各自训练划分，官方测试集冻结只 transform）。补测后各实验关键结论（第 5.5–5.7 节）均以"均值±真实标准差"呈现；36/36 格成功，实验指标复跑逐位一致。该补测与本节前两项共同构成本文结论的稳健性证据链（协议与判定细节见 、threshold_moving_v2.md、。</w:t>
      </w:r>
    </w:p>
    <w:p>
      <w:pPr>
        <w:spacing w:line="360" w:lineRule="auto" w:before="200" w:after="80"/>
      </w:pPr>
      <w:r>
        <w:rPr>
          <w:rFonts w:ascii="Times New Roman" w:hAnsi="Times New Roman" w:eastAsia="楷体_GB2312"/>
          <w:b w:val="0"/>
          <w:sz w:val="24"/>
        </w:rPr>
        <w:t>5.8 本章小结</w:t>
      </w:r>
    </w:p>
    <w:p>
      <w:pPr>
        <w:spacing w:line="360" w:lineRule="auto" w:before="0" w:after="0"/>
        <w:ind w:firstLine="480"/>
      </w:pPr>
      <w:r>
        <w:rPr>
          <w:rFonts w:ascii="Times New Roman" w:hAnsi="Times New Roman" w:eastAsia="宋体"/>
          <w:b w:val="0"/>
          <w:sz w:val="24"/>
        </w:rPr>
        <w:t>本章在统一实验协议下给出了 36 组主实验、阈值移动对照、轻量化实验与三维度稳健性检验的完整结果。核心发现可归纳为四点：（1）不平衡处理方法的最优选择依赖模型与指标口径，不存在跨口径的普适最优（LR：SMOTE；XGBoost：类别权重；MLP：视口径而定）；（2）全项目最高 Macro-F1（0.5483，重切分下 0.5436±0.0063）来自零重训练的验证集阈值校准，而非任何训练期不平衡处理方法；（3）轻量化特征筛选以主指标噪声范围内的代价换取 2.67× 训练加速与少数类召回再平衡，但无法压缩 XGBoost 体积；（4）少数类召回对训练不平衡度本身高度敏感，处理方法的价值边界须按口径声明。第 6 节将进一步剖析错误构成，回答"漏检从何而来"。</w:t>
      </w:r>
    </w:p>
    <w:p>
      <w:r>
        <w:br w:type="page"/>
      </w:r>
    </w:p>
    <w:p>
      <w:pPr>
        <w:spacing w:line="360" w:lineRule="auto" w:before="120" w:after="160"/>
        <w:jc w:val="left"/>
      </w:pPr>
      <w:r>
        <w:rPr>
          <w:rFonts w:ascii="Times New Roman" w:hAnsi="Times New Roman" w:eastAsia="宋体"/>
          <w:b/>
          <w:sz w:val="28"/>
        </w:rPr>
        <w:t>6 讨论：误差分析</w:t>
      </w:r>
    </w:p>
    <w:p>
      <w:pPr>
        <w:spacing w:line="360" w:lineRule="auto" w:before="200" w:after="80"/>
      </w:pPr>
      <w:r>
        <w:rPr>
          <w:rFonts w:ascii="Times New Roman" w:hAnsi="Times New Roman" w:eastAsia="楷体_GB2312"/>
          <w:b w:val="0"/>
          <w:sz w:val="24"/>
        </w:rPr>
        <w:t>6.1 分析对象与选型</w:t>
      </w:r>
    </w:p>
    <w:p>
      <w:pPr>
        <w:spacing w:line="360" w:lineRule="auto" w:before="0" w:after="0"/>
        <w:ind w:firstLine="480"/>
      </w:pPr>
      <w:r>
        <w:rPr>
          <w:rFonts w:ascii="Times New Roman" w:hAnsi="Times New Roman" w:eastAsia="宋体"/>
          <w:b w:val="0"/>
          <w:sz w:val="24"/>
        </w:rPr>
        <w:t>误差分析的对象是各模型按验证集选出的代表性配置——三模型一致选择 SMOTE（验证集 Macro-F1：LR 0.4189 / XGBoost 0.6277 / MLP 0.5337，对应测试 0.3672 / 0.5041 / 0.4192；seed 0 重训）。选型严格遵守"测试集不参与任何选型"的纪律；本文初版曾误用测试集选型，经独立审计后撤回重跑，本报告为 v2 口径（审计留痕于项目仓库）。</w:t>
      </w:r>
    </w:p>
    <w:p>
      <w:pPr>
        <w:spacing w:line="360" w:lineRule="auto" w:before="200" w:after="80"/>
      </w:pPr>
      <w:r>
        <w:rPr>
          <w:rFonts w:ascii="Times New Roman" w:hAnsi="Times New Roman" w:eastAsia="楷体_GB2312"/>
          <w:b w:val="0"/>
          <w:sz w:val="24"/>
        </w:rPr>
        <w:t>6.2 错误构成归因</w:t>
      </w:r>
    </w:p>
    <w:p>
      <w:pPr>
        <w:spacing w:line="360" w:lineRule="auto" w:before="0" w:after="0"/>
        <w:ind w:firstLine="480"/>
      </w:pPr>
      <w:r>
        <w:rPr>
          <w:rFonts w:ascii="Times New Roman" w:hAnsi="Times New Roman" w:eastAsia="宋体"/>
          <w:b w:val="0"/>
          <w:sz w:val="24"/>
        </w:rPr>
        <w:t>对每个代表性配置的全部测试集错误行，以 64 位行哈希回查训练划分，将错误归为三类：</w:t>
      </w:r>
      <w:r>
        <w:rPr>
          <w:rFonts w:ascii="Times New Roman" w:hAnsi="Times New Roman" w:eastAsia="宋体"/>
          <w:b/>
          <w:sz w:val="24"/>
        </w:rPr>
        <w:t>novel</w:t>
      </w:r>
      <w:r>
        <w:rPr>
          <w:rFonts w:ascii="Times New Roman" w:hAnsi="Times New Roman" w:eastAsia="宋体"/>
          <w:b w:val="0"/>
          <w:sz w:val="24"/>
        </w:rPr>
        <w:t>（训练划分未见该特征向量——正常泛化错误）、</w:t>
      </w:r>
      <w:r>
        <w:rPr>
          <w:rFonts w:ascii="Times New Roman" w:hAnsi="Times New Roman" w:eastAsia="宋体"/>
          <w:b/>
          <w:sz w:val="24"/>
        </w:rPr>
        <w:t>conflict</w:t>
      </w:r>
      <w:r>
        <w:rPr>
          <w:rFonts w:ascii="Times New Roman" w:hAnsi="Times New Roman" w:eastAsia="宋体"/>
          <w:b w:val="0"/>
          <w:sz w:val="24"/>
        </w:rPr>
        <w:t>（训练见过同一向量但历史标注出现过多种 attack_cat——数据集固有标签冲突）、</w:t>
      </w:r>
      <w:r>
        <w:rPr>
          <w:rFonts w:ascii="Times New Roman" w:hAnsi="Times New Roman" w:eastAsia="宋体"/>
          <w:b/>
          <w:sz w:val="24"/>
        </w:rPr>
        <w:t>overlap_clean</w:t>
      </w:r>
      <w:r>
        <w:rPr>
          <w:rFonts w:ascii="Times New Roman" w:hAnsi="Times New Roman" w:eastAsia="宋体"/>
          <w:b w:val="0"/>
          <w:sz w:val="24"/>
        </w:rPr>
        <w:t>（训练见过且标注一致——模型对该向量的拟合极限）。</w:t>
      </w:r>
    </w:p>
    <w:p>
      <w:pPr>
        <w:spacing w:line="360" w:lineRule="auto" w:before="0" w:after="0"/>
        <w:jc w:val="center"/>
      </w:pPr>
      <w:r>
        <w:rPr>
          <w:rFonts w:ascii="Times New Roman" w:hAnsi="Times New Roman" w:eastAsia="宋体"/>
          <w:b/>
          <w:sz w:val="24"/>
        </w:rPr>
        <w:t>表 6-1 错误构成归因（代表性配置，seed 0；括号内为 3 种子区间）</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spacing w:line="240" w:lineRule="auto"/>
            </w:pPr>
            <w:r>
              <w:rPr>
                <w:rFonts w:ascii="Times New Roman" w:hAnsi="Times New Roman" w:eastAsia="宋体"/>
                <w:b/>
                <w:sz w:val="21"/>
              </w:rPr>
              <w:t>配置</w:t>
            </w:r>
          </w:p>
        </w:tc>
        <w:tc>
          <w:tcPr>
            <w:tcW w:type="dxa" w:w="1814"/>
          </w:tcPr>
          <w:p>
            <w:pPr>
              <w:spacing w:line="240" w:lineRule="auto"/>
            </w:pPr>
            <w:r>
              <w:rPr>
                <w:rFonts w:ascii="Times New Roman" w:hAnsi="Times New Roman" w:eastAsia="宋体"/>
                <w:b/>
                <w:sz w:val="21"/>
              </w:rPr>
              <w:t>错误总数</w:t>
            </w:r>
          </w:p>
        </w:tc>
        <w:tc>
          <w:tcPr>
            <w:tcW w:type="dxa" w:w="1814"/>
          </w:tcPr>
          <w:p>
            <w:pPr>
              <w:spacing w:line="240" w:lineRule="auto"/>
            </w:pPr>
            <w:r>
              <w:rPr>
                <w:rFonts w:ascii="Times New Roman" w:hAnsi="Times New Roman" w:eastAsia="宋体"/>
                <w:b/>
                <w:sz w:val="21"/>
              </w:rPr>
              <w:t>novel</w:t>
            </w:r>
          </w:p>
        </w:tc>
        <w:tc>
          <w:tcPr>
            <w:tcW w:type="dxa" w:w="1814"/>
          </w:tcPr>
          <w:p>
            <w:pPr>
              <w:spacing w:line="240" w:lineRule="auto"/>
            </w:pPr>
            <w:r>
              <w:rPr>
                <w:rFonts w:ascii="Times New Roman" w:hAnsi="Times New Roman" w:eastAsia="宋体"/>
                <w:b/>
                <w:sz w:val="21"/>
              </w:rPr>
              <w:t>conflict</w:t>
            </w:r>
          </w:p>
        </w:tc>
        <w:tc>
          <w:tcPr>
            <w:tcW w:type="dxa" w:w="1814"/>
          </w:tcPr>
          <w:p>
            <w:pPr>
              <w:spacing w:line="240" w:lineRule="auto"/>
            </w:pPr>
            <w:r>
              <w:rPr>
                <w:rFonts w:ascii="Times New Roman" w:hAnsi="Times New Roman" w:eastAsia="宋体"/>
                <w:b/>
                <w:sz w:val="21"/>
              </w:rPr>
              <w:t>overlap_clean</w:t>
            </w:r>
          </w:p>
        </w:tc>
      </w:tr>
      <w:tr>
        <w:tc>
          <w:tcPr>
            <w:tcW w:type="dxa" w:w="1814"/>
          </w:tcPr>
          <w:p>
            <w:pPr>
              <w:spacing w:line="240" w:lineRule="auto"/>
            </w:pPr>
            <w:r>
              <w:rPr>
                <w:rFonts w:ascii="Times New Roman" w:hAnsi="Times New Roman" w:eastAsia="宋体"/>
                <w:b w:val="0"/>
                <w:sz w:val="21"/>
              </w:rPr>
              <w:t>LR+SMOTE</w:t>
            </w:r>
          </w:p>
        </w:tc>
        <w:tc>
          <w:tcPr>
            <w:tcW w:type="dxa" w:w="1814"/>
          </w:tcPr>
          <w:p>
            <w:pPr>
              <w:spacing w:line="240" w:lineRule="auto"/>
            </w:pPr>
            <w:r>
              <w:rPr>
                <w:rFonts w:ascii="Times New Roman" w:hAnsi="Times New Roman" w:eastAsia="宋体"/>
                <w:b w:val="0"/>
                <w:sz w:val="21"/>
              </w:rPr>
              <w:t>30,660</w:t>
            </w:r>
          </w:p>
        </w:tc>
        <w:tc>
          <w:tcPr>
            <w:tcW w:type="dxa" w:w="1814"/>
          </w:tcPr>
          <w:p>
            <w:pPr>
              <w:spacing w:line="240" w:lineRule="auto"/>
            </w:pPr>
            <w:r>
              <w:rPr>
                <w:rFonts w:ascii="Times New Roman" w:hAnsi="Times New Roman" w:eastAsia="宋体"/>
                <w:b w:val="0"/>
                <w:sz w:val="21"/>
              </w:rPr>
              <w:t>25,558（83.4%）[82.8–84.4]</w:t>
            </w:r>
          </w:p>
        </w:tc>
        <w:tc>
          <w:tcPr>
            <w:tcW w:type="dxa" w:w="1814"/>
          </w:tcPr>
          <w:p>
            <w:pPr>
              <w:spacing w:line="240" w:lineRule="auto"/>
            </w:pPr>
            <w:r>
              <w:rPr>
                <w:rFonts w:ascii="Times New Roman" w:hAnsi="Times New Roman" w:eastAsia="宋体"/>
                <w:b w:val="0"/>
                <w:sz w:val="21"/>
              </w:rPr>
              <w:t>2,261（7.4%）[7.3–8.6]</w:t>
            </w:r>
          </w:p>
        </w:tc>
        <w:tc>
          <w:tcPr>
            <w:tcW w:type="dxa" w:w="1814"/>
          </w:tcPr>
          <w:p>
            <w:pPr>
              <w:spacing w:line="240" w:lineRule="auto"/>
            </w:pPr>
            <w:r>
              <w:rPr>
                <w:rFonts w:ascii="Times New Roman" w:hAnsi="Times New Roman" w:eastAsia="宋体"/>
                <w:b w:val="0"/>
                <w:sz w:val="21"/>
              </w:rPr>
              <w:t>2,841（9.3%）[8.0–9.3]</w:t>
            </w:r>
          </w:p>
        </w:tc>
      </w:tr>
      <w:tr>
        <w:tc>
          <w:tcPr>
            <w:tcW w:type="dxa" w:w="1814"/>
          </w:tcPr>
          <w:p>
            <w:pPr>
              <w:spacing w:line="240" w:lineRule="auto"/>
            </w:pPr>
            <w:r>
              <w:rPr>
                <w:rFonts w:ascii="Times New Roman" w:hAnsi="Times New Roman" w:eastAsia="宋体"/>
                <w:b w:val="0"/>
                <w:sz w:val="21"/>
              </w:rPr>
              <w:t>XGBoost+SMOTE</w:t>
            </w:r>
          </w:p>
        </w:tc>
        <w:tc>
          <w:tcPr>
            <w:tcW w:type="dxa" w:w="1814"/>
          </w:tcPr>
          <w:p>
            <w:pPr>
              <w:spacing w:line="240" w:lineRule="auto"/>
            </w:pPr>
            <w:r>
              <w:rPr>
                <w:rFonts w:ascii="Times New Roman" w:hAnsi="Times New Roman" w:eastAsia="宋体"/>
                <w:b w:val="0"/>
                <w:sz w:val="21"/>
              </w:rPr>
              <w:t>22,088</w:t>
            </w:r>
          </w:p>
        </w:tc>
        <w:tc>
          <w:tcPr>
            <w:tcW w:type="dxa" w:w="1814"/>
          </w:tcPr>
          <w:p>
            <w:pPr>
              <w:spacing w:line="240" w:lineRule="auto"/>
            </w:pPr>
            <w:r>
              <w:rPr>
                <w:rFonts w:ascii="Times New Roman" w:hAnsi="Times New Roman" w:eastAsia="宋体"/>
                <w:b w:val="0"/>
                <w:sz w:val="21"/>
              </w:rPr>
              <w:t>18,361（83.1%）</w:t>
            </w:r>
          </w:p>
        </w:tc>
        <w:tc>
          <w:tcPr>
            <w:tcW w:type="dxa" w:w="1814"/>
          </w:tcPr>
          <w:p>
            <w:pPr>
              <w:spacing w:line="240" w:lineRule="auto"/>
            </w:pPr>
            <w:r>
              <w:rPr>
                <w:rFonts w:ascii="Times New Roman" w:hAnsi="Times New Roman" w:eastAsia="宋体"/>
                <w:b w:val="0"/>
                <w:sz w:val="21"/>
              </w:rPr>
              <w:t>1,848（8.4%）</w:t>
            </w:r>
          </w:p>
        </w:tc>
        <w:tc>
          <w:tcPr>
            <w:tcW w:type="dxa" w:w="1814"/>
          </w:tcPr>
          <w:p>
            <w:pPr>
              <w:spacing w:line="240" w:lineRule="auto"/>
            </w:pPr>
            <w:r>
              <w:rPr>
                <w:rFonts w:ascii="Times New Roman" w:hAnsi="Times New Roman" w:eastAsia="宋体"/>
                <w:b w:val="0"/>
                <w:sz w:val="21"/>
              </w:rPr>
              <w:t>1,879（8.5%）</w:t>
            </w:r>
          </w:p>
        </w:tc>
      </w:tr>
      <w:tr>
        <w:tc>
          <w:tcPr>
            <w:tcW w:type="dxa" w:w="1814"/>
          </w:tcPr>
          <w:p>
            <w:pPr>
              <w:spacing w:line="240" w:lineRule="auto"/>
            </w:pPr>
            <w:r>
              <w:rPr>
                <w:rFonts w:ascii="Times New Roman" w:hAnsi="Times New Roman" w:eastAsia="宋体"/>
                <w:b w:val="0"/>
                <w:sz w:val="21"/>
              </w:rPr>
              <w:t>MLP+SMOTE</w:t>
            </w:r>
          </w:p>
        </w:tc>
        <w:tc>
          <w:tcPr>
            <w:tcW w:type="dxa" w:w="1814"/>
          </w:tcPr>
          <w:p>
            <w:pPr>
              <w:spacing w:line="240" w:lineRule="auto"/>
            </w:pPr>
            <w:r>
              <w:rPr>
                <w:rFonts w:ascii="Times New Roman" w:hAnsi="Times New Roman" w:eastAsia="宋体"/>
                <w:b w:val="0"/>
                <w:sz w:val="21"/>
              </w:rPr>
              <w:t>28,639</w:t>
            </w:r>
          </w:p>
        </w:tc>
        <w:tc>
          <w:tcPr>
            <w:tcW w:type="dxa" w:w="1814"/>
          </w:tcPr>
          <w:p>
            <w:pPr>
              <w:spacing w:line="240" w:lineRule="auto"/>
            </w:pPr>
            <w:r>
              <w:rPr>
                <w:rFonts w:ascii="Times New Roman" w:hAnsi="Times New Roman" w:eastAsia="宋体"/>
                <w:b w:val="0"/>
                <w:sz w:val="21"/>
              </w:rPr>
              <w:t>24,131（84.3%）</w:t>
            </w:r>
          </w:p>
        </w:tc>
        <w:tc>
          <w:tcPr>
            <w:tcW w:type="dxa" w:w="1814"/>
          </w:tcPr>
          <w:p>
            <w:pPr>
              <w:spacing w:line="240" w:lineRule="auto"/>
            </w:pPr>
            <w:r>
              <w:rPr>
                <w:rFonts w:ascii="Times New Roman" w:hAnsi="Times New Roman" w:eastAsia="宋体"/>
                <w:b w:val="0"/>
                <w:sz w:val="21"/>
              </w:rPr>
              <w:t>2,188（7.6%）</w:t>
            </w:r>
          </w:p>
        </w:tc>
        <w:tc>
          <w:tcPr>
            <w:tcW w:type="dxa" w:w="1814"/>
          </w:tcPr>
          <w:p>
            <w:pPr>
              <w:spacing w:line="240" w:lineRule="auto"/>
            </w:pPr>
            <w:r>
              <w:rPr>
                <w:rFonts w:ascii="Times New Roman" w:hAnsi="Times New Roman" w:eastAsia="宋体"/>
                <w:b w:val="0"/>
                <w:sz w:val="21"/>
              </w:rPr>
              <w:t>2,320（8.1%）</w:t>
            </w:r>
          </w:p>
        </w:tc>
      </w:tr>
    </w:tbl>
    <w:p>
      <w:pPr>
        <w:spacing w:line="360" w:lineRule="auto" w:before="0" w:after="0"/>
      </w:pPr>
    </w:p>
    <w:p>
      <w:pPr>
        <w:spacing w:line="360" w:lineRule="auto" w:before="0" w:after="0"/>
        <w:ind w:firstLine="480"/>
      </w:pPr>
      <w:r>
        <w:rPr>
          <w:rFonts w:ascii="Times New Roman" w:hAnsi="Times New Roman" w:eastAsia="宋体"/>
          <w:b w:val="0"/>
          <w:sz w:val="24"/>
        </w:rPr>
        <w:t>三点结论。第一，</w:t>
      </w:r>
      <w:r>
        <w:rPr>
          <w:rFonts w:ascii="Times New Roman" w:hAnsi="Times New Roman" w:eastAsia="宋体"/>
          <w:b/>
          <w:sz w:val="24"/>
        </w:rPr>
        <w:t>约 83–84% 的错误是正常泛化错误</w:t>
      </w:r>
      <w:r>
        <w:rPr>
          <w:rFonts w:ascii="Times New Roman" w:hAnsi="Times New Roman" w:eastAsia="宋体"/>
          <w:b w:val="0"/>
          <w:sz w:val="24"/>
        </w:rPr>
        <w:t>（训练未见向量），这部分错误的改善空间在数据与模型层面，而非不平衡处理层面。第二，</w:t>
      </w:r>
      <w:r>
        <w:rPr>
          <w:rFonts w:ascii="Times New Roman" w:hAnsi="Times New Roman" w:eastAsia="宋体"/>
          <w:b/>
          <w:sz w:val="24"/>
        </w:rPr>
        <w:t>7.3–8.6% 的错误落在数据集固有标签冲突上</w:t>
      </w:r>
      <w:r>
        <w:rPr>
          <w:rFonts w:ascii="Times New Roman" w:hAnsi="Times New Roman" w:eastAsia="宋体"/>
          <w:b w:val="0"/>
          <w:sz w:val="24"/>
        </w:rPr>
        <w:t>——同一特征向量在训练划分中出现过多种 attack_cat 标注，任何确定性模型在这些向量上的错误不可通过训练消除；该口径为 v2 修正（v1 仅按二分类 label 计为 0.6–0.7%，系统性低估约 10 倍，经独立审计口径修正）。"不可约"以保留官方划分与重复记录为前提，去重可移除此类错误（第 3.5 节决策与 7.3 节局限性）。第三，8.0–9.3% 为训练见过且标注一致的向量，代表模型对该向量的拟合极限。</w:t>
      </w:r>
    </w:p>
    <w:p>
      <w:pPr>
        <w:spacing w:line="360" w:lineRule="auto" w:before="0" w:after="0"/>
        <w:ind w:firstLine="480"/>
      </w:pPr>
      <w:r>
        <w:rPr>
          <w:rFonts w:ascii="Times New Roman" w:hAnsi="Times New Roman" w:eastAsia="宋体"/>
          <w:b/>
          <w:sz w:val="24"/>
        </w:rPr>
        <w:t>确定性校验</w:t>
      </w:r>
      <w:r>
        <w:rPr>
          <w:rFonts w:ascii="Times New Roman" w:hAnsi="Times New Roman" w:eastAsia="宋体"/>
          <w:b w:val="0"/>
          <w:sz w:val="24"/>
        </w:rPr>
        <w:t>：模型是特征的确定性函数，全部错误行满足"测试行预测 == 训练副本行预测"，三配置不一致数均为 0——归因的哈希与行对齐正确性经内部硬校验（审计后新增跨模型交集核验：|LR∩XGB| = 499、|XGB∩MLP| = 501、|LR∩MLP| = 522，三模型各自错误集远大于交集，排除了计数复用类缺陷）。</w:t>
      </w:r>
    </w:p>
    <w:p>
      <w:pPr>
        <w:spacing w:line="360" w:lineRule="auto" w:before="200" w:after="80"/>
      </w:pPr>
      <w:r>
        <w:rPr>
          <w:rFonts w:ascii="Times New Roman" w:hAnsi="Times New Roman" w:eastAsia="楷体_GB2312"/>
          <w:b w:val="0"/>
          <w:sz w:val="24"/>
        </w:rPr>
        <w:t>6.3 重叠行错误率与构成</w:t>
      </w:r>
    </w:p>
    <w:p>
      <w:pPr>
        <w:spacing w:line="360" w:lineRule="auto" w:before="0" w:after="0"/>
        <w:ind w:firstLine="480"/>
      </w:pPr>
      <w:r>
        <w:rPr>
          <w:rFonts w:ascii="Times New Roman" w:hAnsi="Times New Roman" w:eastAsia="宋体"/>
          <w:b w:val="0"/>
          <w:sz w:val="24"/>
        </w:rPr>
        <w:t>测试集中与训练划分共享特征向量的行共 8,154 条（第 3.5 节）。三个代表性配置在该子集上的错误率为 46–63%（LR 63% / XGBoost 46% / MLP 55%），显著高于各自整体错误率（27–37%）。</w:t>
      </w:r>
    </w:p>
    <w:p>
      <w:pPr>
        <w:spacing w:line="360" w:lineRule="auto" w:before="0" w:after="0"/>
        <w:ind w:firstLine="480"/>
      </w:pPr>
      <w:r>
        <w:rPr>
          <w:rFonts w:ascii="Times New Roman" w:hAnsi="Times New Roman" w:eastAsia="宋体"/>
          <w:b w:val="0"/>
          <w:sz w:val="24"/>
        </w:rPr>
        <w:t xml:space="preserve">一个自然的怀疑是：高错误率是否由训练期不平衡处理（如类别权重）造成？为此补做无处理对照：无处理 XGBoost 在重叠行上的错误率为 </w:t>
      </w:r>
      <w:r>
        <w:rPr>
          <w:rFonts w:ascii="Times New Roman" w:hAnsi="Times New Roman" w:eastAsia="宋体"/>
          <w:b/>
          <w:sz w:val="24"/>
        </w:rPr>
        <w:t>44.2%，约为其整体错误率（23.1%）的 1.9 倍</w:t>
      </w:r>
      <w:r>
        <w:rPr>
          <w:rFonts w:ascii="Times New Roman" w:hAnsi="Times New Roman" w:eastAsia="宋体"/>
          <w:b w:val="0"/>
          <w:sz w:val="24"/>
        </w:rPr>
        <w:t>。即高错误率的主体是重叠行自身的难度（"部分见过"的向量恰恰处于类边界），训练期不平衡处理只是次要增量。这一对照将"重叠行难"与"处理方法有害"两个假设分离，支持了后者不成立。</w:t>
      </w:r>
    </w:p>
    <w:p>
      <w:pPr>
        <w:spacing w:line="360" w:lineRule="auto" w:before="0" w:after="0"/>
        <w:ind w:firstLine="480"/>
      </w:pPr>
      <w:r>
        <w:rPr>
          <w:rFonts w:ascii="Times New Roman" w:hAnsi="Times New Roman" w:eastAsia="宋体"/>
          <w:b w:val="0"/>
          <w:sz w:val="24"/>
        </w:rPr>
        <w:t>重叠行错误的真实类别构成（逐行实测，非推断）：XGBoost+SMOTE 下 Exploits 1,670 条（45%）、DoS 933 条（25%）、Normal 511 条（14%）；LR 下 Exploits 33%、DoS 29%、Reconnaissance 20%。关于"错分方向"，能直接支撑的结论仅 XGBoost+SMOTE 的 Exploits→DoS 2,133 条（最大混淆对之一）；其余模型的方向性表述见各自混淆对，不做跨模型外推。</w:t>
      </w:r>
    </w:p>
    <w:p>
      <w:pPr>
        <w:spacing w:line="360" w:lineRule="auto" w:before="200" w:after="80"/>
      </w:pPr>
      <w:r>
        <w:rPr>
          <w:rFonts w:ascii="Times New Roman" w:hAnsi="Times New Roman" w:eastAsia="楷体_GB2312"/>
          <w:b w:val="0"/>
          <w:sz w:val="24"/>
        </w:rPr>
        <w:t>6.4 主要混淆对</w:t>
      </w:r>
    </w:p>
    <w:p>
      <w:pPr>
        <w:spacing w:line="360" w:lineRule="auto" w:before="0" w:after="0"/>
        <w:ind w:firstLine="480"/>
      </w:pPr>
      <w:r>
        <w:rPr>
          <w:rFonts w:ascii="Times New Roman" w:hAnsi="Times New Roman" w:eastAsia="宋体"/>
          <w:b w:val="0"/>
          <w:sz w:val="24"/>
        </w:rPr>
        <w:t xml:space="preserve">三个代表性配置的最大混淆对高度一致地指向 </w:t>
      </w:r>
      <w:r>
        <w:rPr>
          <w:rFonts w:ascii="Times New Roman" w:hAnsi="Times New Roman" w:eastAsia="宋体"/>
          <w:b/>
          <w:sz w:val="24"/>
        </w:rPr>
        <w:t>Normal→Fuzzers</w:t>
      </w:r>
      <w:r>
        <w:rPr>
          <w:rFonts w:ascii="Times New Roman" w:hAnsi="Times New Roman" w:eastAsia="宋体"/>
          <w:b w:val="0"/>
          <w:sz w:val="24"/>
        </w:rPr>
        <w:t>（LR 9,106 条、XGBoost 8,421条、MLP 11,016 条）——大量正常流量被误判为 Fuzzers 攻击，这与 Fuzzers 类行为的边界模糊性（扫描类流量与正常交互流量特征重叠）相符。XGBoost+SMOTE 的第二大混淆对为 Exploits→DoS（2,133 条），与第 5.3 节"SMOTE 显著提升 DoS Recall 至 0.488"互为印证：召回提升的代价之一是部分 Exploits 被吸引进 DoS 判决。完整混淆矩阵（最优配置三种子）见图 6-1（最优配置混淆矩阵图）。</w:t>
      </w:r>
    </w:p>
    <w:p>
      <w:pPr>
        <w:spacing w:line="360" w:lineRule="auto" w:before="200" w:after="80"/>
      </w:pPr>
      <w:r>
        <w:rPr>
          <w:rFonts w:ascii="Times New Roman" w:hAnsi="Times New Roman" w:eastAsia="楷体_GB2312"/>
          <w:b w:val="0"/>
          <w:sz w:val="24"/>
        </w:rPr>
        <w:t>6.5 不确定性声明</w:t>
      </w:r>
    </w:p>
    <w:p>
      <w:pPr>
        <w:spacing w:line="360" w:lineRule="auto" w:before="0" w:after="0"/>
        <w:ind w:firstLine="480"/>
      </w:pPr>
      <w:r>
        <w:rPr>
          <w:rFonts w:ascii="Times New Roman" w:hAnsi="Times New Roman" w:eastAsia="宋体"/>
          <w:b w:val="0"/>
          <w:sz w:val="24"/>
        </w:rPr>
        <w:t>MLP 是全矩阵种子方差最大的模型（测试 Macro-F1 标准差最高 0.017），且其 SMOTE 格种子 0的验证 Macro-F1 为三种子最低（0.530 对 0.533/0.539）——因此 MLP 相关的误差构成百分比是单种子代表性运行，论文引用时应以 3 种子区间表述（表 6-1 括号区间已给出）或注明单种子属性；MLP+ROS 另有 1 格 max_iter=100 未收敛警告（第 4.3 节协议统一不放宽）。</w:t>
      </w:r>
    </w:p>
    <w:p>
      <w:pPr>
        <w:spacing w:line="360" w:lineRule="auto" w:before="200" w:after="80"/>
      </w:pPr>
      <w:r>
        <w:rPr>
          <w:rFonts w:ascii="Times New Roman" w:hAnsi="Times New Roman" w:eastAsia="楷体_GB2312"/>
          <w:b w:val="0"/>
          <w:sz w:val="24"/>
        </w:rPr>
        <w:t>6.6 本章小结</w:t>
      </w:r>
    </w:p>
    <w:p>
      <w:pPr>
        <w:spacing w:line="360" w:lineRule="auto" w:before="0" w:after="0"/>
        <w:ind w:firstLine="480"/>
      </w:pPr>
      <w:r>
        <w:rPr>
          <w:rFonts w:ascii="Times New Roman" w:hAnsi="Times New Roman" w:eastAsia="宋体"/>
          <w:b w:val="0"/>
          <w:sz w:val="24"/>
        </w:rPr>
        <w:t>本章将"漏检从何而来"分解为三层：83–84% 的正常泛化错误、7.3–8.6% 的数据集固有标签冲突、8.0–9.3% 的模型拟合极限；重叠行高错误率的主体是行自身难度而非处理方法（无处理对照44.2% = 整体 1.9 倍）；主要混淆对 Normal→Fuzzers 在三模型一致出现，XGBoost+SMOTE 的DoS 召回提升伴随 Exploits→DoS 2,133 条转移。这些结论为 7.3 节的局限性声明（划分重叠、标签冲突、去重反事实缺位）提供了数据支撑。</w:t>
      </w:r>
    </w:p>
    <w:p>
      <w:r>
        <w:br w:type="page"/>
      </w:r>
    </w:p>
    <w:p>
      <w:pPr>
        <w:spacing w:line="360" w:lineRule="auto" w:before="120" w:after="160"/>
        <w:jc w:val="left"/>
      </w:pPr>
      <w:r>
        <w:rPr>
          <w:rFonts w:ascii="Times New Roman" w:hAnsi="Times New Roman" w:eastAsia="宋体"/>
          <w:b/>
          <w:sz w:val="28"/>
        </w:rPr>
        <w:t>7 结论与局限与未来工作</w:t>
      </w:r>
    </w:p>
    <w:p>
      <w:pPr>
        <w:spacing w:line="360" w:lineRule="auto" w:before="200" w:after="80"/>
      </w:pPr>
      <w:r>
        <w:rPr>
          <w:rFonts w:ascii="Times New Roman" w:hAnsi="Times New Roman" w:eastAsia="楷体_GB2312"/>
          <w:b w:val="0"/>
          <w:sz w:val="24"/>
        </w:rPr>
        <w:t>7.1 三个研究问题的结论</w:t>
      </w:r>
    </w:p>
    <w:p>
      <w:pPr>
        <w:spacing w:line="360" w:lineRule="auto" w:before="0" w:after="0"/>
        <w:ind w:firstLine="480"/>
      </w:pPr>
      <w:r>
        <w:rPr>
          <w:rFonts w:ascii="Times New Roman" w:hAnsi="Times New Roman" w:eastAsia="宋体"/>
          <w:b/>
          <w:sz w:val="24"/>
        </w:rPr>
        <w:t>RQ1（类别不平衡让哪些攻击类被漏检？）</w:t>
      </w:r>
      <w:r>
        <w:rPr>
          <w:rFonts w:ascii="Times New Roman" w:hAnsi="Times New Roman" w:eastAsia="宋体"/>
          <w:b w:val="0"/>
          <w:sz w:val="24"/>
        </w:rPr>
        <w:t xml:space="preserve"> 漏检格局是"类别 × 方法"的强交互而非某些类的固有属性：LR 无处理对 Backdoor/Shellcode/Worms 完全漏检（Recall=0），任一处理即可恢复；DoS 仅在 XGBoost+SMOTE 下被有效挽救（Recall 0.488，同模型类别权重仅 0.171）；且少数类召回对训练不平衡度本身高度敏感——训练少数类降至 10% 时，类别权重的少数类宏 Recall 从0.663 流失至 0.331（第 5.3、5.7 节）。</w:t>
      </w:r>
    </w:p>
    <w:p>
      <w:pPr>
        <w:spacing w:line="360" w:lineRule="auto" w:before="0" w:after="0"/>
        <w:ind w:firstLine="480"/>
      </w:pPr>
      <w:r>
        <w:rPr>
          <w:rFonts w:ascii="Times New Roman" w:hAnsi="Times New Roman" w:eastAsia="宋体"/>
          <w:b/>
          <w:sz w:val="24"/>
        </w:rPr>
        <w:t>RQ2（类别权重、ROS、SMOTE 哪种更有效？）</w:t>
      </w:r>
      <w:r>
        <w:rPr>
          <w:rFonts w:ascii="Times New Roman" w:hAnsi="Times New Roman" w:eastAsia="宋体"/>
          <w:b w:val="0"/>
          <w:sz w:val="24"/>
        </w:rPr>
        <w:t xml:space="preserve"> 不存在跨模型、跨口径的普适最优：Macro-F1口径下 LR 最优 SMOTE（0.3672）、MLP 最优 ROS（0.4313）、XGBoost 最优类别权重（0.5123）；Balanced Accuracy 口径下 XGBoost/MLP 转为类别权重最优，LR 仍 SMOTE 最优。方法排序稳定性高度依赖模型（选型分割间 LR τ=+1.0 完全稳定、XGBoost τ=−1.0 完全反转），"单一最优方法"的表述在任何口径下都不成立（第 5.1、5.2 节）。</w:t>
      </w:r>
    </w:p>
    <w:p>
      <w:pPr>
        <w:spacing w:line="360" w:lineRule="auto" w:before="0" w:after="0"/>
        <w:ind w:firstLine="480"/>
      </w:pPr>
      <w:r>
        <w:rPr>
          <w:rFonts w:ascii="Times New Roman" w:hAnsi="Times New Roman" w:eastAsia="宋体"/>
          <w:b/>
          <w:sz w:val="24"/>
        </w:rPr>
        <w:t>RQ3（检测性能、少数类 Recall 与开销如何权衡？）</w:t>
      </w:r>
      <w:r>
        <w:rPr>
          <w:rFonts w:ascii="Times New Roman" w:hAnsi="Times New Roman" w:eastAsia="宋体"/>
          <w:b w:val="0"/>
          <w:sz w:val="24"/>
        </w:rPr>
        <w:t xml:space="preserve"> 权衡曲线上的四个零/低开销选项各有明确适用条件：过采样以 2.3–5.9 倍训练时间换取少数类召回；类别权重零训练开销且在XGBoost/MLP 上 Balanced Acc 提升最大；</w:t>
      </w:r>
      <w:r>
        <w:rPr>
          <w:rFonts w:ascii="Times New Roman" w:hAnsi="Times New Roman" w:eastAsia="宋体"/>
          <w:b/>
          <w:sz w:val="24"/>
        </w:rPr>
        <w:t>验证集阈值校准以零重训练达到全项目最高Macro-F1（0.5436±0.0063，最差种子 0.5367，超过全部训练期方法）</w:t>
      </w:r>
      <w:r>
        <w:rPr>
          <w:rFonts w:ascii="Times New Roman" w:hAnsi="Times New Roman" w:eastAsia="宋体"/>
          <w:b w:val="0"/>
          <w:sz w:val="24"/>
        </w:rPr>
        <w:t>；特征筛选轻量化以主指标噪声范围内的差异（−0.0022）换取 2.67× 训练加速——但买不到 XGBoost 体积（+2.9%）。按部署约束选型，不存在全方位最优（第 5.4–5.6 节）。</w:t>
      </w:r>
    </w:p>
    <w:p>
      <w:pPr>
        <w:spacing w:line="360" w:lineRule="auto" w:before="200" w:after="80"/>
      </w:pPr>
      <w:r>
        <w:rPr>
          <w:rFonts w:ascii="Times New Roman" w:hAnsi="Times New Roman" w:eastAsia="楷体_GB2312"/>
          <w:b w:val="0"/>
          <w:sz w:val="24"/>
        </w:rPr>
        <w:t>7.2 主要工作与贡献</w:t>
      </w:r>
    </w:p>
    <w:p>
      <w:pPr>
        <w:spacing w:line="360" w:lineRule="auto" w:before="0" w:after="0"/>
        <w:ind w:firstLine="480"/>
      </w:pPr>
      <w:r>
        <w:rPr>
          <w:rFonts w:ascii="Times New Roman" w:hAnsi="Times New Roman" w:eastAsia="宋体"/>
          <w:b w:val="0"/>
          <w:sz w:val="24"/>
        </w:rPr>
        <w:t>本文的贡献不在于新算法，而在于比较研究的严谨性与结论的可信度：</w:t>
      </w:r>
    </w:p>
    <w:p>
      <w:pPr>
        <w:spacing w:line="360" w:lineRule="auto" w:before="0" w:after="0"/>
        <w:ind w:firstLine="480"/>
      </w:pPr>
      <w:r>
        <w:rPr>
          <w:rFonts w:ascii="Times New Roman" w:hAnsi="Times New Roman" w:eastAsia="宋体"/>
          <w:b w:val="0"/>
          <w:sz w:val="24"/>
        </w:rPr>
        <w:t xml:space="preserve">1. </w:t>
      </w:r>
      <w:r>
        <w:rPr>
          <w:rFonts w:ascii="Times New Roman" w:hAnsi="Times New Roman" w:eastAsia="宋体"/>
          <w:b/>
          <w:sz w:val="24"/>
        </w:rPr>
        <w:t>统一协议下的系统比较</w:t>
      </w:r>
      <w:r>
        <w:rPr>
          <w:rFonts w:ascii="Times New Roman" w:hAnsi="Times New Roman" w:eastAsia="宋体"/>
          <w:b w:val="0"/>
          <w:sz w:val="24"/>
        </w:rPr>
        <w:t xml:space="preserve">：3 模型 × 4 方法 × 3 种子全矩阵（36/36 成功）+ 阈值移动、特征筛选两项扩展对照，全部超参先于结果冻结、全部防泄漏纪律可审计；并首次（在本协议内）将方法排序的口径依赖以预注册 Kendall τ 检验正式化，指出"排序稳定性高度依赖模型"。2. </w:t>
      </w:r>
      <w:r>
        <w:rPr>
          <w:rFonts w:ascii="Times New Roman" w:hAnsi="Times New Roman" w:eastAsia="宋体"/>
          <w:b/>
          <w:sz w:val="24"/>
        </w:rPr>
        <w:t>零重训练阈值校准纳入权衡曲线</w:t>
      </w:r>
      <w:r>
        <w:rPr>
          <w:rFonts w:ascii="Times New Roman" w:hAnsi="Times New Roman" w:eastAsia="宋体"/>
          <w:b w:val="0"/>
          <w:sz w:val="24"/>
        </w:rPr>
        <w:t xml:space="preserve">：发现并验证了被常规"训练期处理"比较框架忽略的选项——验证集阈值校准，其 Macro-F1 超过全部训练期不平衡处理配置，同时明确了其公平性边界与迁移失败反例。3. </w:t>
      </w:r>
      <w:r>
        <w:rPr>
          <w:rFonts w:ascii="Times New Roman" w:hAnsi="Times New Roman" w:eastAsia="宋体"/>
          <w:b/>
          <w:sz w:val="24"/>
        </w:rPr>
        <w:t>诚实负结果与方差证据链</w:t>
      </w:r>
      <w:r>
        <w:rPr>
          <w:rFonts w:ascii="Times New Roman" w:hAnsi="Times New Roman" w:eastAsia="宋体"/>
          <w:b w:val="0"/>
          <w:sz w:val="24"/>
        </w:rPr>
        <w:t>：特征筛选无法压缩 XGBoost 体积、少数类召回对训练不平衡度高度敏感等负结果如实报告；对确定性配置的种子坍缩实施了切分方差补测，使"3 种子"度量真实方差而非可复现性；全部结论可溯源到证据文件与对抗审计台账（留痕于项目仓库）。</w:t>
      </w:r>
    </w:p>
    <w:p>
      <w:pPr>
        <w:spacing w:line="360" w:lineRule="auto" w:before="200" w:after="80"/>
      </w:pPr>
      <w:r>
        <w:rPr>
          <w:rFonts w:ascii="Times New Roman" w:hAnsi="Times New Roman" w:eastAsia="楷体_GB2312"/>
          <w:b w:val="0"/>
          <w:sz w:val="24"/>
        </w:rPr>
        <w:t>7.3 局限性</w:t>
      </w:r>
    </w:p>
    <w:p>
      <w:pPr>
        <w:spacing w:line="360" w:lineRule="auto" w:before="160" w:after="80"/>
        <w:ind w:firstLine="480"/>
      </w:pPr>
      <w:r>
        <w:rPr>
          <w:rFonts w:ascii="Times New Roman" w:hAnsi="Times New Roman" w:eastAsia="宋体"/>
          <w:b/>
          <w:sz w:val="24"/>
        </w:rPr>
        <w:t>7.3.1 数据层局限</w:t>
      </w:r>
    </w:p>
    <w:p>
      <w:pPr>
        <w:spacing w:line="360" w:lineRule="auto" w:before="0" w:after="0"/>
        <w:ind w:firstLine="480"/>
      </w:pPr>
      <w:r>
        <w:rPr>
          <w:rFonts w:ascii="Times New Roman" w:hAnsi="Times New Roman" w:eastAsia="宋体"/>
          <w:b/>
          <w:sz w:val="24"/>
        </w:rPr>
        <w:t>（1）划分重叠。</w:t>
      </w:r>
      <w:r>
        <w:rPr>
          <w:rFonts w:ascii="Times New Roman" w:hAnsi="Times New Roman" w:eastAsia="宋体"/>
          <w:b w:val="0"/>
          <w:sz w:val="24"/>
        </w:rPr>
        <w:t xml:space="preserve"> 官方划分保留了数据集固有重复：验证集 47.0% 的行、测试集 9.9% 的行与训练划分共享特征向量（第 3.5 节，划分重叠审计报告）。影响方向：与训练"部分见过"的测试行使绝对指标可能整体偏高；该效应对所有方法对称，不改变方法间相对比较结论。本文未做去重反事实实验——若去重，标签冲突类错误（第 6.2 节，7.3–8.6%）可被移除，各配置的绝对水平会系统性变化。</w:t>
      </w:r>
    </w:p>
    <w:p>
      <w:pPr>
        <w:spacing w:line="360" w:lineRule="auto" w:before="0" w:after="0"/>
        <w:ind w:firstLine="480"/>
      </w:pPr>
      <w:r>
        <w:rPr>
          <w:rFonts w:ascii="Times New Roman" w:hAnsi="Times New Roman" w:eastAsia="宋体"/>
          <w:b/>
          <w:sz w:val="24"/>
        </w:rPr>
        <w:t>（2）数据集固有标签冲突。</w:t>
      </w:r>
      <w:r>
        <w:rPr>
          <w:rFonts w:ascii="Times New Roman" w:hAnsi="Times New Roman" w:eastAsia="宋体"/>
          <w:b w:val="0"/>
          <w:sz w:val="24"/>
        </w:rPr>
        <w:t xml:space="preserve"> 训练集 84,049 行（48%）存在同特征向量重复，其中 229 组对应不同二分类 label；按 attack_cat 口径，全部配置 7.3–8.6% 的测试错误落在冲突向量上。这些错误对确定性模型不可通过训练消除（"不可约"以保留官方划分与不去重为前提，去重可移除）。</w:t>
      </w:r>
    </w:p>
    <w:p>
      <w:pPr>
        <w:spacing w:line="360" w:lineRule="auto" w:before="0" w:after="0"/>
        <w:ind w:firstLine="480"/>
      </w:pPr>
      <w:r>
        <w:rPr>
          <w:rFonts w:ascii="Times New Roman" w:hAnsi="Times New Roman" w:eastAsia="宋体"/>
          <w:b/>
          <w:sz w:val="24"/>
        </w:rPr>
        <w:t>（3）单一数据集。</w:t>
      </w:r>
      <w:r>
        <w:rPr>
          <w:rFonts w:ascii="Times New Roman" w:hAnsi="Times New Roman" w:eastAsia="宋体"/>
          <w:b w:val="0"/>
          <w:sz w:val="24"/>
        </w:rPr>
        <w:t xml:space="preserve"> 全部结论基于 UNSW-NB15 官方划分集，未做跨数据集外部验证。原计划的 CIC-IDS2017[3] 外部验证（仅最优组合迁移）按砍项原则于第 6 周末放弃（README 留痕）；因此方法排序不稳定（第 5.2 节 τ 检验）是否在其余数据集上复现，本文无法回答。</w:t>
      </w:r>
    </w:p>
    <w:p>
      <w:pPr>
        <w:spacing w:line="360" w:lineRule="auto" w:before="160" w:after="80"/>
        <w:ind w:firstLine="480"/>
      </w:pPr>
      <w:r>
        <w:rPr>
          <w:rFonts w:ascii="Times New Roman" w:hAnsi="Times New Roman" w:eastAsia="宋体"/>
          <w:b/>
          <w:sz w:val="24"/>
        </w:rPr>
        <w:t>7.3.2 协议层局限</w:t>
      </w:r>
    </w:p>
    <w:p>
      <w:pPr>
        <w:spacing w:line="360" w:lineRule="auto" w:before="0" w:after="0"/>
        <w:ind w:firstLine="480"/>
      </w:pPr>
      <w:r>
        <w:rPr>
          <w:rFonts w:ascii="Times New Roman" w:hAnsi="Times New Roman" w:eastAsia="宋体"/>
          <w:b/>
          <w:sz w:val="24"/>
        </w:rPr>
        <w:t>（4）确定性配置的种子坍缩。</w:t>
      </w:r>
      <w:r>
        <w:rPr>
          <w:rFonts w:ascii="Times New Roman" w:hAnsi="Times New Roman" w:eastAsia="宋体"/>
          <w:b w:val="0"/>
          <w:sz w:val="24"/>
        </w:rPr>
        <w:t xml:space="preserve"> LR 与 XGBoost 在 none/类别权重配置下算法确定，固定切分下 3 种子结果逐位相同，标准差为 0——表示可复现性而非稳健性（第 5.1 节）。补救：对衰减、阈值移动、轻量化三批实验实施了 per-seed 重切验证集的方差补测（重切分补测协议脚本，第 4.7 节），关键结论以真实切分方差呈现；但 36 组主矩阵本身仍是固定切分单条件，其格点均值未含切分方差。补测后的一个具体教训：训练时间为 wall-clock 口径，批间存在约 2% 波动，加速比类结论须以此口径阅读。</w:t>
      </w:r>
    </w:p>
    <w:p>
      <w:pPr>
        <w:spacing w:line="360" w:lineRule="auto" w:before="0" w:after="0"/>
        <w:ind w:firstLine="480"/>
      </w:pPr>
      <w:r>
        <w:rPr>
          <w:rFonts w:ascii="Times New Roman" w:hAnsi="Times New Roman" w:eastAsia="宋体"/>
          <w:b/>
          <w:sz w:val="24"/>
        </w:rPr>
        <w:t>（5）SMOTE 插值伪影。</w:t>
      </w:r>
      <w:r>
        <w:rPr>
          <w:rFonts w:ascii="Times New Roman" w:hAnsi="Times New Roman" w:eastAsia="宋体"/>
          <w:b w:val="0"/>
          <w:sz w:val="24"/>
        </w:rPr>
        <w:t xml:space="preserve"> one-hot 空间插值产生非 0/1 合成哑变量，属协议已知伪影（多数文献同款做法）。取整敏感性检验显示对 Macro-F1/Balanced Acc 影响可忽略（差 0.002），但DoS Recall 系统性下降 0.05（3/3 种子方向一致）——单类结论须谨慎。</w:t>
      </w:r>
    </w:p>
    <w:p>
      <w:pPr>
        <w:spacing w:line="360" w:lineRule="auto" w:before="0" w:after="0"/>
        <w:ind w:firstLine="480"/>
      </w:pPr>
      <w:r>
        <w:rPr>
          <w:rFonts w:ascii="Times New Roman" w:hAnsi="Times New Roman" w:eastAsia="宋体"/>
          <w:b/>
          <w:sz w:val="24"/>
        </w:rPr>
        <w:t>（6）欠采样对照缺位。</w:t>
      </w:r>
      <w:r>
        <w:rPr>
          <w:rFonts w:ascii="Times New Roman" w:hAnsi="Times New Roman" w:eastAsia="宋体"/>
          <w:b w:val="0"/>
          <w:sz w:val="24"/>
        </w:rPr>
        <w:t xml:space="preserve"> 独立对抗审计指出网格缺欠采样、阈值移动与 SMOTE 变体对照；本文补齐了阈值移动与取整敏感性，但</w:t>
      </w:r>
      <w:r>
        <w:rPr>
          <w:rFonts w:ascii="Times New Roman" w:hAnsi="Times New Roman" w:eastAsia="宋体"/>
          <w:b/>
          <w:sz w:val="24"/>
        </w:rPr>
        <w:t>欠采样对照未实施</w:t>
      </w:r>
      <w:r>
        <w:rPr>
          <w:rFonts w:ascii="Times New Roman" w:hAnsi="Times New Roman" w:eastAsia="宋体"/>
          <w:b w:val="0"/>
          <w:sz w:val="24"/>
        </w:rPr>
        <w:t>。因此 RQ2/RQ3 的方法结论限定在"所测处理（none/类别权重/ROS/SMOTE）+ 阈值后处理"范围内，不外推到欠采样家族与 SMOTE 变体（Borderline-SMOTE、ADASYN 等）。</w:t>
      </w:r>
    </w:p>
    <w:p>
      <w:pPr>
        <w:spacing w:line="360" w:lineRule="auto" w:before="160" w:after="80"/>
        <w:ind w:firstLine="480"/>
      </w:pPr>
      <w:r>
        <w:rPr>
          <w:rFonts w:ascii="Times New Roman" w:hAnsi="Times New Roman" w:eastAsia="宋体"/>
          <w:b/>
          <w:sz w:val="24"/>
        </w:rPr>
        <w:t>7.3.3 结论层局限</w:t>
      </w:r>
    </w:p>
    <w:p>
      <w:pPr>
        <w:spacing w:line="360" w:lineRule="auto" w:before="0" w:after="0"/>
        <w:ind w:firstLine="480"/>
      </w:pPr>
      <w:r>
        <w:rPr>
          <w:rFonts w:ascii="Times New Roman" w:hAnsi="Times New Roman" w:eastAsia="宋体"/>
          <w:b/>
          <w:sz w:val="24"/>
        </w:rPr>
        <w:t>（7）阈值移动的公平性边界。</w:t>
      </w:r>
      <w:r>
        <w:rPr>
          <w:rFonts w:ascii="Times New Roman" w:hAnsi="Times New Roman" w:eastAsia="宋体"/>
          <w:b w:val="0"/>
          <w:sz w:val="24"/>
        </w:rPr>
        <w:t xml:space="preserve"> 全项目最高 Macro-F1 来自验证集阈值校准（第 5.5 节）。阈值移动是在验证集上直接优化目标指标的后处理，与训练期不平衡处理机制不同；本文将其作为权衡曲线上的独立选项呈现，不与训练期方法混排排名，读者不应据此推断"无需不平衡处理"。</w:t>
      </w:r>
    </w:p>
    <w:p>
      <w:pPr>
        <w:spacing w:line="360" w:lineRule="auto" w:before="0" w:after="0"/>
        <w:ind w:firstLine="480"/>
      </w:pPr>
      <w:r>
        <w:rPr>
          <w:rFonts w:ascii="Times New Roman" w:hAnsi="Times New Roman" w:eastAsia="宋体"/>
          <w:b/>
          <w:sz w:val="24"/>
        </w:rPr>
        <w:t>（8）高波动类的方向性表述。</w:t>
      </w:r>
      <w:r>
        <w:rPr>
          <w:rFonts w:ascii="Times New Roman" w:hAnsi="Times New Roman" w:eastAsia="宋体"/>
          <w:b w:val="0"/>
          <w:sz w:val="24"/>
        </w:rPr>
        <w:t xml:space="preserve"> 轻量化的每类 Recall 增量中，Analysis（+0.096±0.166）与Backdoor（−0.113±0.193）为高波动类，方向性结论须附区间；Worms、DoS 方向稳健。</w:t>
      </w:r>
    </w:p>
    <w:p>
      <w:pPr>
        <w:spacing w:line="360" w:lineRule="auto" w:before="0" w:after="0"/>
        <w:ind w:firstLine="480"/>
      </w:pPr>
      <w:r>
        <w:rPr>
          <w:rFonts w:ascii="Times New Roman" w:hAnsi="Times New Roman" w:eastAsia="宋体"/>
          <w:b/>
          <w:sz w:val="24"/>
        </w:rPr>
        <w:t>（9）MLP 单种子代表性。</w:t>
      </w:r>
      <w:r>
        <w:rPr>
          <w:rFonts w:ascii="Times New Roman" w:hAnsi="Times New Roman" w:eastAsia="宋体"/>
          <w:b w:val="0"/>
          <w:sz w:val="24"/>
        </w:rPr>
        <w:t xml:space="preserve"> MLP 是种子方差最大的模型，误差分析（第 6 节）中 MLP 相关百分比为单种子代表性运行（3 种子区间已附），且其 SMOTE 格种子 0 为三种子验证最低；MLP+ROS 有 1 格 max_iter=100 未收敛警告（协议统一未放宽）。</w:t>
      </w:r>
    </w:p>
    <w:p>
      <w:pPr>
        <w:spacing w:line="360" w:lineRule="auto" w:before="160" w:after="80"/>
        <w:ind w:firstLine="480"/>
      </w:pPr>
      <w:r>
        <w:rPr>
          <w:rFonts w:ascii="Times New Roman" w:hAnsi="Times New Roman" w:eastAsia="宋体"/>
          <w:b/>
          <w:sz w:val="24"/>
        </w:rPr>
        <w:t>7.3.4 统计层局限</w:t>
      </w:r>
    </w:p>
    <w:p>
      <w:pPr>
        <w:spacing w:line="360" w:lineRule="auto" w:before="0" w:after="0"/>
        <w:ind w:firstLine="480"/>
      </w:pPr>
      <w:r>
        <w:rPr>
          <w:rFonts w:ascii="Times New Roman" w:hAnsi="Times New Roman" w:eastAsia="宋体"/>
          <w:b/>
          <w:sz w:val="24"/>
        </w:rPr>
        <w:t>（10）无显著性检验。</w:t>
      </w:r>
      <w:r>
        <w:rPr>
          <w:rFonts w:ascii="Times New Roman" w:hAnsi="Times New Roman" w:eastAsia="宋体"/>
          <w:b w:val="0"/>
          <w:sz w:val="24"/>
        </w:rPr>
        <w:t xml:space="preserve"> 全文比较基于 3 种子均值±标准差与 n=4 的描述性 Kendall τ，未做 McNemar 检验或 bootstrap 置信区间。因此诸如"XGBoost+类别权重（0.5123）与XGBoost+ROS（0.5107±0.0034）孰优"的亚 0.002 级差异，本文只能以方差证据（重切分补测）辅助判断，不能给出显著性声明。v2 补测显示轻量化的 Macro-F1 差异（−0.0022）落在切分方差内，正是该局限的具体体现。</w:t>
      </w:r>
    </w:p>
    <w:p>
      <w:pPr>
        <w:spacing w:line="360" w:lineRule="auto" w:before="0" w:after="0"/>
        <w:ind w:firstLine="480"/>
      </w:pPr>
      <w:r>
        <w:rPr>
          <w:rFonts w:ascii="Times New Roman" w:hAnsi="Times New Roman" w:eastAsia="宋体"/>
          <w:b/>
          <w:sz w:val="24"/>
        </w:rPr>
        <w:t>（11）SMOTE 在极端不平衡下的覆盖边界。</w:t>
      </w:r>
      <w:r>
        <w:rPr>
          <w:rFonts w:ascii="Times New Roman" w:hAnsi="Times New Roman" w:eastAsia="宋体"/>
          <w:b w:val="0"/>
          <w:sz w:val="24"/>
        </w:rPr>
        <w:t xml:space="preserve"> 衰减实验的 SMOTE 配置在 p=0.1（Worms 约3–4 个训练样本）已接近 k 近邻可行性下限（回退机制就位但未触发）；比 p=0.1 更极端的不平衡场景未被覆盖。</w:t>
      </w:r>
    </w:p>
    <w:p>
      <w:pPr>
        <w:spacing w:line="360" w:lineRule="auto" w:before="0" w:after="0"/>
        <w:ind w:firstLine="480"/>
      </w:pPr>
      <w:r>
        <w:rPr>
          <w:rFonts w:ascii="Times New Roman" w:hAnsi="Times New Roman" w:eastAsia="宋体"/>
          <w:b w:val="0"/>
          <w:sz w:val="24"/>
        </w:rPr>
        <w:t>综上，本文所有结论的适用域是：UNSW-NB15 官方划分、所测 3 模型 × 4 处理方法 + 阈值后处理+ 特征筛选轻量化的统一协议、以宏平均为核心的指标口径。超出该域的外推（其他数据集、其他方法家族、显著性断言）均无本文证据支持。</w:t>
      </w:r>
    </w:p>
    <w:p>
      <w:pPr>
        <w:spacing w:line="360" w:lineRule="auto" w:before="200" w:after="80"/>
      </w:pPr>
      <w:r>
        <w:rPr>
          <w:rFonts w:ascii="Times New Roman" w:hAnsi="Times New Roman" w:eastAsia="楷体_GB2312"/>
          <w:b w:val="0"/>
          <w:sz w:val="24"/>
        </w:rPr>
        <w:t>7.4 未来工作</w:t>
      </w:r>
    </w:p>
    <w:p>
      <w:pPr>
        <w:spacing w:line="360" w:lineRule="auto" w:before="0" w:after="0"/>
        <w:ind w:firstLine="480"/>
      </w:pPr>
      <w:r>
        <w:rPr>
          <w:rFonts w:ascii="Times New Roman" w:hAnsi="Times New Roman" w:eastAsia="宋体"/>
          <w:b w:val="0"/>
          <w:sz w:val="24"/>
        </w:rPr>
        <w:t>四条直接由本文局限性导出：（1）CIC-IDS2017[3] 等外部数据集迁移，检验方法排序不稳定性的跨数据集复现性；（2）去重反事实实验，量化标签冲突类错误的可移除份额；（3）欠采样家族与 SMOTE 变体（Borderline-SMOTE、ADASYN）对照，扩展 RQ2/RQ3 的方法覆盖；（4）McNemar检验或 bootstrap 置信区间，将亚 0.002 级差异的判断从方差证据升级为显著性声明。</w:t>
      </w:r>
    </w:p>
    <w:p>
      <w:r>
        <w:br w:type="page"/>
      </w:r>
    </w:p>
    <w:p>
      <w:pPr>
        <w:spacing w:line="360" w:lineRule="auto" w:before="120" w:after="160"/>
        <w:jc w:val="left"/>
      </w:pPr>
      <w:r>
        <w:rPr>
          <w:rFonts w:ascii="Times New Roman" w:hAnsi="Times New Roman" w:eastAsia="宋体"/>
          <w:b/>
          <w:sz w:val="28"/>
        </w:rPr>
        <w:t>作者贡献声明</w:t>
      </w:r>
    </w:p>
    <w:p>
      <w:pPr>
        <w:spacing w:line="360" w:lineRule="auto" w:before="0" w:after="0"/>
        <w:ind w:firstLine="480"/>
      </w:pPr>
      <w:r>
        <w:rPr>
          <w:rFonts w:ascii="Times New Roman" w:hAnsi="Times New Roman" w:eastAsia="宋体"/>
          <w:b w:val="0"/>
          <w:sz w:val="24"/>
        </w:rPr>
        <w:t>黄浩：研究选题与问题形式化；实验协议设计与预注册；代码实现与实验执行；数据分析与可视化；论文撰写与修订；对抗审计的组织与闭环。本人为论文唯一作者，不存在未披露的利益冲突。</w:t>
      </w:r>
    </w:p>
    <w:p>
      <w:r>
        <w:br w:type="page"/>
      </w:r>
    </w:p>
    <w:p>
      <w:pPr>
        <w:spacing w:line="360" w:lineRule="auto" w:before="120" w:after="160"/>
        <w:jc w:val="left"/>
      </w:pPr>
      <w:r>
        <w:rPr>
          <w:rFonts w:ascii="Times New Roman" w:hAnsi="Times New Roman" w:eastAsia="宋体"/>
          <w:b/>
          <w:sz w:val="28"/>
        </w:rPr>
        <w:t>参考文献</w:t>
      </w:r>
    </w:p>
    <w:p>
      <w:pPr>
        <w:spacing w:line="300" w:lineRule="auto" w:before="0" w:after="0"/>
      </w:pPr>
      <w:r>
        <w:rPr>
          <w:rFonts w:ascii="Times New Roman" w:hAnsi="Times New Roman" w:eastAsia="宋体"/>
          <w:b w:val="0"/>
          <w:sz w:val="21"/>
        </w:rPr>
        <w:t>[1] Moustafa N, Slay J. UNSW-NB15: a comprehensive data set for network intrusion detection systems (UNSW-NB15 network data set). 见: 2015 Military Communications and Information Systems Conference (MilCIS). IEEE. 2015: 1-6.</w:t>
      </w:r>
    </w:p>
    <w:p>
      <w:pPr>
        <w:spacing w:line="300" w:lineRule="auto" w:before="0" w:after="0"/>
      </w:pPr>
      <w:r>
        <w:rPr>
          <w:rFonts w:ascii="Times New Roman" w:hAnsi="Times New Roman" w:eastAsia="宋体"/>
          <w:b w:val="0"/>
          <w:sz w:val="21"/>
        </w:rPr>
        <w:t>[2] Moustafa N, Slay J. The evaluation of Network Anomaly Detection Systems: Statistical analysis of the UNSW-NB15 data set and the comparison with the KDD99 data set. Information Security Journal: A Global Perspective. 25（1-3）. 2016: 18-31.</w:t>
      </w:r>
    </w:p>
    <w:p>
      <w:pPr>
        <w:spacing w:line="300" w:lineRule="auto" w:before="0" w:after="0"/>
      </w:pPr>
      <w:r>
        <w:rPr>
          <w:rFonts w:ascii="Times New Roman" w:hAnsi="Times New Roman" w:eastAsia="宋体"/>
          <w:b w:val="0"/>
          <w:sz w:val="21"/>
        </w:rPr>
        <w:t>[3] Sharafaldin I, Habibi Lashkari A, Ghorbani A A. Toward generating a new intrusion detection dataset and intrusion traffic characterization. 见: Proceedings of the 4th International Conference on Information Systems Security and Privacy (ICISSP). SciTePress. 2018: 108-116.</w:t>
      </w:r>
    </w:p>
    <w:p>
      <w:pPr>
        <w:spacing w:line="300" w:lineRule="auto" w:before="0" w:after="0"/>
      </w:pPr>
      <w:r>
        <w:rPr>
          <w:rFonts w:ascii="Times New Roman" w:hAnsi="Times New Roman" w:eastAsia="宋体"/>
          <w:b w:val="0"/>
          <w:sz w:val="21"/>
        </w:rPr>
        <w:t>[4] Ring M, Wunderlich S, Grüdl D, 等. Creation of flow-based data sets for intrusion detection. Journal of Information Warfare. 16（4）. 2017: 41-54.</w:t>
      </w:r>
    </w:p>
    <w:p>
      <w:pPr>
        <w:spacing w:line="300" w:lineRule="auto" w:before="0" w:after="0"/>
      </w:pPr>
      <w:r>
        <w:rPr>
          <w:rFonts w:ascii="Times New Roman" w:hAnsi="Times New Roman" w:eastAsia="宋体"/>
          <w:b w:val="0"/>
          <w:sz w:val="21"/>
        </w:rPr>
        <w:t>[5] Sarhan M, Layeghy S, Moustafa N, 等. NetFlow datasets for machine learning-based network intrusion detection systems. 见: International Conference on Big Data Technologies and Applications (BigDataTech), International Wireless Internet Conference. Springer. 2021: 117-135.</w:t>
      </w:r>
    </w:p>
    <w:p>
      <w:pPr>
        <w:spacing w:line="300" w:lineRule="auto" w:before="0" w:after="0"/>
      </w:pPr>
      <w:r>
        <w:rPr>
          <w:rFonts w:ascii="Times New Roman" w:hAnsi="Times New Roman" w:eastAsia="宋体"/>
          <w:b w:val="0"/>
          <w:sz w:val="21"/>
        </w:rPr>
        <w:t>[6] Ferrag M A, Maglaras L, Moschoyiannis S, 等. Deep learning for cyber security intrusion detection: Approaches, datasets, and comparative study. Journal of Information Security and Applications. 50. 2020: 102419.</w:t>
      </w:r>
    </w:p>
    <w:p>
      <w:pPr>
        <w:spacing w:line="300" w:lineRule="auto" w:before="0" w:after="0"/>
      </w:pPr>
      <w:r>
        <w:rPr>
          <w:rFonts w:ascii="Times New Roman" w:hAnsi="Times New Roman" w:eastAsia="宋体"/>
          <w:b w:val="0"/>
          <w:sz w:val="21"/>
        </w:rPr>
        <w:t>[7] He H, Garcia E A. Learning from imbalanced data. IEEE Transactions on Knowledge and Data Engineering. 21（9）. 2009: 1263-1284.</w:t>
      </w:r>
    </w:p>
    <w:p>
      <w:pPr>
        <w:spacing w:line="300" w:lineRule="auto" w:before="0" w:after="0"/>
      </w:pPr>
      <w:r>
        <w:rPr>
          <w:rFonts w:ascii="Times New Roman" w:hAnsi="Times New Roman" w:eastAsia="宋体"/>
          <w:b w:val="0"/>
          <w:sz w:val="21"/>
        </w:rPr>
        <w:t>[8] Krawczyk B. Learning from imbalanced data: open challenges and future directions. Progress in Artificial Intelligence. 5（4）. 2016: 221-232.</w:t>
      </w:r>
    </w:p>
    <w:p>
      <w:pPr>
        <w:spacing w:line="300" w:lineRule="auto" w:before="0" w:after="0"/>
      </w:pPr>
      <w:r>
        <w:rPr>
          <w:rFonts w:ascii="Times New Roman" w:hAnsi="Times New Roman" w:eastAsia="宋体"/>
          <w:b w:val="0"/>
          <w:sz w:val="21"/>
        </w:rPr>
        <w:t>[9] Guo H X, Li Y J, Shang J, 等. Learning from class-imbalanced data: Review of methods and applications. Expert Systems with Applications. 73. 2017: 220-239.</w:t>
      </w:r>
    </w:p>
    <w:p>
      <w:pPr>
        <w:spacing w:line="300" w:lineRule="auto" w:before="0" w:after="0"/>
      </w:pPr>
      <w:r>
        <w:rPr>
          <w:rFonts w:ascii="Times New Roman" w:hAnsi="Times New Roman" w:eastAsia="宋体"/>
          <w:b w:val="0"/>
          <w:sz w:val="21"/>
        </w:rPr>
        <w:t>[10] Chawla N V, Bowyer K W, Hall L O, 等. SMOTE: Synthetic Minority Over-sampling Technique. Journal of Artificial Intelligence Research. 16. 2002: 321-357.</w:t>
      </w:r>
    </w:p>
    <w:p>
      <w:pPr>
        <w:spacing w:line="300" w:lineRule="auto" w:before="0" w:after="0"/>
      </w:pPr>
      <w:r>
        <w:rPr>
          <w:rFonts w:ascii="Times New Roman" w:hAnsi="Times New Roman" w:eastAsia="宋体"/>
          <w:b w:val="0"/>
          <w:sz w:val="21"/>
        </w:rPr>
        <w:t>[11] Han H, Wang W Y, Mao B H. Borderline-SMOTE: a new over-sampling method in imbalanced data sets learning. 见: International Conference on Intelligent Computing (ICIC). Springer. 2005: 878-887.</w:t>
      </w:r>
    </w:p>
    <w:p>
      <w:pPr>
        <w:spacing w:line="300" w:lineRule="auto" w:before="0" w:after="0"/>
      </w:pPr>
      <w:r>
        <w:rPr>
          <w:rFonts w:ascii="Times New Roman" w:hAnsi="Times New Roman" w:eastAsia="宋体"/>
          <w:b w:val="0"/>
          <w:sz w:val="21"/>
        </w:rPr>
        <w:t>[12] Buda M, Maki A, Mazurowski M A. A systematic study of the class imbalance problem in convolutional neural networks. Neural Networks. 106. 2018: 249-259.</w:t>
      </w:r>
    </w:p>
    <w:p>
      <w:pPr>
        <w:spacing w:line="300" w:lineRule="auto" w:before="0" w:after="0"/>
      </w:pPr>
      <w:r>
        <w:rPr>
          <w:rFonts w:ascii="Times New Roman" w:hAnsi="Times New Roman" w:eastAsia="宋体"/>
          <w:b w:val="0"/>
          <w:sz w:val="21"/>
        </w:rPr>
        <w:t>[13] Elkan C. The foundations of cost-sensitive learning. 见: Proceedings of the 17th International Joint Conference on Artificial Intelligence (IJCAI). Morgan Kaufmann. 2001: 973-978.</w:t>
      </w:r>
    </w:p>
    <w:p>
      <w:pPr>
        <w:spacing w:line="300" w:lineRule="auto" w:before="0" w:after="0"/>
      </w:pPr>
      <w:r>
        <w:rPr>
          <w:rFonts w:ascii="Times New Roman" w:hAnsi="Times New Roman" w:eastAsia="宋体"/>
          <w:b w:val="0"/>
          <w:sz w:val="21"/>
        </w:rPr>
        <w:t>[14] Zhou Z H, Liu X Y. Training cost-sensitive neural networks with methods addressing the class imbalance problem. IEEE Transactions on Knowledge and Data Engineering. 18（1）. 2006: 63-77.</w:t>
      </w:r>
    </w:p>
    <w:p>
      <w:pPr>
        <w:spacing w:line="300" w:lineRule="auto" w:before="0" w:after="0"/>
      </w:pPr>
      <w:r>
        <w:rPr>
          <w:rFonts w:ascii="Times New Roman" w:hAnsi="Times New Roman" w:eastAsia="宋体"/>
          <w:b w:val="0"/>
          <w:sz w:val="21"/>
        </w:rPr>
        <w:t>[15] Pedregosa F, Varoquaux G, Gramfort A, 等. Scikit-learn: Machine Learning in Python. Journal of Machine Learning Research. 12. 2011: 2825-2830.</w:t>
      </w:r>
    </w:p>
    <w:p>
      <w:pPr>
        <w:spacing w:line="300" w:lineRule="auto" w:before="0" w:after="0"/>
      </w:pPr>
      <w:r>
        <w:rPr>
          <w:rFonts w:ascii="Times New Roman" w:hAnsi="Times New Roman" w:eastAsia="宋体"/>
          <w:b w:val="0"/>
          <w:sz w:val="21"/>
        </w:rPr>
        <w:t>[16] Lemaître G, Nogueira F, Aridas C K. Imbalanced-learn: A Python Toolbox to Tackle the Curse of Imbalanced Datasets in Machine Learning. Journal of Machine Learning Research. 18（17）. 2017: 1-5.</w:t>
      </w:r>
    </w:p>
    <w:p>
      <w:pPr>
        <w:spacing w:line="300" w:lineRule="auto" w:before="0" w:after="0"/>
      </w:pPr>
      <w:r>
        <w:rPr>
          <w:rFonts w:ascii="Times New Roman" w:hAnsi="Times New Roman" w:eastAsia="宋体"/>
          <w:b w:val="0"/>
          <w:sz w:val="21"/>
        </w:rPr>
        <w:t>[17] Chen T, Guestrin C. XGBoost: A Scalable Tree Boosting System. 见: Proceedings of the 22nd ACM SIGKDD International Conference on Knowledge Discovery and Data Mining. ACM. 2016: 785-794.</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