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D6F" w:rsidRDefault="00DD4CDD" w:rsidP="00DD4CDD">
      <w:pPr>
        <w:pStyle w:val="Titel"/>
      </w:pPr>
      <w:r>
        <w:t>Business Case</w:t>
      </w:r>
    </w:p>
    <w:p w:rsidR="00DD4CDD" w:rsidRDefault="00DD4CDD" w:rsidP="00DD4CDD">
      <w:proofErr w:type="spellStart"/>
      <w:r>
        <w:t>MultiCastor</w:t>
      </w:r>
      <w:proofErr w:type="spellEnd"/>
      <w:r>
        <w:t xml:space="preserve"> 3.0</w:t>
      </w:r>
    </w:p>
    <w:p w:rsidR="00DD4CDD" w:rsidRDefault="00DD4CDD" w:rsidP="00DD4CDD">
      <w:r>
        <w:t>Team 4</w:t>
      </w:r>
    </w:p>
    <w:p w:rsidR="00DD4CDD" w:rsidRDefault="00DD4CDD" w:rsidP="00DD4CD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338835"/>
        <w:docPartObj>
          <w:docPartGallery w:val="Table of Contents"/>
          <w:docPartUnique/>
        </w:docPartObj>
      </w:sdtPr>
      <w:sdtEndPr/>
      <w:sdtContent>
        <w:bookmarkStart w:id="0" w:name="_Toc336515576" w:displacedByCustomXml="prev"/>
        <w:p w:rsidR="00DD4CDD" w:rsidRDefault="00DD4CDD" w:rsidP="00500524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:rsidR="00FA758D" w:rsidRDefault="008F3CF0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DD4CDD">
            <w:instrText xml:space="preserve"> TOC \o "1-3" \h \z \u </w:instrText>
          </w:r>
          <w:r>
            <w:fldChar w:fldCharType="separate"/>
          </w:r>
          <w:hyperlink w:anchor="_Toc336515576" w:history="1">
            <w:r w:rsidR="00FA758D" w:rsidRPr="00CE489C">
              <w:rPr>
                <w:rStyle w:val="Hyperlink"/>
                <w:noProof/>
              </w:rPr>
              <w:t>Inhaltsverzeichnis</w:t>
            </w:r>
            <w:r w:rsidR="00FA75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36515577" w:history="1">
            <w:r w:rsidR="00FA758D" w:rsidRPr="00CE489C">
              <w:rPr>
                <w:rStyle w:val="Hyperlink"/>
                <w:noProof/>
              </w:rPr>
              <w:t>Abbildungsverzeichnis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_Toc336515577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III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36515578" w:history="1">
            <w:r w:rsidR="00FA758D" w:rsidRPr="00CE489C">
              <w:rPr>
                <w:rStyle w:val="Hyperlink"/>
                <w:noProof/>
              </w:rPr>
              <w:t>Tabellenverzeichnis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_Toc336515578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IV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336515579" w:history="1">
            <w:r w:rsidR="00FA758D" w:rsidRPr="00CE489C">
              <w:rPr>
                <w:rStyle w:val="Hyperlink"/>
                <w:noProof/>
              </w:rPr>
              <w:t>Projektteam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_Toc336515579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V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36515580" w:history="1">
            <w:r w:rsidR="00FA758D" w:rsidRPr="00CE489C">
              <w:rPr>
                <w:rStyle w:val="Hyperlink"/>
                <w:noProof/>
              </w:rPr>
              <w:t>1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Definition und Abgrenzung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_Toc336515580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1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81" w:history="1">
            <w:r w:rsidR="00FA758D" w:rsidRPr="00CE489C">
              <w:rPr>
                <w:rStyle w:val="Hyperlink"/>
                <w:noProof/>
              </w:rPr>
              <w:t>1.1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Aktueller Stand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_Toc336515581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1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82" w:history="1">
            <w:r w:rsidR="00FA758D" w:rsidRPr="00CE489C">
              <w:rPr>
                <w:rStyle w:val="Hyperlink"/>
                <w:noProof/>
              </w:rPr>
              <w:t>1.2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Problemstellung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_Toc336515582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1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83" w:history="1">
            <w:r w:rsidR="00FA758D" w:rsidRPr="00CE489C">
              <w:rPr>
                <w:rStyle w:val="Hyperlink"/>
                <w:noProof/>
              </w:rPr>
              <w:t>1.3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Abgrenzung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_Toc336515583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1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36515584" w:history="1">
            <w:r w:rsidR="00FA758D" w:rsidRPr="00CE489C">
              <w:rPr>
                <w:rStyle w:val="Hyperlink"/>
                <w:noProof/>
              </w:rPr>
              <w:t>2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Kostenschätzung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_Toc336515584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85" w:history="1">
            <w:r w:rsidR="00FA758D" w:rsidRPr="00CE489C">
              <w:rPr>
                <w:rStyle w:val="Hyperlink"/>
                <w:noProof/>
              </w:rPr>
              <w:t>2.1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Einmal Kosten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_Toc336515585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6515586" w:history="1">
            <w:r w:rsidR="00FA758D" w:rsidRPr="00CE489C">
              <w:rPr>
                <w:rStyle w:val="Hyperlink"/>
                <w:noProof/>
              </w:rPr>
              <w:t>2.1.1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Software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_Toc336515586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6515587" w:history="1">
            <w:r w:rsidR="00FA758D" w:rsidRPr="00CE489C">
              <w:rPr>
                <w:rStyle w:val="Hyperlink"/>
                <w:noProof/>
              </w:rPr>
              <w:t>2.1.2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Hardware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_Toc336515587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88" w:history="1">
            <w:r w:rsidR="00FA758D" w:rsidRPr="00CE489C">
              <w:rPr>
                <w:rStyle w:val="Hyperlink"/>
                <w:noProof/>
              </w:rPr>
              <w:t>2.2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Laufende Kosten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_Toc336515588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6515589" w:history="1">
            <w:r w:rsidR="00FA758D" w:rsidRPr="00CE489C">
              <w:rPr>
                <w:rStyle w:val="Hyperlink"/>
                <w:noProof/>
              </w:rPr>
              <w:t>2.2.1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Personalkosten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_Toc336515589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6515590" w:history="1">
            <w:r w:rsidR="00FA758D" w:rsidRPr="00CE489C">
              <w:rPr>
                <w:rStyle w:val="Hyperlink"/>
                <w:noProof/>
              </w:rPr>
              <w:t>2.2.2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Serverkosten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_Toc336515590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91" w:history="1">
            <w:r w:rsidR="00FA758D" w:rsidRPr="00CE489C">
              <w:rPr>
                <w:rStyle w:val="Hyperlink"/>
                <w:noProof/>
              </w:rPr>
              <w:t>2.3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Risikokosten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_Toc336515591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6515592" w:history="1">
            <w:r w:rsidR="00FA758D" w:rsidRPr="00CE489C">
              <w:rPr>
                <w:rStyle w:val="Hyperlink"/>
                <w:noProof/>
              </w:rPr>
              <w:t>2.3.1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Entwicklungsrisiken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_Toc336515592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6515593" w:history="1">
            <w:r w:rsidR="00FA758D" w:rsidRPr="00CE489C">
              <w:rPr>
                <w:rStyle w:val="Hyperlink"/>
                <w:noProof/>
              </w:rPr>
              <w:t>2.3.2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Produktrisiken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_Toc336515593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6515594" w:history="1">
            <w:r w:rsidR="00FA758D" w:rsidRPr="00CE489C">
              <w:rPr>
                <w:rStyle w:val="Hyperlink"/>
                <w:noProof/>
              </w:rPr>
              <w:t>2.3.3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Marktrisiken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_Toc336515594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95" w:history="1">
            <w:r w:rsidR="00FA758D" w:rsidRPr="00CE489C">
              <w:rPr>
                <w:rStyle w:val="Hyperlink"/>
                <w:noProof/>
              </w:rPr>
              <w:t>2.4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Gesamtkosten und Gewinn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_Toc336515595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2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36515596" w:history="1">
            <w:r w:rsidR="00FA758D" w:rsidRPr="00CE489C">
              <w:rPr>
                <w:rStyle w:val="Hyperlink"/>
                <w:noProof/>
              </w:rPr>
              <w:t>3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Nicht-Monetäre Aspekte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_Toc336515596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3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97" w:history="1">
            <w:r w:rsidR="00FA758D" w:rsidRPr="00CE489C">
              <w:rPr>
                <w:rStyle w:val="Hyperlink"/>
                <w:noProof/>
              </w:rPr>
              <w:t>3.1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Pionierrolle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_Toc336515597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3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98" w:history="1">
            <w:r w:rsidR="00FA758D" w:rsidRPr="00CE489C">
              <w:rPr>
                <w:rStyle w:val="Hyperlink"/>
                <w:noProof/>
              </w:rPr>
              <w:t>3.2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Kundenbindung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_Toc336515598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3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599" w:history="1">
            <w:r w:rsidR="00FA758D" w:rsidRPr="00CE489C">
              <w:rPr>
                <w:rStyle w:val="Hyperlink"/>
                <w:noProof/>
              </w:rPr>
              <w:t>3.3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Weiterempfehlung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_Toc336515599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3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FA758D" w:rsidRDefault="00AF45B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6515600" w:history="1">
            <w:r w:rsidR="00FA758D" w:rsidRPr="00CE489C">
              <w:rPr>
                <w:rStyle w:val="Hyperlink"/>
                <w:noProof/>
              </w:rPr>
              <w:t>3.4</w:t>
            </w:r>
            <w:r w:rsidR="00FA758D">
              <w:rPr>
                <w:noProof/>
              </w:rPr>
              <w:tab/>
            </w:r>
            <w:r w:rsidR="00FA758D" w:rsidRPr="00CE489C">
              <w:rPr>
                <w:rStyle w:val="Hyperlink"/>
                <w:noProof/>
              </w:rPr>
              <w:t>Zusammenarbeit</w:t>
            </w:r>
            <w:r w:rsidR="00FA758D">
              <w:rPr>
                <w:noProof/>
                <w:webHidden/>
              </w:rPr>
              <w:tab/>
            </w:r>
            <w:r w:rsidR="008F3CF0">
              <w:rPr>
                <w:noProof/>
                <w:webHidden/>
              </w:rPr>
              <w:fldChar w:fldCharType="begin"/>
            </w:r>
            <w:r w:rsidR="00FA758D">
              <w:rPr>
                <w:noProof/>
                <w:webHidden/>
              </w:rPr>
              <w:instrText xml:space="preserve"> PAGEREF _Toc336515600 \h </w:instrText>
            </w:r>
            <w:r w:rsidR="008F3CF0">
              <w:rPr>
                <w:noProof/>
                <w:webHidden/>
              </w:rPr>
            </w:r>
            <w:r w:rsidR="008F3CF0">
              <w:rPr>
                <w:noProof/>
                <w:webHidden/>
              </w:rPr>
              <w:fldChar w:fldCharType="separate"/>
            </w:r>
            <w:r w:rsidR="00FA758D">
              <w:rPr>
                <w:noProof/>
                <w:webHidden/>
              </w:rPr>
              <w:t>3</w:t>
            </w:r>
            <w:r w:rsidR="008F3CF0">
              <w:rPr>
                <w:noProof/>
                <w:webHidden/>
              </w:rPr>
              <w:fldChar w:fldCharType="end"/>
            </w:r>
          </w:hyperlink>
        </w:p>
        <w:p w:rsidR="00DD4CDD" w:rsidRDefault="008F3CF0">
          <w:r>
            <w:fldChar w:fldCharType="end"/>
          </w:r>
        </w:p>
      </w:sdtContent>
    </w:sdt>
    <w:p w:rsidR="00DD4CDD" w:rsidRDefault="00DD4CDD">
      <w:r>
        <w:br w:type="page"/>
      </w:r>
    </w:p>
    <w:p w:rsidR="00AC0549" w:rsidRDefault="00AC0549" w:rsidP="00500524">
      <w:pPr>
        <w:pStyle w:val="berschrift1"/>
        <w:numPr>
          <w:ilvl w:val="0"/>
          <w:numId w:val="0"/>
        </w:numPr>
      </w:pPr>
      <w:bookmarkStart w:id="1" w:name="_Toc336515577"/>
      <w:r>
        <w:lastRenderedPageBreak/>
        <w:t>Abbildungsverzeichnis</w:t>
      </w:r>
      <w:bookmarkEnd w:id="1"/>
    </w:p>
    <w:p w:rsidR="00AC0549" w:rsidRPr="00AC0549" w:rsidRDefault="00AC0549" w:rsidP="00AC0549"/>
    <w:p w:rsidR="00DD4CDD" w:rsidRDefault="00AF45B6" w:rsidP="00DD4CDD">
      <w:r>
        <w:fldChar w:fldCharType="begin"/>
      </w:r>
      <w:r>
        <w:instrText xml:space="preserve"> TOC \h \z \c "Abbildung" </w:instrText>
      </w:r>
      <w:r>
        <w:fldChar w:fldCharType="separate"/>
      </w:r>
      <w:r w:rsidR="00AC0549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:rsidR="00AC0549" w:rsidRDefault="00AC0549">
      <w:r>
        <w:br w:type="page"/>
      </w:r>
    </w:p>
    <w:p w:rsidR="00AC0549" w:rsidRDefault="00AC0549" w:rsidP="00500524">
      <w:pPr>
        <w:pStyle w:val="berschrift1"/>
        <w:numPr>
          <w:ilvl w:val="0"/>
          <w:numId w:val="0"/>
        </w:numPr>
      </w:pPr>
      <w:bookmarkStart w:id="2" w:name="_Toc336515578"/>
      <w:r>
        <w:lastRenderedPageBreak/>
        <w:t>Tabellenverzeichnis</w:t>
      </w:r>
      <w:bookmarkEnd w:id="2"/>
    </w:p>
    <w:p w:rsidR="00AC0549" w:rsidRDefault="00AF45B6" w:rsidP="00AC0549">
      <w:r>
        <w:fldChar w:fldCharType="begin"/>
      </w:r>
      <w:r>
        <w:instrText xml:space="preserve"> TOC \h \z \c "Tabelle" </w:instrText>
      </w:r>
      <w:r>
        <w:fldChar w:fldCharType="separate"/>
      </w:r>
      <w:r w:rsidR="00AC0549">
        <w:rPr>
          <w:b/>
          <w:bCs/>
          <w:noProof/>
        </w:rPr>
        <w:t>Es konnten keine Einträge für ein Abbildungsverzeichnis gefunden werden.</w:t>
      </w:r>
      <w:r>
        <w:rPr>
          <w:b/>
          <w:bCs/>
          <w:noProof/>
        </w:rPr>
        <w:fldChar w:fldCharType="end"/>
      </w:r>
    </w:p>
    <w:p w:rsidR="00AC0549" w:rsidRDefault="00AC0549">
      <w:r>
        <w:br w:type="page"/>
      </w:r>
    </w:p>
    <w:p w:rsidR="00AC0549" w:rsidRDefault="00AC0549" w:rsidP="00500524">
      <w:pPr>
        <w:pStyle w:val="berschrift1"/>
        <w:numPr>
          <w:ilvl w:val="0"/>
          <w:numId w:val="0"/>
        </w:numPr>
      </w:pPr>
      <w:bookmarkStart w:id="3" w:name="_Toc336515579"/>
      <w:r>
        <w:lastRenderedPageBreak/>
        <w:t>Projektteam</w:t>
      </w:r>
      <w:bookmarkEnd w:id="3"/>
    </w:p>
    <w:p w:rsidR="00342524" w:rsidRDefault="00342524" w:rsidP="005136F6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342524" w:rsidTr="00342524">
        <w:tc>
          <w:tcPr>
            <w:tcW w:w="2660" w:type="dxa"/>
          </w:tcPr>
          <w:p w:rsidR="00342524" w:rsidRDefault="00342524" w:rsidP="005136F6">
            <w:r>
              <w:t>Projekt-Manager</w:t>
            </w:r>
          </w:p>
        </w:tc>
        <w:tc>
          <w:tcPr>
            <w:tcW w:w="6552" w:type="dxa"/>
          </w:tcPr>
          <w:p w:rsidR="00342524" w:rsidRDefault="00342524" w:rsidP="005136F6">
            <w:r>
              <w:t xml:space="preserve">Nick </w:t>
            </w:r>
            <w:proofErr w:type="spellStart"/>
            <w:r>
              <w:t>Herrmannsdörfer</w:t>
            </w:r>
            <w:proofErr w:type="spellEnd"/>
          </w:p>
        </w:tc>
      </w:tr>
      <w:tr w:rsidR="00342524" w:rsidTr="00342524">
        <w:tc>
          <w:tcPr>
            <w:tcW w:w="2660" w:type="dxa"/>
          </w:tcPr>
          <w:p w:rsidR="00342524" w:rsidRDefault="00342524" w:rsidP="005136F6">
            <w:r>
              <w:t>Lead-Engineer</w:t>
            </w:r>
          </w:p>
        </w:tc>
        <w:tc>
          <w:tcPr>
            <w:tcW w:w="6552" w:type="dxa"/>
          </w:tcPr>
          <w:p w:rsidR="00342524" w:rsidRDefault="00342524" w:rsidP="005136F6">
            <w:r>
              <w:t>Patrick Robinson</w:t>
            </w:r>
          </w:p>
        </w:tc>
      </w:tr>
      <w:tr w:rsidR="00342524" w:rsidTr="00342524">
        <w:tc>
          <w:tcPr>
            <w:tcW w:w="2660" w:type="dxa"/>
          </w:tcPr>
          <w:p w:rsidR="00342524" w:rsidRDefault="00342524" w:rsidP="005136F6">
            <w:r>
              <w:t>Network Engineer</w:t>
            </w:r>
          </w:p>
        </w:tc>
        <w:tc>
          <w:tcPr>
            <w:tcW w:w="6552" w:type="dxa"/>
          </w:tcPr>
          <w:p w:rsidR="00342524" w:rsidRDefault="00342524" w:rsidP="005136F6">
            <w:r>
              <w:t>Erwin Stamm</w:t>
            </w:r>
          </w:p>
        </w:tc>
      </w:tr>
      <w:tr w:rsidR="00342524" w:rsidTr="00342524">
        <w:tc>
          <w:tcPr>
            <w:tcW w:w="2660" w:type="dxa"/>
          </w:tcPr>
          <w:p w:rsidR="00342524" w:rsidRDefault="00342524" w:rsidP="005136F6">
            <w:r>
              <w:t>Technischer Redakteur</w:t>
            </w:r>
          </w:p>
        </w:tc>
        <w:tc>
          <w:tcPr>
            <w:tcW w:w="6552" w:type="dxa"/>
          </w:tcPr>
          <w:p w:rsidR="00342524" w:rsidRDefault="00342524" w:rsidP="005136F6">
            <w:r>
              <w:t xml:space="preserve">Kai </w:t>
            </w:r>
            <w:proofErr w:type="spellStart"/>
            <w:r>
              <w:t>Brennenstuhl</w:t>
            </w:r>
            <w:proofErr w:type="spellEnd"/>
          </w:p>
        </w:tc>
      </w:tr>
      <w:tr w:rsidR="00342524" w:rsidTr="00342524">
        <w:tc>
          <w:tcPr>
            <w:tcW w:w="2660" w:type="dxa"/>
          </w:tcPr>
          <w:p w:rsidR="00342524" w:rsidRDefault="00342524" w:rsidP="005136F6">
            <w:r>
              <w:t>Qualitätsmanager</w:t>
            </w:r>
          </w:p>
        </w:tc>
        <w:tc>
          <w:tcPr>
            <w:tcW w:w="6552" w:type="dxa"/>
          </w:tcPr>
          <w:p w:rsidR="00342524" w:rsidRDefault="00342524" w:rsidP="005136F6">
            <w:r>
              <w:t xml:space="preserve">Stefan </w:t>
            </w:r>
            <w:proofErr w:type="spellStart"/>
            <w:r>
              <w:t>Heßler</w:t>
            </w:r>
            <w:proofErr w:type="spellEnd"/>
          </w:p>
        </w:tc>
      </w:tr>
    </w:tbl>
    <w:p w:rsidR="00AB4A65" w:rsidRDefault="00AB4A65"/>
    <w:p w:rsidR="00AB4A65" w:rsidRPr="00AB4A65" w:rsidRDefault="00AB4A65">
      <w:pPr>
        <w:sectPr w:rsidR="00AB4A65" w:rsidRPr="00AB4A65" w:rsidSect="006264E1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</w:p>
    <w:p w:rsidR="005136F6" w:rsidRDefault="005136F6"/>
    <w:p w:rsidR="005136F6" w:rsidRDefault="005136F6" w:rsidP="00C90D6F">
      <w:pPr>
        <w:pStyle w:val="berschrift1"/>
      </w:pPr>
      <w:bookmarkStart w:id="4" w:name="_Toc336515580"/>
      <w:r>
        <w:t>Definition und Abgrenzung</w:t>
      </w:r>
      <w:bookmarkEnd w:id="4"/>
    </w:p>
    <w:p w:rsidR="005136F6" w:rsidRDefault="00E72550" w:rsidP="00E72550">
      <w:pPr>
        <w:pStyle w:val="berschrift2"/>
      </w:pPr>
      <w:bookmarkStart w:id="5" w:name="_Toc336515581"/>
      <w:r>
        <w:t>Aktueller Stand</w:t>
      </w:r>
      <w:bookmarkEnd w:id="5"/>
    </w:p>
    <w:p w:rsidR="00E72550" w:rsidRDefault="00E72550" w:rsidP="00E72550"/>
    <w:p w:rsidR="00E72550" w:rsidRDefault="00E72550" w:rsidP="00E72550">
      <w:pPr>
        <w:pStyle w:val="berschrift2"/>
      </w:pPr>
      <w:bookmarkStart w:id="6" w:name="_Toc336515582"/>
      <w:r>
        <w:t>Problemstellung</w:t>
      </w:r>
      <w:bookmarkEnd w:id="6"/>
    </w:p>
    <w:p w:rsidR="00E72550" w:rsidRDefault="00E72550" w:rsidP="00E72550"/>
    <w:p w:rsidR="00E72550" w:rsidRDefault="00E72550" w:rsidP="00E72550">
      <w:pPr>
        <w:pStyle w:val="berschrift2"/>
      </w:pPr>
      <w:bookmarkStart w:id="7" w:name="_Toc336515583"/>
      <w:r>
        <w:t>Abgrenzung</w:t>
      </w:r>
      <w:bookmarkEnd w:id="7"/>
    </w:p>
    <w:p w:rsidR="00E72550" w:rsidRPr="00E72550" w:rsidRDefault="00E72550" w:rsidP="00E72550"/>
    <w:p w:rsidR="00E72550" w:rsidRDefault="00E72550">
      <w:r>
        <w:br w:type="page"/>
      </w:r>
    </w:p>
    <w:p w:rsidR="005136F6" w:rsidRDefault="00E72550" w:rsidP="00E72550">
      <w:pPr>
        <w:pStyle w:val="berschrift1"/>
      </w:pPr>
      <w:bookmarkStart w:id="8" w:name="_Toc336515584"/>
      <w:r>
        <w:lastRenderedPageBreak/>
        <w:t>Kostenschätzung</w:t>
      </w:r>
      <w:bookmarkEnd w:id="8"/>
    </w:p>
    <w:p w:rsidR="00E72550" w:rsidRDefault="00E72550" w:rsidP="00E72550">
      <w:pPr>
        <w:pStyle w:val="berschrift2"/>
      </w:pPr>
      <w:bookmarkStart w:id="9" w:name="_Toc336515585"/>
      <w:r>
        <w:t>Einmal Kosten</w:t>
      </w:r>
      <w:bookmarkEnd w:id="9"/>
    </w:p>
    <w:p w:rsidR="00623030" w:rsidRDefault="00623030" w:rsidP="00623030">
      <w:pPr>
        <w:pStyle w:val="berschrift3"/>
      </w:pPr>
      <w:bookmarkStart w:id="10" w:name="_Toc336515586"/>
      <w:r>
        <w:t>Software</w:t>
      </w:r>
      <w:bookmarkEnd w:id="10"/>
    </w:p>
    <w:p w:rsidR="005967F8" w:rsidRPr="005967F8" w:rsidRDefault="005967F8" w:rsidP="005967F8">
      <w:pPr>
        <w:spacing w:after="0"/>
      </w:pPr>
    </w:p>
    <w:p w:rsidR="005967F8" w:rsidRDefault="005967F8" w:rsidP="005967F8">
      <w:pPr>
        <w:widowControl w:val="0"/>
        <w:tabs>
          <w:tab w:val="left" w:pos="708"/>
        </w:tabs>
        <w:suppressAutoHyphens/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Für den Kompatibilitätstest werden die besprochenen Systeme benötigt. Dabei müssen einige davon eingekauft werden. Weitere Software-Posten sind Open-Source und bringen daher keine weiteren Kosten mit sich.</w:t>
      </w:r>
    </w:p>
    <w:p w:rsidR="005967F8" w:rsidRDefault="005967F8" w:rsidP="005967F8">
      <w:pPr>
        <w:widowControl w:val="0"/>
        <w:tabs>
          <w:tab w:val="left" w:pos="708"/>
        </w:tabs>
        <w:suppressAutoHyphens/>
        <w:spacing w:line="240" w:lineRule="auto"/>
        <w:jc w:val="both"/>
        <w:rPr>
          <w:rFonts w:ascii="Calibri" w:eastAsia="Calibri" w:hAnsi="Calibri" w:cs="Calibri"/>
        </w:rPr>
      </w:pPr>
    </w:p>
    <w:tbl>
      <w:tblPr>
        <w:tblStyle w:val="HelleSchattierung"/>
        <w:tblW w:w="0" w:type="auto"/>
        <w:tblInd w:w="1951" w:type="dxa"/>
        <w:tblLook w:val="04A0" w:firstRow="1" w:lastRow="0" w:firstColumn="1" w:lastColumn="0" w:noHBand="0" w:noVBand="1"/>
      </w:tblPr>
      <w:tblGrid>
        <w:gridCol w:w="2598"/>
        <w:gridCol w:w="2505"/>
      </w:tblGrid>
      <w:tr w:rsidR="005967F8" w:rsidTr="00596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Default="005967F8" w:rsidP="005967F8">
            <w:pPr>
              <w:widowControl w:val="0"/>
              <w:tabs>
                <w:tab w:val="left" w:pos="708"/>
              </w:tabs>
              <w:suppressAutoHyphens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Software</w:t>
            </w:r>
          </w:p>
        </w:tc>
        <w:tc>
          <w:tcPr>
            <w:tcW w:w="2505" w:type="dxa"/>
          </w:tcPr>
          <w:p w:rsidR="005967F8" w:rsidRDefault="005967F8" w:rsidP="005967F8">
            <w:pPr>
              <w:widowControl w:val="0"/>
              <w:tabs>
                <w:tab w:val="left" w:pos="708"/>
              </w:tabs>
              <w:suppressAutoHyphens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Preis</w:t>
            </w:r>
          </w:p>
        </w:tc>
      </w:tr>
      <w:tr w:rsidR="005967F8" w:rsidTr="0059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Windows XP Professional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20,00 €</w:t>
            </w:r>
          </w:p>
        </w:tc>
      </w:tr>
      <w:tr w:rsidR="005967F8" w:rsidTr="005967F8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Windows Vista Business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20,00 €</w:t>
            </w:r>
          </w:p>
        </w:tc>
      </w:tr>
      <w:tr w:rsidR="005967F8" w:rsidTr="0059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Windows 7 Professional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100,00 €</w:t>
            </w:r>
          </w:p>
        </w:tc>
      </w:tr>
      <w:tr w:rsidR="005967F8" w:rsidTr="005967F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Linux 2.6 +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0,00 €</w:t>
            </w:r>
          </w:p>
        </w:tc>
      </w:tr>
      <w:tr w:rsidR="005967F8" w:rsidTr="0059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Multicastor 2.0 / 2.1 / 2.2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0,00 €</w:t>
            </w:r>
          </w:p>
        </w:tc>
      </w:tr>
      <w:tr w:rsidR="005967F8" w:rsidTr="005967F8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Java 1.6 / 1.7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0,00 €</w:t>
            </w:r>
          </w:p>
        </w:tc>
      </w:tr>
    </w:tbl>
    <w:p w:rsidR="005967F8" w:rsidRDefault="005967F8" w:rsidP="005967F8">
      <w:pPr>
        <w:widowControl w:val="0"/>
        <w:tabs>
          <w:tab w:val="left" w:pos="708"/>
        </w:tabs>
        <w:suppressAutoHyphens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Gesamt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  <w:b/>
        </w:rPr>
        <w:t>140,00 €</w:t>
      </w:r>
    </w:p>
    <w:p w:rsidR="005967F8" w:rsidRPr="005967F8" w:rsidRDefault="005967F8" w:rsidP="005967F8"/>
    <w:p w:rsidR="00623030" w:rsidRDefault="00623030" w:rsidP="00623030">
      <w:pPr>
        <w:pStyle w:val="berschrift3"/>
      </w:pPr>
      <w:bookmarkStart w:id="11" w:name="_Toc336515587"/>
      <w:r>
        <w:t>Hardware</w:t>
      </w:r>
      <w:bookmarkEnd w:id="11"/>
    </w:p>
    <w:p w:rsidR="00623030" w:rsidRDefault="00623030" w:rsidP="005967F8">
      <w:pPr>
        <w:spacing w:after="0"/>
      </w:pPr>
    </w:p>
    <w:p w:rsidR="005967F8" w:rsidRDefault="005967F8" w:rsidP="005967F8">
      <w:pPr>
        <w:widowControl w:val="0"/>
        <w:tabs>
          <w:tab w:val="left" w:pos="708"/>
        </w:tabs>
        <w:suppressAutoHyphens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Für den Test der Funktionalitäten wird ein normaler Layer 3 Switch und ein Switch, der MMRP- und GMRP-Unterstützung auf Layer 2 bietet, benötigt.</w:t>
      </w:r>
    </w:p>
    <w:p w:rsidR="005967F8" w:rsidRDefault="005967F8" w:rsidP="00623030"/>
    <w:tbl>
      <w:tblPr>
        <w:tblStyle w:val="HelleSchattierung"/>
        <w:tblW w:w="0" w:type="auto"/>
        <w:tblInd w:w="1951" w:type="dxa"/>
        <w:tblLook w:val="04A0" w:firstRow="1" w:lastRow="0" w:firstColumn="1" w:lastColumn="0" w:noHBand="0" w:noVBand="1"/>
      </w:tblPr>
      <w:tblGrid>
        <w:gridCol w:w="2598"/>
        <w:gridCol w:w="2505"/>
      </w:tblGrid>
      <w:tr w:rsidR="005967F8" w:rsidTr="00B3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Hardware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Preis</w:t>
            </w:r>
          </w:p>
        </w:tc>
      </w:tr>
      <w:tr w:rsidR="005967F8" w:rsidTr="00B3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GMRP/MMRP Layer 3 Switch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300</w:t>
            </w:r>
            <w:r>
              <w:rPr>
                <w:rFonts w:ascii="Calibri" w:eastAsia="Calibri" w:hAnsi="Calibri" w:cs="Calibri"/>
                <w:color w:val="auto"/>
              </w:rPr>
              <w:t>0,00 €</w:t>
            </w:r>
          </w:p>
        </w:tc>
      </w:tr>
      <w:tr w:rsidR="005967F8" w:rsidTr="00B3064E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:rsidR="005967F8" w:rsidRPr="005967F8" w:rsidRDefault="005967F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  <w:b w:val="0"/>
              </w:rPr>
            </w:pPr>
            <w:r w:rsidRPr="005967F8">
              <w:rPr>
                <w:rFonts w:ascii="Calibri" w:eastAsia="Calibri" w:hAnsi="Calibri" w:cs="Calibri"/>
                <w:b w:val="0"/>
                <w:color w:val="auto"/>
              </w:rPr>
              <w:t>Layer 2 Switch</w:t>
            </w:r>
          </w:p>
        </w:tc>
        <w:tc>
          <w:tcPr>
            <w:tcW w:w="2505" w:type="dxa"/>
          </w:tcPr>
          <w:p w:rsidR="005967F8" w:rsidRDefault="005967F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5</w:t>
            </w:r>
            <w:r>
              <w:rPr>
                <w:rFonts w:ascii="Calibri" w:eastAsia="Calibri" w:hAnsi="Calibri" w:cs="Calibri"/>
                <w:color w:val="auto"/>
              </w:rPr>
              <w:t>0,00 €</w:t>
            </w:r>
          </w:p>
        </w:tc>
      </w:tr>
    </w:tbl>
    <w:p w:rsidR="005967F8" w:rsidRDefault="005967F8" w:rsidP="005967F8">
      <w:pPr>
        <w:widowControl w:val="0"/>
        <w:tabs>
          <w:tab w:val="left" w:pos="708"/>
        </w:tabs>
        <w:suppressAutoHyphens/>
        <w:ind w:left="141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   Gesamt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305</w:t>
      </w:r>
      <w:r>
        <w:rPr>
          <w:rFonts w:ascii="Calibri" w:eastAsia="Calibri" w:hAnsi="Calibri" w:cs="Calibri"/>
          <w:b/>
        </w:rPr>
        <w:t>0,00 €</w:t>
      </w:r>
    </w:p>
    <w:p w:rsidR="005967F8" w:rsidRDefault="005967F8" w:rsidP="00623030"/>
    <w:p w:rsidR="00623030" w:rsidRDefault="00623030" w:rsidP="00623030"/>
    <w:p w:rsidR="004556F1" w:rsidRDefault="004556F1" w:rsidP="00623030"/>
    <w:p w:rsidR="004556F1" w:rsidRDefault="004556F1" w:rsidP="00623030"/>
    <w:p w:rsidR="004556F1" w:rsidRDefault="004556F1" w:rsidP="00623030"/>
    <w:p w:rsidR="004556F1" w:rsidRDefault="004556F1" w:rsidP="00623030"/>
    <w:p w:rsidR="004556F1" w:rsidRDefault="004556F1" w:rsidP="00623030"/>
    <w:p w:rsidR="004556F1" w:rsidRDefault="004556F1" w:rsidP="00623030"/>
    <w:p w:rsidR="004556F1" w:rsidRPr="00623030" w:rsidRDefault="004556F1" w:rsidP="00623030"/>
    <w:p w:rsidR="00E72550" w:rsidRDefault="00E72550" w:rsidP="00E72550">
      <w:pPr>
        <w:pStyle w:val="berschrift2"/>
      </w:pPr>
      <w:bookmarkStart w:id="12" w:name="_Toc336515588"/>
      <w:r>
        <w:lastRenderedPageBreak/>
        <w:t>Laufende Kosten</w:t>
      </w:r>
      <w:bookmarkEnd w:id="12"/>
    </w:p>
    <w:p w:rsidR="005967F8" w:rsidRDefault="005967F8" w:rsidP="005967F8">
      <w:pPr>
        <w:pStyle w:val="berschrift3"/>
        <w:rPr>
          <w:rFonts w:eastAsia="Cambria"/>
        </w:rPr>
      </w:pPr>
      <w:r>
        <w:rPr>
          <w:rFonts w:eastAsia="Cambria"/>
        </w:rPr>
        <w:t>Zugrunde liegende Personalkosten</w:t>
      </w:r>
    </w:p>
    <w:p w:rsidR="005967F8" w:rsidRPr="005967F8" w:rsidRDefault="005967F8" w:rsidP="005967F8">
      <w:pPr>
        <w:spacing w:after="0"/>
      </w:pPr>
    </w:p>
    <w:p w:rsidR="005967F8" w:rsidRDefault="005967F8" w:rsidP="005967F8">
      <w:pPr>
        <w:widowControl w:val="0"/>
        <w:tabs>
          <w:tab w:val="left" w:pos="708"/>
        </w:tabs>
        <w:suppressAutoHyphens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Die folgende Tabelle zeigt die Stundenkosten für das Personal. Ein Arbeitstag besteht dabei aus 8 Arbeitsstunden. </w:t>
      </w:r>
    </w:p>
    <w:p w:rsidR="004556F1" w:rsidRDefault="004556F1" w:rsidP="005967F8">
      <w:pPr>
        <w:widowControl w:val="0"/>
        <w:tabs>
          <w:tab w:val="left" w:pos="708"/>
        </w:tabs>
        <w:suppressAutoHyphens/>
        <w:spacing w:after="0"/>
        <w:jc w:val="both"/>
        <w:rPr>
          <w:rFonts w:ascii="Calibri" w:eastAsia="Calibri" w:hAnsi="Calibri" w:cs="Calibri"/>
        </w:rPr>
      </w:pPr>
    </w:p>
    <w:tbl>
      <w:tblPr>
        <w:tblStyle w:val="HelleSchattierung"/>
        <w:tblW w:w="9210" w:type="dxa"/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4556F1" w:rsidTr="00455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Jobtitel</w:t>
            </w:r>
            <w:proofErr w:type="spellEnd"/>
          </w:p>
        </w:tc>
        <w:tc>
          <w:tcPr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Hauptgebiet</w:t>
            </w:r>
          </w:p>
        </w:tc>
        <w:tc>
          <w:tcPr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Kosten pro Stunde</w:t>
            </w:r>
          </w:p>
        </w:tc>
      </w:tr>
      <w:tr w:rsidR="004556F1" w:rsidTr="0045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Projekt-Manager</w:t>
            </w:r>
          </w:p>
        </w:tc>
        <w:tc>
          <w:tcPr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Organisation und Administration</w:t>
            </w:r>
          </w:p>
        </w:tc>
        <w:tc>
          <w:tcPr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120,00 €</w:t>
            </w:r>
          </w:p>
        </w:tc>
      </w:tr>
      <w:tr w:rsidR="004556F1" w:rsidTr="0045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Lead-Engineer</w:t>
            </w:r>
          </w:p>
        </w:tc>
        <w:tc>
          <w:tcPr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Design und Entwicklung</w:t>
            </w:r>
          </w:p>
        </w:tc>
        <w:tc>
          <w:tcPr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105,00 €</w:t>
            </w:r>
          </w:p>
        </w:tc>
      </w:tr>
      <w:tr w:rsidR="004556F1" w:rsidTr="0045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Qualitätsmanager</w:t>
            </w:r>
          </w:p>
        </w:tc>
        <w:tc>
          <w:tcPr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Softwaretests, Qualitätssicherung</w:t>
            </w:r>
          </w:p>
        </w:tc>
        <w:tc>
          <w:tcPr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105,00 €</w:t>
            </w:r>
          </w:p>
        </w:tc>
      </w:tr>
      <w:tr w:rsidR="004556F1" w:rsidTr="0045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Network Engineer</w:t>
            </w:r>
          </w:p>
        </w:tc>
        <w:tc>
          <w:tcPr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Programmierung / Implementierung</w:t>
            </w:r>
          </w:p>
        </w:tc>
        <w:tc>
          <w:tcPr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90,00 €</w:t>
            </w:r>
          </w:p>
        </w:tc>
      </w:tr>
      <w:tr w:rsidR="004556F1" w:rsidTr="0045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Technischer Redakteur</w:t>
            </w:r>
          </w:p>
        </w:tc>
        <w:tc>
          <w:tcPr>
            <w:tcW w:w="3070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Dokumentation des Projektes</w:t>
            </w:r>
          </w:p>
        </w:tc>
        <w:tc>
          <w:tcPr>
            <w:tcW w:w="3070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80,00 €</w:t>
            </w:r>
          </w:p>
        </w:tc>
      </w:tr>
    </w:tbl>
    <w:p w:rsidR="005967F8" w:rsidRDefault="005967F8" w:rsidP="005967F8"/>
    <w:p w:rsidR="004556F1" w:rsidRDefault="004556F1" w:rsidP="004556F1">
      <w:pPr>
        <w:pStyle w:val="berschrift3"/>
      </w:pPr>
      <w:r>
        <w:t>Kostenschätzung Analysephase</w:t>
      </w:r>
    </w:p>
    <w:p w:rsidR="004556F1" w:rsidRPr="004556F1" w:rsidRDefault="004556F1" w:rsidP="004556F1">
      <w:pPr>
        <w:spacing w:after="0"/>
      </w:pPr>
    </w:p>
    <w:p w:rsidR="004556F1" w:rsidRDefault="004556F1" w:rsidP="004556F1">
      <w:pPr>
        <w:widowControl w:val="0"/>
        <w:tabs>
          <w:tab w:val="left" w:pos="708"/>
        </w:tabs>
        <w:suppressAutoHyphens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Für die Analysephase wird ein Aufwand von </w:t>
      </w:r>
      <w:r>
        <w:rPr>
          <w:rFonts w:ascii="Calibri" w:eastAsia="Calibri" w:hAnsi="Calibri" w:cs="Calibri"/>
        </w:rPr>
        <w:t>16</w:t>
      </w:r>
      <w:r>
        <w:rPr>
          <w:rFonts w:ascii="Calibri" w:eastAsia="Calibri" w:hAnsi="Calibri" w:cs="Calibri"/>
        </w:rPr>
        <w:t xml:space="preserve"> Manntagen vorgesehen.  Die Administration und Organisation des Projektes ist dabei nicht eingerechnet. Die Kosten setzen sich wie folgt zusammen:</w:t>
      </w:r>
    </w:p>
    <w:p w:rsidR="004556F1" w:rsidRDefault="004556F1" w:rsidP="004556F1">
      <w:pPr>
        <w:widowControl w:val="0"/>
        <w:tabs>
          <w:tab w:val="left" w:pos="708"/>
        </w:tabs>
        <w:suppressAutoHyphens/>
        <w:jc w:val="both"/>
        <w:rPr>
          <w:rFonts w:ascii="Calibri" w:eastAsia="Calibri" w:hAnsi="Calibri" w:cs="Calibri"/>
        </w:rPr>
      </w:pPr>
    </w:p>
    <w:tbl>
      <w:tblPr>
        <w:tblStyle w:val="HelleSchattierung"/>
        <w:tblW w:w="7371" w:type="dxa"/>
        <w:tblInd w:w="817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</w:tblGrid>
      <w:tr w:rsidR="004556F1" w:rsidTr="00455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Jobtitel</w:t>
            </w:r>
            <w:proofErr w:type="spellEnd"/>
          </w:p>
        </w:tc>
        <w:tc>
          <w:tcPr>
            <w:tcW w:w="2268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Beteiligung</w:t>
            </w:r>
          </w:p>
        </w:tc>
        <w:tc>
          <w:tcPr>
            <w:tcW w:w="2551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Kosten</w:t>
            </w:r>
          </w:p>
        </w:tc>
      </w:tr>
      <w:tr w:rsidR="004556F1" w:rsidTr="0045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Lead-Engineer</w:t>
            </w:r>
          </w:p>
        </w:tc>
        <w:tc>
          <w:tcPr>
            <w:tcW w:w="2268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40 %</w:t>
            </w:r>
          </w:p>
        </w:tc>
        <w:tc>
          <w:tcPr>
            <w:tcW w:w="2551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5376,00</w:t>
            </w:r>
            <w:r>
              <w:rPr>
                <w:rFonts w:ascii="Calibri" w:eastAsia="Calibri" w:hAnsi="Calibri" w:cs="Calibri"/>
                <w:color w:val="auto"/>
              </w:rPr>
              <w:t xml:space="preserve"> €</w:t>
            </w:r>
          </w:p>
        </w:tc>
      </w:tr>
      <w:tr w:rsidR="004556F1" w:rsidTr="0045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Qualitätsmanager</w:t>
            </w:r>
          </w:p>
        </w:tc>
        <w:tc>
          <w:tcPr>
            <w:tcW w:w="2268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25 %</w:t>
            </w:r>
          </w:p>
        </w:tc>
        <w:tc>
          <w:tcPr>
            <w:tcW w:w="2551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3360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4556F1" w:rsidTr="00455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Network Engineer</w:t>
            </w:r>
          </w:p>
        </w:tc>
        <w:tc>
          <w:tcPr>
            <w:tcW w:w="2268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20 %</w:t>
            </w:r>
          </w:p>
        </w:tc>
        <w:tc>
          <w:tcPr>
            <w:tcW w:w="2551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2304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4556F1" w:rsidTr="004556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Technischer Redakteur</w:t>
            </w:r>
          </w:p>
        </w:tc>
        <w:tc>
          <w:tcPr>
            <w:tcW w:w="2268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15 %</w:t>
            </w:r>
          </w:p>
        </w:tc>
        <w:tc>
          <w:tcPr>
            <w:tcW w:w="2551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1536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</w:tbl>
    <w:p w:rsidR="004556F1" w:rsidRDefault="004556F1" w:rsidP="005967F8">
      <w:r>
        <w:tab/>
        <w:t xml:space="preserve">  </w:t>
      </w:r>
      <w:r w:rsidRPr="00B05118">
        <w:rPr>
          <w:b/>
        </w:rPr>
        <w:t>Gesamt</w:t>
      </w:r>
      <w:r>
        <w:tab/>
      </w:r>
      <w:r>
        <w:tab/>
      </w:r>
      <w:r>
        <w:tab/>
        <w:t xml:space="preserve">           100 %</w:t>
      </w:r>
      <w:r>
        <w:tab/>
      </w:r>
      <w:r>
        <w:tab/>
      </w:r>
      <w:r>
        <w:tab/>
        <w:t xml:space="preserve">             12576,00 €</w:t>
      </w:r>
    </w:p>
    <w:p w:rsidR="004556F1" w:rsidRDefault="004556F1" w:rsidP="005967F8"/>
    <w:p w:rsidR="004556F1" w:rsidRDefault="004556F1" w:rsidP="004556F1">
      <w:pPr>
        <w:pStyle w:val="berschrift3"/>
      </w:pPr>
      <w:r>
        <w:t>Kostenschätzung Designphase</w:t>
      </w:r>
    </w:p>
    <w:p w:rsidR="004556F1" w:rsidRDefault="004556F1" w:rsidP="004556F1">
      <w:pPr>
        <w:spacing w:after="0"/>
      </w:pPr>
    </w:p>
    <w:p w:rsidR="004556F1" w:rsidRDefault="004556F1" w:rsidP="004556F1">
      <w:pPr>
        <w:widowControl w:val="0"/>
        <w:tabs>
          <w:tab w:val="left" w:pos="708"/>
        </w:tabs>
        <w:suppressAutoHyphens/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Für die Designphase wird ein Aufwand von </w:t>
      </w:r>
      <w:r>
        <w:rPr>
          <w:rFonts w:ascii="Calibri" w:eastAsia="Calibri" w:hAnsi="Calibri" w:cs="Calibri"/>
        </w:rPr>
        <w:t>20</w:t>
      </w:r>
      <w:r>
        <w:rPr>
          <w:rFonts w:ascii="Calibri" w:eastAsia="Calibri" w:hAnsi="Calibri" w:cs="Calibri"/>
        </w:rPr>
        <w:t xml:space="preserve"> Manntagen vorgesehen. Die Administration und Organisation des Projektes ist dabei nicht eingerechnet. Die Kosten setzen sich wie folgt zusammen:</w:t>
      </w:r>
    </w:p>
    <w:p w:rsidR="004556F1" w:rsidRDefault="004556F1" w:rsidP="005967F8"/>
    <w:tbl>
      <w:tblPr>
        <w:tblStyle w:val="HelleSchattierung"/>
        <w:tblW w:w="7371" w:type="dxa"/>
        <w:tblInd w:w="817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</w:tblGrid>
      <w:tr w:rsidR="004556F1" w:rsidTr="00B3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Jobtitel</w:t>
            </w:r>
            <w:proofErr w:type="spellEnd"/>
          </w:p>
        </w:tc>
        <w:tc>
          <w:tcPr>
            <w:tcW w:w="2268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Beteiligung</w:t>
            </w:r>
          </w:p>
        </w:tc>
        <w:tc>
          <w:tcPr>
            <w:tcW w:w="2551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Kosten</w:t>
            </w:r>
          </w:p>
        </w:tc>
      </w:tr>
      <w:tr w:rsidR="004556F1" w:rsidTr="00B3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Lead-Engineer</w:t>
            </w:r>
          </w:p>
        </w:tc>
        <w:tc>
          <w:tcPr>
            <w:tcW w:w="2268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55</w:t>
            </w:r>
            <w:r>
              <w:rPr>
                <w:rFonts w:ascii="Calibri" w:eastAsia="Calibri" w:hAnsi="Calibri" w:cs="Calibri"/>
                <w:color w:val="auto"/>
              </w:rPr>
              <w:t xml:space="preserve"> %</w:t>
            </w:r>
          </w:p>
        </w:tc>
        <w:tc>
          <w:tcPr>
            <w:tcW w:w="2551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9240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4556F1" w:rsidTr="00B3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Qualitätsmanager</w:t>
            </w:r>
          </w:p>
        </w:tc>
        <w:tc>
          <w:tcPr>
            <w:tcW w:w="2268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</w:t>
            </w:r>
            <w:r>
              <w:rPr>
                <w:rFonts w:ascii="Calibri" w:eastAsia="Calibri" w:hAnsi="Calibri" w:cs="Calibri"/>
                <w:color w:val="auto"/>
              </w:rPr>
              <w:t>5 %</w:t>
            </w:r>
          </w:p>
        </w:tc>
        <w:tc>
          <w:tcPr>
            <w:tcW w:w="2551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2520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4556F1" w:rsidTr="00B3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Network Engineer</w:t>
            </w:r>
          </w:p>
        </w:tc>
        <w:tc>
          <w:tcPr>
            <w:tcW w:w="2268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</w:t>
            </w:r>
            <w:r>
              <w:rPr>
                <w:rFonts w:ascii="Calibri" w:eastAsia="Calibri" w:hAnsi="Calibri" w:cs="Calibri"/>
                <w:color w:val="auto"/>
              </w:rPr>
              <w:t>0 %</w:t>
            </w:r>
          </w:p>
        </w:tc>
        <w:tc>
          <w:tcPr>
            <w:tcW w:w="2551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1440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4556F1" w:rsidTr="00B3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Technischer Redakteur</w:t>
            </w:r>
          </w:p>
        </w:tc>
        <w:tc>
          <w:tcPr>
            <w:tcW w:w="2268" w:type="dxa"/>
          </w:tcPr>
          <w:p w:rsidR="004556F1" w:rsidRDefault="004556F1" w:rsidP="004556F1">
            <w:pPr>
              <w:widowControl w:val="0"/>
              <w:tabs>
                <w:tab w:val="left" w:pos="708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20</w:t>
            </w:r>
            <w:r>
              <w:rPr>
                <w:rFonts w:ascii="Calibri" w:eastAsia="Calibri" w:hAnsi="Calibri" w:cs="Calibri"/>
                <w:color w:val="auto"/>
              </w:rPr>
              <w:t xml:space="preserve"> %</w:t>
            </w:r>
          </w:p>
        </w:tc>
        <w:tc>
          <w:tcPr>
            <w:tcW w:w="2551" w:type="dxa"/>
          </w:tcPr>
          <w:p w:rsidR="004556F1" w:rsidRDefault="004556F1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2560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</w:tbl>
    <w:p w:rsidR="004556F1" w:rsidRDefault="004556F1" w:rsidP="004556F1">
      <w:r>
        <w:t xml:space="preserve">  </w:t>
      </w:r>
      <w:r>
        <w:tab/>
        <w:t xml:space="preserve">  </w:t>
      </w:r>
      <w:r w:rsidRPr="00B05118">
        <w:rPr>
          <w:b/>
        </w:rPr>
        <w:t>Gesamt</w:t>
      </w:r>
      <w:r>
        <w:tab/>
      </w:r>
      <w:r>
        <w:tab/>
      </w:r>
      <w:r>
        <w:tab/>
        <w:t xml:space="preserve">           100 %</w:t>
      </w:r>
      <w:r>
        <w:tab/>
      </w:r>
      <w:r>
        <w:tab/>
      </w:r>
      <w:r>
        <w:tab/>
        <w:t xml:space="preserve">             </w:t>
      </w:r>
      <w:r>
        <w:t>15760</w:t>
      </w:r>
      <w:r>
        <w:t>,00 €</w:t>
      </w:r>
    </w:p>
    <w:p w:rsidR="004556F1" w:rsidRPr="005967F8" w:rsidRDefault="004556F1" w:rsidP="005967F8"/>
    <w:p w:rsidR="00B05118" w:rsidRDefault="00B05118" w:rsidP="00623030">
      <w:pPr>
        <w:pStyle w:val="berschrift3"/>
      </w:pPr>
      <w:bookmarkStart w:id="13" w:name="_Toc336515589"/>
      <w:r>
        <w:lastRenderedPageBreak/>
        <w:t>Kostenschätzung Implementierungsphase</w:t>
      </w:r>
    </w:p>
    <w:p w:rsidR="00B05118" w:rsidRDefault="00B05118" w:rsidP="00B05118">
      <w:pPr>
        <w:widowControl w:val="0"/>
        <w:tabs>
          <w:tab w:val="left" w:pos="708"/>
        </w:tabs>
        <w:suppressAutoHyphens/>
        <w:spacing w:after="0"/>
        <w:jc w:val="both"/>
        <w:rPr>
          <w:rFonts w:ascii="Calibri" w:eastAsia="Calibri" w:hAnsi="Calibri" w:cs="Calibri"/>
        </w:rPr>
      </w:pPr>
    </w:p>
    <w:p w:rsidR="00B05118" w:rsidRDefault="00B05118" w:rsidP="00B0511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Für die Implementierungsphase wird ein Aufwand von </w:t>
      </w:r>
      <w:r>
        <w:rPr>
          <w:rFonts w:ascii="Calibri" w:eastAsia="Calibri" w:hAnsi="Calibri" w:cs="Calibri"/>
        </w:rPr>
        <w:t>37</w:t>
      </w:r>
      <w:r>
        <w:rPr>
          <w:rFonts w:ascii="Calibri" w:eastAsia="Calibri" w:hAnsi="Calibri" w:cs="Calibri"/>
        </w:rPr>
        <w:t xml:space="preserve"> Manntagen vorgesehen. Die Administration und Organisation des Projektes ist dabei nicht eingerechnet. Der Aufwand wurde anhand der Anforderungen und den daraus resultierenden Arbeitspaketen ermittelt. </w:t>
      </w:r>
      <w:r>
        <w:rPr>
          <w:rFonts w:ascii="Calibri" w:eastAsia="Calibri" w:hAnsi="Calibri" w:cs="Calibri"/>
        </w:rPr>
        <w:t xml:space="preserve">Aufgrund der ermittelten Risiken wird ein Risikopuffer von 10% veranschlagt, der einen Mehraufwand von 4 Tagen beträgt. </w:t>
      </w:r>
      <w:bookmarkStart w:id="14" w:name="_GoBack"/>
      <w:bookmarkEnd w:id="14"/>
      <w:r>
        <w:rPr>
          <w:rFonts w:ascii="Calibri" w:eastAsia="Calibri" w:hAnsi="Calibri" w:cs="Calibri"/>
        </w:rPr>
        <w:t xml:space="preserve">Die expliziten Kosten sind in der Tabelle nach Jobtiteln angegeben. </w:t>
      </w:r>
    </w:p>
    <w:p w:rsidR="00B05118" w:rsidRDefault="00B05118" w:rsidP="00B05118"/>
    <w:tbl>
      <w:tblPr>
        <w:tblStyle w:val="HelleSchattierung"/>
        <w:tblW w:w="7371" w:type="dxa"/>
        <w:tblInd w:w="817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</w:tblGrid>
      <w:tr w:rsidR="00B05118" w:rsidTr="00B30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auto"/>
              </w:rPr>
              <w:t>Jobtitel</w:t>
            </w:r>
            <w:proofErr w:type="spellEnd"/>
          </w:p>
        </w:tc>
        <w:tc>
          <w:tcPr>
            <w:tcW w:w="2268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Beteiligung</w:t>
            </w:r>
          </w:p>
        </w:tc>
        <w:tc>
          <w:tcPr>
            <w:tcW w:w="2551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Kosten</w:t>
            </w:r>
          </w:p>
        </w:tc>
      </w:tr>
      <w:tr w:rsidR="00B05118" w:rsidTr="00B3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Lead-Engineer</w:t>
            </w:r>
          </w:p>
        </w:tc>
        <w:tc>
          <w:tcPr>
            <w:tcW w:w="2268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25</w:t>
            </w:r>
            <w:r>
              <w:rPr>
                <w:rFonts w:ascii="Calibri" w:eastAsia="Calibri" w:hAnsi="Calibri" w:cs="Calibri"/>
                <w:color w:val="auto"/>
              </w:rPr>
              <w:t xml:space="preserve"> %</w:t>
            </w:r>
          </w:p>
        </w:tc>
        <w:tc>
          <w:tcPr>
            <w:tcW w:w="2551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8610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B05118" w:rsidTr="00B3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Qualitätsmanager</w:t>
            </w:r>
          </w:p>
        </w:tc>
        <w:tc>
          <w:tcPr>
            <w:tcW w:w="2268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20</w:t>
            </w:r>
            <w:r>
              <w:rPr>
                <w:rFonts w:ascii="Calibri" w:eastAsia="Calibri" w:hAnsi="Calibri" w:cs="Calibri"/>
                <w:color w:val="auto"/>
              </w:rPr>
              <w:t xml:space="preserve"> %</w:t>
            </w:r>
          </w:p>
        </w:tc>
        <w:tc>
          <w:tcPr>
            <w:tcW w:w="2551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6888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B05118" w:rsidTr="00B30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Network Engineer</w:t>
            </w:r>
          </w:p>
        </w:tc>
        <w:tc>
          <w:tcPr>
            <w:tcW w:w="2268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40</w:t>
            </w:r>
            <w:r>
              <w:rPr>
                <w:rFonts w:ascii="Calibri" w:eastAsia="Calibri" w:hAnsi="Calibri" w:cs="Calibri"/>
                <w:color w:val="auto"/>
              </w:rPr>
              <w:t xml:space="preserve"> %</w:t>
            </w:r>
          </w:p>
        </w:tc>
        <w:tc>
          <w:tcPr>
            <w:tcW w:w="2551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11808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  <w:tr w:rsidR="00B05118" w:rsidTr="00B306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Technischer Redakteur</w:t>
            </w:r>
          </w:p>
        </w:tc>
        <w:tc>
          <w:tcPr>
            <w:tcW w:w="2268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15</w:t>
            </w:r>
            <w:r>
              <w:rPr>
                <w:rFonts w:ascii="Calibri" w:eastAsia="Calibri" w:hAnsi="Calibri" w:cs="Calibri"/>
                <w:color w:val="auto"/>
              </w:rPr>
              <w:t xml:space="preserve"> %</w:t>
            </w:r>
          </w:p>
        </w:tc>
        <w:tc>
          <w:tcPr>
            <w:tcW w:w="2551" w:type="dxa"/>
          </w:tcPr>
          <w:p w:rsidR="00B05118" w:rsidRDefault="00B05118" w:rsidP="00B3064E">
            <w:pPr>
              <w:widowControl w:val="0"/>
              <w:tabs>
                <w:tab w:val="left" w:pos="708"/>
              </w:tabs>
              <w:suppressAutoHyphens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3936</w:t>
            </w:r>
            <w:r>
              <w:rPr>
                <w:rFonts w:ascii="Calibri" w:eastAsia="Calibri" w:hAnsi="Calibri" w:cs="Calibri"/>
                <w:color w:val="auto"/>
              </w:rPr>
              <w:t>,00 €</w:t>
            </w:r>
          </w:p>
        </w:tc>
      </w:tr>
    </w:tbl>
    <w:p w:rsidR="00B05118" w:rsidRDefault="00B05118" w:rsidP="00B05118">
      <w:r>
        <w:t xml:space="preserve">  </w:t>
      </w:r>
      <w:r>
        <w:tab/>
        <w:t xml:space="preserve">  </w:t>
      </w:r>
      <w:r w:rsidRPr="00B05118">
        <w:rPr>
          <w:b/>
        </w:rPr>
        <w:t>Gesamt</w:t>
      </w:r>
      <w:r>
        <w:tab/>
      </w:r>
      <w:r>
        <w:tab/>
      </w:r>
      <w:r>
        <w:tab/>
        <w:t xml:space="preserve">           100 %</w:t>
      </w:r>
      <w:r>
        <w:tab/>
      </w:r>
      <w:r>
        <w:tab/>
      </w:r>
      <w:r>
        <w:tab/>
        <w:t xml:space="preserve">             </w:t>
      </w:r>
      <w:r>
        <w:t>31242</w:t>
      </w:r>
      <w:r>
        <w:t>,00 €</w:t>
      </w:r>
    </w:p>
    <w:p w:rsidR="00B05118" w:rsidRDefault="00B05118" w:rsidP="00B05118">
      <w:pPr>
        <w:widowControl w:val="0"/>
        <w:tabs>
          <w:tab w:val="left" w:pos="708"/>
        </w:tabs>
        <w:suppressAutoHyphens/>
        <w:spacing w:after="0"/>
        <w:jc w:val="both"/>
        <w:rPr>
          <w:rFonts w:ascii="Calibri" w:eastAsia="Calibri" w:hAnsi="Calibri" w:cs="Calibri"/>
        </w:rPr>
      </w:pPr>
    </w:p>
    <w:p w:rsidR="00B05118" w:rsidRPr="00B05118" w:rsidRDefault="00B05118" w:rsidP="00B05118"/>
    <w:p w:rsidR="008C6039" w:rsidRDefault="00623030" w:rsidP="00623030">
      <w:pPr>
        <w:pStyle w:val="berschrift3"/>
      </w:pPr>
      <w:r>
        <w:t>Personalkosten</w:t>
      </w:r>
      <w:bookmarkEnd w:id="13"/>
    </w:p>
    <w:p w:rsidR="00623030" w:rsidRDefault="00623030" w:rsidP="004A720A">
      <w:pPr>
        <w:pStyle w:val="berschrift4"/>
      </w:pPr>
      <w:r>
        <w:t>Personalkosten nach Tätigkeit</w:t>
      </w:r>
    </w:p>
    <w:p w:rsidR="00623030" w:rsidRDefault="00623030" w:rsidP="004A720A">
      <w:pPr>
        <w:pStyle w:val="berschrift4"/>
      </w:pPr>
      <w:r>
        <w:t>Kostenschätzung Organisation und Administration</w:t>
      </w:r>
    </w:p>
    <w:p w:rsidR="00623030" w:rsidRDefault="00623030" w:rsidP="004A720A">
      <w:pPr>
        <w:pStyle w:val="berschrift4"/>
      </w:pPr>
      <w:r>
        <w:t>Kostenschätzung Analysephase</w:t>
      </w:r>
    </w:p>
    <w:p w:rsidR="00623030" w:rsidRDefault="00623030" w:rsidP="004A720A">
      <w:pPr>
        <w:pStyle w:val="berschrift4"/>
      </w:pPr>
      <w:r>
        <w:t>Kostenschätzung Designphase</w:t>
      </w:r>
    </w:p>
    <w:p w:rsidR="00623030" w:rsidRDefault="00623030" w:rsidP="004A720A">
      <w:pPr>
        <w:pStyle w:val="berschrift4"/>
      </w:pPr>
      <w:r>
        <w:t>Kostenschätzung Implementierungsphase</w:t>
      </w:r>
    </w:p>
    <w:p w:rsidR="00623030" w:rsidRDefault="00623030" w:rsidP="004A720A">
      <w:pPr>
        <w:pStyle w:val="berschrift4"/>
      </w:pPr>
      <w:r>
        <w:t>Kostenschätzung Testphase</w:t>
      </w:r>
    </w:p>
    <w:p w:rsidR="00623030" w:rsidRDefault="00623030" w:rsidP="004A720A">
      <w:pPr>
        <w:pStyle w:val="berschrift4"/>
      </w:pPr>
      <w:r>
        <w:t>Kostenschätzung Betriebs – und Wartungsphase</w:t>
      </w:r>
    </w:p>
    <w:p w:rsidR="00623030" w:rsidRDefault="00623030" w:rsidP="004A720A">
      <w:pPr>
        <w:pStyle w:val="berschrift4"/>
      </w:pPr>
      <w:r>
        <w:t>Kostenschätzung Personalkosten – Gesamt</w:t>
      </w:r>
    </w:p>
    <w:p w:rsidR="00623030" w:rsidRPr="00623030" w:rsidRDefault="00623030" w:rsidP="00623030">
      <w:pPr>
        <w:pStyle w:val="berschrift3"/>
      </w:pPr>
      <w:bookmarkStart w:id="15" w:name="_Toc336515590"/>
      <w:r>
        <w:t>Serverkosten</w:t>
      </w:r>
      <w:bookmarkEnd w:id="15"/>
    </w:p>
    <w:p w:rsidR="00623030" w:rsidRPr="00623030" w:rsidRDefault="008F12A1" w:rsidP="00623030">
      <w:r>
        <w:br w:type="page"/>
      </w:r>
    </w:p>
    <w:p w:rsidR="008C6039" w:rsidRDefault="008C6039" w:rsidP="008F12A1">
      <w:pPr>
        <w:pStyle w:val="berschrift1"/>
      </w:pPr>
      <w:bookmarkStart w:id="16" w:name="_Toc336515591"/>
      <w:r>
        <w:lastRenderedPageBreak/>
        <w:t>Risiko</w:t>
      </w:r>
      <w:bookmarkEnd w:id="16"/>
      <w:r w:rsidR="008F12A1">
        <w:t>analyse</w:t>
      </w:r>
    </w:p>
    <w:p w:rsidR="005D220B" w:rsidRDefault="005D220B" w:rsidP="005D220B">
      <w:pPr>
        <w:pStyle w:val="berschrift3"/>
      </w:pPr>
      <w:bookmarkStart w:id="17" w:name="_Toc336515592"/>
      <w:r>
        <w:t>Entwicklungsrisiken</w:t>
      </w:r>
      <w:bookmarkEnd w:id="17"/>
    </w:p>
    <w:p w:rsidR="005D220B" w:rsidRDefault="005D220B" w:rsidP="005D220B">
      <w:pPr>
        <w:pStyle w:val="berschrift3"/>
      </w:pPr>
      <w:bookmarkStart w:id="18" w:name="_Toc336515593"/>
      <w:r>
        <w:t>Produktrisiken</w:t>
      </w:r>
      <w:bookmarkEnd w:id="18"/>
    </w:p>
    <w:p w:rsidR="005D220B" w:rsidRPr="005D220B" w:rsidRDefault="005D220B" w:rsidP="005D220B">
      <w:pPr>
        <w:pStyle w:val="berschrift3"/>
      </w:pPr>
      <w:bookmarkStart w:id="19" w:name="_Toc336515594"/>
      <w:r>
        <w:t>Marktrisiken</w:t>
      </w:r>
      <w:bookmarkEnd w:id="19"/>
    </w:p>
    <w:p w:rsidR="005D220B" w:rsidRPr="005D220B" w:rsidRDefault="005D220B" w:rsidP="005D220B"/>
    <w:p w:rsidR="008C6039" w:rsidRDefault="008C6039" w:rsidP="000809DC">
      <w:pPr>
        <w:pStyle w:val="berschrift1"/>
      </w:pPr>
      <w:bookmarkStart w:id="20" w:name="_Toc336515595"/>
      <w:r>
        <w:t>Gesamtkosten und Gewinn</w:t>
      </w:r>
      <w:bookmarkEnd w:id="20"/>
    </w:p>
    <w:p w:rsidR="001E15DF" w:rsidRDefault="001E15DF">
      <w:r>
        <w:br w:type="page"/>
      </w:r>
    </w:p>
    <w:p w:rsidR="008C6039" w:rsidRDefault="001E15DF" w:rsidP="001E15DF">
      <w:pPr>
        <w:pStyle w:val="berschrift1"/>
      </w:pPr>
      <w:bookmarkStart w:id="21" w:name="_Toc336515596"/>
      <w:r>
        <w:lastRenderedPageBreak/>
        <w:t>Nicht-Monetäre Aspekte</w:t>
      </w:r>
      <w:bookmarkEnd w:id="21"/>
    </w:p>
    <w:p w:rsidR="005D220B" w:rsidRDefault="005D220B" w:rsidP="005D220B">
      <w:pPr>
        <w:pStyle w:val="berschrift2"/>
      </w:pPr>
      <w:bookmarkStart w:id="22" w:name="_Toc336515597"/>
      <w:r>
        <w:t>Pionierrolle</w:t>
      </w:r>
      <w:bookmarkEnd w:id="22"/>
    </w:p>
    <w:p w:rsidR="005D220B" w:rsidRDefault="005D220B" w:rsidP="005D220B">
      <w:pPr>
        <w:pStyle w:val="berschrift2"/>
      </w:pPr>
      <w:bookmarkStart w:id="23" w:name="_Toc336515598"/>
      <w:r>
        <w:t>Kundenbindung</w:t>
      </w:r>
      <w:bookmarkEnd w:id="23"/>
    </w:p>
    <w:p w:rsidR="005D220B" w:rsidRDefault="005D220B" w:rsidP="005D220B">
      <w:pPr>
        <w:pStyle w:val="berschrift2"/>
      </w:pPr>
      <w:bookmarkStart w:id="24" w:name="_Toc336515599"/>
      <w:r>
        <w:t>Weiterempfehlung</w:t>
      </w:r>
      <w:bookmarkEnd w:id="24"/>
    </w:p>
    <w:p w:rsidR="005D220B" w:rsidRPr="005D220B" w:rsidRDefault="005D220B" w:rsidP="005D220B">
      <w:pPr>
        <w:pStyle w:val="berschrift2"/>
      </w:pPr>
      <w:bookmarkStart w:id="25" w:name="_Toc336515600"/>
      <w:r>
        <w:t>Zusammenarbeit</w:t>
      </w:r>
      <w:bookmarkEnd w:id="25"/>
    </w:p>
    <w:sectPr w:rsidR="005D220B" w:rsidRPr="005D220B" w:rsidSect="001C1D1F"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B6" w:rsidRDefault="00AF45B6" w:rsidP="00DD4CDD">
      <w:pPr>
        <w:spacing w:after="0" w:line="240" w:lineRule="auto"/>
      </w:pPr>
      <w:r>
        <w:separator/>
      </w:r>
    </w:p>
  </w:endnote>
  <w:endnote w:type="continuationSeparator" w:id="0">
    <w:p w:rsidR="00AF45B6" w:rsidRDefault="00AF45B6" w:rsidP="00DD4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7109"/>
      <w:docPartObj>
        <w:docPartGallery w:val="Page Numbers (Bottom of Page)"/>
        <w:docPartUnique/>
      </w:docPartObj>
    </w:sdtPr>
    <w:sdtEndPr/>
    <w:sdtContent>
      <w:p w:rsidR="001C1D1F" w:rsidRDefault="00AF45B6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67F8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DD4CDD" w:rsidRDefault="00DD4CD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D1F" w:rsidRDefault="00AF45B6">
    <w:pPr>
      <w:pStyle w:val="Fuzeil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05118">
      <w:rPr>
        <w:noProof/>
      </w:rPr>
      <w:t>4</w:t>
    </w:r>
    <w:r>
      <w:rPr>
        <w:noProof/>
      </w:rPr>
      <w:fldChar w:fldCharType="end"/>
    </w:r>
  </w:p>
  <w:p w:rsidR="001C1D1F" w:rsidRDefault="001C1D1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B6" w:rsidRDefault="00AF45B6" w:rsidP="00DD4CDD">
      <w:pPr>
        <w:spacing w:after="0" w:line="240" w:lineRule="auto"/>
      </w:pPr>
      <w:r>
        <w:separator/>
      </w:r>
    </w:p>
  </w:footnote>
  <w:footnote w:type="continuationSeparator" w:id="0">
    <w:p w:rsidR="00AF45B6" w:rsidRDefault="00AF45B6" w:rsidP="00DD4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6237"/>
      <w:gridCol w:w="2016"/>
    </w:tblGrid>
    <w:tr w:rsidR="00DD4CDD" w:rsidTr="00DD4CDD">
      <w:tc>
        <w:tcPr>
          <w:tcW w:w="959" w:type="dxa"/>
        </w:tcPr>
        <w:p w:rsidR="00DD4CDD" w:rsidRDefault="00DD4CDD" w:rsidP="00DD4CDD">
          <w:pPr>
            <w:pStyle w:val="Kopfzeile"/>
          </w:pPr>
          <w:r>
            <w:t>Team 4</w:t>
          </w:r>
        </w:p>
        <w:p w:rsidR="00DD4CDD" w:rsidRDefault="00DD4CDD" w:rsidP="00DD4CDD">
          <w:pPr>
            <w:pStyle w:val="Kopfzeile"/>
            <w:jc w:val="both"/>
          </w:pPr>
        </w:p>
      </w:tc>
      <w:tc>
        <w:tcPr>
          <w:tcW w:w="6237" w:type="dxa"/>
        </w:tcPr>
        <w:p w:rsidR="00DD4CDD" w:rsidRDefault="00DD4CDD" w:rsidP="00DD4CDD">
          <w:pPr>
            <w:pStyle w:val="Kopfzeile"/>
            <w:jc w:val="center"/>
          </w:pPr>
          <w:r>
            <w:t>Business Case</w:t>
          </w:r>
        </w:p>
      </w:tc>
      <w:tc>
        <w:tcPr>
          <w:tcW w:w="2016" w:type="dxa"/>
        </w:tcPr>
        <w:p w:rsidR="00DD4CDD" w:rsidRDefault="00DD4CDD" w:rsidP="00DD4CDD">
          <w:pPr>
            <w:pStyle w:val="Kopfzeile"/>
            <w:jc w:val="right"/>
          </w:pPr>
          <w:proofErr w:type="spellStart"/>
          <w:r>
            <w:t>MultiCastor</w:t>
          </w:r>
          <w:proofErr w:type="spellEnd"/>
          <w:r>
            <w:t xml:space="preserve"> 3.0</w:t>
          </w:r>
        </w:p>
        <w:p w:rsidR="00DD4CDD" w:rsidRDefault="00DD4CDD" w:rsidP="00DD4CDD">
          <w:pPr>
            <w:pStyle w:val="Kopfzeile"/>
            <w:jc w:val="both"/>
          </w:pPr>
        </w:p>
      </w:tc>
    </w:tr>
  </w:tbl>
  <w:p w:rsidR="00DD4CDD" w:rsidRDefault="00DD4CDD" w:rsidP="00DD4CDD">
    <w:pPr>
      <w:pStyle w:val="Kopfzeile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C3500"/>
    <w:multiLevelType w:val="multilevel"/>
    <w:tmpl w:val="1FB4C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918266B"/>
    <w:multiLevelType w:val="multilevel"/>
    <w:tmpl w:val="FF76DC1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CDD"/>
    <w:rsid w:val="00030F81"/>
    <w:rsid w:val="000809DC"/>
    <w:rsid w:val="001C1D1F"/>
    <w:rsid w:val="001E15DF"/>
    <w:rsid w:val="00295B4B"/>
    <w:rsid w:val="002E38AB"/>
    <w:rsid w:val="00337D22"/>
    <w:rsid w:val="00342524"/>
    <w:rsid w:val="003C5401"/>
    <w:rsid w:val="004031C9"/>
    <w:rsid w:val="004556F1"/>
    <w:rsid w:val="004A720A"/>
    <w:rsid w:val="00500524"/>
    <w:rsid w:val="005136F6"/>
    <w:rsid w:val="005967F8"/>
    <w:rsid w:val="005D220B"/>
    <w:rsid w:val="00623030"/>
    <w:rsid w:val="006264E1"/>
    <w:rsid w:val="006E1DB7"/>
    <w:rsid w:val="008C6039"/>
    <w:rsid w:val="008F12A1"/>
    <w:rsid w:val="008F3CF0"/>
    <w:rsid w:val="00AB4A65"/>
    <w:rsid w:val="00AC0549"/>
    <w:rsid w:val="00AF45B6"/>
    <w:rsid w:val="00B05118"/>
    <w:rsid w:val="00C90D6F"/>
    <w:rsid w:val="00CA45C7"/>
    <w:rsid w:val="00DD4CDD"/>
    <w:rsid w:val="00E077DD"/>
    <w:rsid w:val="00E72550"/>
    <w:rsid w:val="00F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F3CF0"/>
  </w:style>
  <w:style w:type="paragraph" w:styleId="berschrift1">
    <w:name w:val="heading 1"/>
    <w:basedOn w:val="Standard"/>
    <w:next w:val="Standard"/>
    <w:link w:val="berschrift1Zchn"/>
    <w:uiPriority w:val="9"/>
    <w:qFormat/>
    <w:rsid w:val="00DD4CD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054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2303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0D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0D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0D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0D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0D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0D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4C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4C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4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D4CDD"/>
    <w:pPr>
      <w:outlineLvl w:val="9"/>
    </w:pPr>
    <w:rPr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CD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D4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CDD"/>
  </w:style>
  <w:style w:type="paragraph" w:styleId="Fuzeile">
    <w:name w:val="footer"/>
    <w:basedOn w:val="Standard"/>
    <w:link w:val="FuzeileZchn"/>
    <w:uiPriority w:val="99"/>
    <w:unhideWhenUsed/>
    <w:rsid w:val="00DD4C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CDD"/>
  </w:style>
  <w:style w:type="table" w:styleId="Tabellenraster">
    <w:name w:val="Table Grid"/>
    <w:basedOn w:val="NormaleTabelle"/>
    <w:uiPriority w:val="59"/>
    <w:rsid w:val="00DD4C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05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5136F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136F6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136F6"/>
    <w:pPr>
      <w:spacing w:after="10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2303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0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0D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0D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0D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0D6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0D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90D6F"/>
    <w:pPr>
      <w:spacing w:after="100"/>
      <w:ind w:left="440"/>
    </w:pPr>
  </w:style>
  <w:style w:type="table" w:styleId="MittlereSchattierung2">
    <w:name w:val="Medium Shading 2"/>
    <w:basedOn w:val="NormaleTabelle"/>
    <w:uiPriority w:val="64"/>
    <w:rsid w:val="00596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596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">
    <w:name w:val="Light Shading"/>
    <w:basedOn w:val="NormaleTabelle"/>
    <w:uiPriority w:val="60"/>
    <w:rsid w:val="005967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4FBFD-C67E-404A-92A7-03621909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828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cranqcore</cp:lastModifiedBy>
  <cp:revision>12</cp:revision>
  <dcterms:created xsi:type="dcterms:W3CDTF">2012-09-27T10:23:00Z</dcterms:created>
  <dcterms:modified xsi:type="dcterms:W3CDTF">2012-10-10T19:24:00Z</dcterms:modified>
</cp:coreProperties>
</file>