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77B6"/>
          <w:sz w:val="60"/>
        </w:rPr>
        <w:t>AuthentiScan Pro</w:t>
      </w:r>
    </w:p>
    <w:p>
      <w:pPr>
        <w:jc w:val="center"/>
      </w:pPr>
      <w:r>
        <w:rPr>
          <w:b/>
          <w:color w:val="222222"/>
          <w:sz w:val="40"/>
        </w:rPr>
        <w:t>Verification Widget</w:t>
      </w:r>
    </w:p>
    <w:p>
      <w:pPr>
        <w:jc w:val="center"/>
      </w:pPr>
      <w:r>
        <w:rPr>
          <w:color w:val="666666"/>
          <w:sz w:val="26"/>
        </w:rPr>
        <w:t>Embeddable Credibility Badge — Integration Guide</w:t>
      </w:r>
    </w:p>
    <w:p>
      <w:pPr>
        <w:spacing w:before="200"/>
        <w:jc w:val="center"/>
      </w:pPr>
      <w:r>
        <w:rPr>
          <w:color w:val="666666"/>
          <w:sz w:val="21"/>
        </w:rPr>
        <w:t>Version 1.0   |   July 2026   |   Confidential</w:t>
      </w:r>
    </w:p>
    <w:p>
      <w:pPr>
        <w:jc w:val="center"/>
      </w:pPr>
      <w:r>
        <w:rPr>
          <w:color w:val="0077B6"/>
          <w:sz w:val="22"/>
        </w:rPr>
        <w:t>www.authentiscanapp.com</w:t>
      </w:r>
    </w:p>
    <w:p>
      <w:pPr>
        <w:spacing w:after="400"/>
      </w:pPr>
    </w:p>
    <w:p>
      <w:pPr>
        <w:spacing w:before="200" w:after="80"/>
      </w:pPr>
      <w:r>
        <w:rPr>
          <w:b/>
          <w:color w:val="222222"/>
          <w:sz w:val="24"/>
        </w:rPr>
        <w:t>Document Information</w:t>
      </w:r>
    </w:p>
    <w:tbl>
      <w:tblPr>
        <w:tblStyle w:val="TableGrid"/>
        <w:tblW w:type="auto" w:w="0"/>
        <w:jc w:val="left"/>
        <w:tblLook w:firstColumn="1" w:firstRow="1" w:lastColumn="0" w:lastRow="0" w:noHBand="0" w:noVBand="1" w:val="04A0"/>
      </w:tblPr>
      <w:tblGrid>
        <w:gridCol w:w="4320"/>
        <w:gridCol w:w="4320"/>
      </w:tblGrid>
      <w:tr>
        <w:tc>
          <w:tcPr>
            <w:tcW w:type="dxa" w:w="3312"/>
            <w:shd w:val="clear" w:fill="EAF4FA"/>
          </w:tcPr>
          <w:p>
            <w:r>
              <w:rPr>
                <w:b/>
                <w:sz w:val="19"/>
              </w:rPr>
              <w:t>Project</w:t>
            </w:r>
          </w:p>
        </w:tc>
        <w:tc>
          <w:tcPr>
            <w:tcW w:type="dxa" w:w="6768"/>
          </w:tcPr>
          <w:p>
            <w:r>
              <w:rPr>
                <w:sz w:val="19"/>
              </w:rPr>
              <w:t>AuthentiScan Pro — Verification Widget</w:t>
            </w:r>
          </w:p>
        </w:tc>
      </w:tr>
      <w:tr>
        <w:tc>
          <w:tcPr>
            <w:tcW w:type="dxa" w:w="3312"/>
            <w:shd w:val="clear" w:fill="EAF4FA"/>
          </w:tcPr>
          <w:p>
            <w:r>
              <w:rPr>
                <w:b/>
                <w:sz w:val="19"/>
              </w:rPr>
              <w:t>Live Endpoint</w:t>
            </w:r>
          </w:p>
        </w:tc>
        <w:tc>
          <w:tcPr>
            <w:tcW w:type="dxa" w:w="6768"/>
          </w:tcPr>
          <w:p>
            <w:r>
              <w:rPr>
                <w:sz w:val="19"/>
              </w:rPr>
              <w:t>app.authentiscanapp.com/api/widget</w:t>
            </w:r>
          </w:p>
        </w:tc>
      </w:tr>
      <w:tr>
        <w:tc>
          <w:tcPr>
            <w:tcW w:type="dxa" w:w="3312"/>
            <w:shd w:val="clear" w:fill="EAF4FA"/>
          </w:tcPr>
          <w:p>
            <w:r>
              <w:rPr>
                <w:b/>
                <w:sz w:val="19"/>
              </w:rPr>
              <w:t>Widget Script</w:t>
            </w:r>
          </w:p>
        </w:tc>
        <w:tc>
          <w:tcPr>
            <w:tcW w:type="dxa" w:w="6768"/>
          </w:tcPr>
          <w:p>
            <w:r>
              <w:rPr>
                <w:sz w:val="19"/>
              </w:rPr>
              <w:t>app.authentiscanapp.com/widget.js</w:t>
            </w:r>
          </w:p>
        </w:tc>
      </w:tr>
      <w:tr>
        <w:tc>
          <w:tcPr>
            <w:tcW w:type="dxa" w:w="3312"/>
            <w:shd w:val="clear" w:fill="EAF4FA"/>
          </w:tcPr>
          <w:p>
            <w:r>
              <w:rPr>
                <w:b/>
                <w:sz w:val="19"/>
              </w:rPr>
              <w:t>Document Type</w:t>
            </w:r>
          </w:p>
        </w:tc>
        <w:tc>
          <w:tcPr>
            <w:tcW w:type="dxa" w:w="6768"/>
          </w:tcPr>
          <w:p>
            <w:r>
              <w:rPr>
                <w:sz w:val="19"/>
              </w:rPr>
              <w:t>Widget Integration &amp; Technical Documentation</w:t>
            </w:r>
          </w:p>
        </w:tc>
      </w:tr>
      <w:tr>
        <w:tc>
          <w:tcPr>
            <w:tcW w:type="dxa" w:w="3312"/>
            <w:shd w:val="clear" w:fill="EAF4FA"/>
          </w:tcPr>
          <w:p>
            <w:r>
              <w:rPr>
                <w:b/>
                <w:sz w:val="19"/>
              </w:rPr>
              <w:t>Version</w:t>
            </w:r>
          </w:p>
        </w:tc>
        <w:tc>
          <w:tcPr>
            <w:tcW w:type="dxa" w:w="6768"/>
          </w:tcPr>
          <w:p>
            <w:r>
              <w:rPr>
                <w:sz w:val="19"/>
              </w:rPr>
              <w:t>1.0</w:t>
            </w:r>
          </w:p>
        </w:tc>
      </w:tr>
      <w:tr>
        <w:tc>
          <w:tcPr>
            <w:tcW w:type="dxa" w:w="3312"/>
            <w:shd w:val="clear" w:fill="EAF4FA"/>
          </w:tcPr>
          <w:p>
            <w:r>
              <w:rPr>
                <w:b/>
                <w:sz w:val="19"/>
              </w:rPr>
              <w:t>Date</w:t>
            </w:r>
          </w:p>
        </w:tc>
        <w:tc>
          <w:tcPr>
            <w:tcW w:type="dxa" w:w="6768"/>
          </w:tcPr>
          <w:p>
            <w:r>
              <w:rPr>
                <w:sz w:val="19"/>
              </w:rPr>
              <w:t>July 2026</w:t>
            </w:r>
          </w:p>
        </w:tc>
      </w:tr>
      <w:tr>
        <w:tc>
          <w:tcPr>
            <w:tcW w:type="dxa" w:w="3312"/>
            <w:shd w:val="clear" w:fill="EAF4FA"/>
          </w:tcPr>
          <w:p>
            <w:r>
              <w:rPr>
                <w:b/>
                <w:sz w:val="19"/>
              </w:rPr>
              <w:t>Prepared by</w:t>
            </w:r>
          </w:p>
        </w:tc>
        <w:tc>
          <w:tcPr>
            <w:tcW w:type="dxa" w:w="6768"/>
          </w:tcPr>
          <w:p>
            <w:r>
              <w:rPr>
                <w:sz w:val="19"/>
              </w:rPr>
              <w:t>AuthentiScan Pro Development Team</w:t>
            </w:r>
          </w:p>
        </w:tc>
      </w:tr>
      <w:tr>
        <w:tc>
          <w:tcPr>
            <w:tcW w:type="dxa" w:w="3312"/>
            <w:shd w:val="clear" w:fill="EAF4FA"/>
          </w:tcPr>
          <w:p>
            <w:r>
              <w:rPr>
                <w:b/>
                <w:sz w:val="19"/>
              </w:rPr>
              <w:t>Purpose</w:t>
            </w:r>
          </w:p>
        </w:tc>
        <w:tc>
          <w:tcPr>
            <w:tcW w:type="dxa" w:w="6768"/>
          </w:tcPr>
          <w:p>
            <w:r>
              <w:rPr>
                <w:sz w:val="19"/>
              </w:rPr>
              <w:t>Technical and integration documentation for the embeddable AuthentiScan Pro verification widget used by partner websites.</w:t>
            </w:r>
          </w:p>
        </w:tc>
      </w:tr>
    </w:tbl>
    <w:p>
      <w:r>
        <w:br w:type="page"/>
      </w:r>
    </w:p>
    <w:p>
      <w:pPr>
        <w:spacing w:before="320" w:after="160"/>
        <w:pBdr>
          <w:bottom w:val="single" w:sz="6" w:space="4" w:color="0077b6"/>
        </w:pBdr>
      </w:pPr>
      <w:r>
        <w:rPr>
          <w:b/>
          <w:color w:val="0077B6"/>
          <w:sz w:val="32"/>
        </w:rPr>
        <w:t>1. Overview</w:t>
      </w:r>
    </w:p>
    <w:p>
      <w:r>
        <w:t>The AuthentiScan Pro Verification Widget is an embeddable credibility badge that any partner website can add to its pages with two lines of code. It displays an AuthentiScan credibility assessment — a risk score, a verdict, and a breakdown of key signals — for a given piece of content, directly inside the partner's page.</w:t>
      </w:r>
    </w:p>
    <w:p>
      <w:r>
        <w:t>The widget is designed for trust and integrity. In its recommended configuration, the partner site supplies only the URL to be verified; the credibility score is fetched directly from the AuthentiScan API at render time. The partner never supplies, computes, or can alter the score, ensuring the badge remains an authoritative, tamper-proof indicator of credibility.</w:t>
      </w:r>
    </w:p>
    <w:p>
      <w:r>
        <w:t>The widget is fully self-contained and renders inside a Shadow DOM, so it is completely isolated from the host page's styling and cannot be affected by — or interfere with — the partner site's own CSS or JavaScript.</w:t>
      </w:r>
    </w:p>
    <w:p>
      <w:pPr>
        <w:spacing w:before="80" w:after="160"/>
        <w:shd w:val="clear" w:fill="E7F3FA"/>
      </w:pPr>
      <w:r>
        <w:rPr>
          <w:color w:val="0A4A6A"/>
          <w:sz w:val="20"/>
        </w:rPr>
        <w:t>ℹ  The widget reuses the same analysis pipeline as the main AuthentiScan Pro application (Claude AI with real-time web search). The score shown in the badge is identical to the score a user would obtain by submitting the same URL in the app.</w:t>
      </w:r>
    </w:p>
    <w:p>
      <w:pPr>
        <w:spacing w:before="320" w:after="160"/>
        <w:pBdr>
          <w:bottom w:val="single" w:sz="6" w:space="4" w:color="0077b6"/>
        </w:pBdr>
      </w:pPr>
      <w:r>
        <w:rPr>
          <w:b/>
          <w:color w:val="0077B6"/>
          <w:sz w:val="32"/>
        </w:rPr>
        <w:t>2. How It Works</w:t>
      </w:r>
    </w:p>
    <w:p>
      <w:r>
        <w:t>When a page containing the widget loads, the widget script locates each widget container, reads the URL to verify, and requests an assessment from the AuthentiScan widget endpoint. The endpoint reuses the core analysis pipeline and returns a compact, badge-ready result, which the widget renders in place.</w:t>
      </w:r>
    </w:p>
    <w:p>
      <w:pPr>
        <w:spacing w:before="200" w:after="80"/>
      </w:pPr>
      <w:r>
        <w:rPr>
          <w:b/>
          <w:color w:val="222222"/>
          <w:sz w:val="24"/>
        </w:rPr>
        <w:t>Request Flow</w:t>
      </w:r>
    </w:p>
    <w:p>
      <w:pPr>
        <w:spacing w:before="80" w:after="160"/>
        <w:ind w:left="144"/>
        <w:shd w:val="clear" w:fill="F2F3F4"/>
      </w:pPr>
      <w:r>
        <w:rPr>
          <w:rFonts w:ascii="Consolas" w:hAnsi="Consolas"/>
          <w:color w:val="1A1A1A"/>
          <w:sz w:val="18"/>
        </w:rPr>
        <w:t>[ Partner website page ]</w:t>
        <w:br/>
      </w:r>
      <w:r>
        <w:rPr>
          <w:rFonts w:ascii="Consolas" w:hAnsi="Consolas"/>
          <w:color w:val="1A1A1A"/>
          <w:sz w:val="18"/>
        </w:rPr>
        <w:t xml:space="preserve">        |</w:t>
        <w:br/>
      </w:r>
      <w:r>
        <w:rPr>
          <w:rFonts w:ascii="Consolas" w:hAnsi="Consolas"/>
          <w:color w:val="1A1A1A"/>
          <w:sz w:val="18"/>
        </w:rPr>
        <w:t xml:space="preserve">        v</w:t>
        <w:br/>
      </w:r>
      <w:r>
        <w:rPr>
          <w:rFonts w:ascii="Consolas" w:hAnsi="Consolas"/>
          <w:color w:val="1A1A1A"/>
          <w:sz w:val="18"/>
        </w:rPr>
        <w:t>[ widget.js  (Shadow DOM badge) ]</w:t>
        <w:br/>
      </w:r>
      <w:r>
        <w:rPr>
          <w:rFonts w:ascii="Consolas" w:hAnsi="Consolas"/>
          <w:color w:val="1A1A1A"/>
          <w:sz w:val="18"/>
        </w:rPr>
        <w:t xml:space="preserve">        |   GET /api/widget?url=&lt;content-url&gt;</w:t>
        <w:br/>
      </w:r>
      <w:r>
        <w:rPr>
          <w:rFonts w:ascii="Consolas" w:hAnsi="Consolas"/>
          <w:color w:val="1A1A1A"/>
          <w:sz w:val="18"/>
        </w:rPr>
        <w:t xml:space="preserve">        v</w:t>
        <w:br/>
      </w:r>
      <w:r>
        <w:rPr>
          <w:rFonts w:ascii="Consolas" w:hAnsi="Consolas"/>
          <w:color w:val="1A1A1A"/>
          <w:sz w:val="18"/>
        </w:rPr>
        <w:t>[ AuthentiScan Widget API  (/api/widget) ]</w:t>
        <w:br/>
      </w:r>
      <w:r>
        <w:rPr>
          <w:rFonts w:ascii="Consolas" w:hAnsi="Consolas"/>
          <w:color w:val="1A1A1A"/>
          <w:sz w:val="18"/>
        </w:rPr>
        <w:t xml:space="preserve">        |   (cache check -&gt; Supabase widget_cache)</w:t>
        <w:br/>
      </w:r>
      <w:r>
        <w:rPr>
          <w:rFonts w:ascii="Consolas" w:hAnsi="Consolas"/>
          <w:color w:val="1A1A1A"/>
          <w:sz w:val="18"/>
        </w:rPr>
        <w:t xml:space="preserve">        v</w:t>
        <w:br/>
      </w:r>
      <w:r>
        <w:rPr>
          <w:rFonts w:ascii="Consolas" w:hAnsi="Consolas"/>
          <w:color w:val="1A1A1A"/>
          <w:sz w:val="18"/>
        </w:rPr>
        <w:t>[ Core Analysis API  (/api/analyze) ]</w:t>
        <w:br/>
      </w:r>
      <w:r>
        <w:rPr>
          <w:rFonts w:ascii="Consolas" w:hAnsi="Consolas"/>
          <w:color w:val="1A1A1A"/>
          <w:sz w:val="18"/>
        </w:rPr>
        <w:t xml:space="preserve">        |</w:t>
        <w:br/>
      </w:r>
      <w:r>
        <w:rPr>
          <w:rFonts w:ascii="Consolas" w:hAnsi="Consolas"/>
          <w:color w:val="1A1A1A"/>
          <w:sz w:val="18"/>
        </w:rPr>
        <w:t xml:space="preserve">        v</w:t>
        <w:br/>
      </w:r>
      <w:r>
        <w:rPr>
          <w:rFonts w:ascii="Consolas" w:hAnsi="Consolas"/>
          <w:color w:val="1A1A1A"/>
          <w:sz w:val="18"/>
        </w:rPr>
        <w:t>[ Claude AI  (web search enabled) ]</w:t>
        <w:br/>
      </w:r>
      <w:r>
        <w:rPr>
          <w:rFonts w:ascii="Consolas" w:hAnsi="Consolas"/>
          <w:color w:val="1A1A1A"/>
          <w:sz w:val="18"/>
        </w:rPr>
        <w:t xml:space="preserve">        |</w:t>
        <w:br/>
      </w:r>
      <w:r>
        <w:rPr>
          <w:rFonts w:ascii="Consolas" w:hAnsi="Consolas"/>
          <w:color w:val="1A1A1A"/>
          <w:sz w:val="18"/>
        </w:rPr>
        <w:t xml:space="preserve">        v</w:t>
        <w:br/>
      </w:r>
      <w:r>
        <w:rPr>
          <w:rFonts w:ascii="Consolas" w:hAnsi="Consolas"/>
          <w:color w:val="1A1A1A"/>
          <w:sz w:val="18"/>
        </w:rPr>
        <w:t>[ Credibility result: score + verdict + signals ]</w:t>
        <w:br/>
      </w:r>
      <w:r>
        <w:rPr>
          <w:rFonts w:ascii="Consolas" w:hAnsi="Consolas"/>
          <w:color w:val="1A1A1A"/>
          <w:sz w:val="18"/>
        </w:rPr>
        <w:t xml:space="preserve">        |</w:t>
        <w:br/>
      </w:r>
      <w:r>
        <w:rPr>
          <w:rFonts w:ascii="Consolas" w:hAnsi="Consolas"/>
          <w:color w:val="1A1A1A"/>
          <w:sz w:val="18"/>
        </w:rPr>
        <w:t xml:space="preserve">        v</w:t>
        <w:br/>
      </w:r>
      <w:r>
        <w:rPr>
          <w:rFonts w:ascii="Consolas" w:hAnsi="Consolas"/>
          <w:color w:val="1A1A1A"/>
          <w:sz w:val="18"/>
        </w:rPr>
        <w:t>[ Badge rendered inside the partner page ]</w:t>
      </w:r>
    </w:p>
    <w:p>
      <w:r>
        <w:t>On the first request for a given URL, the endpoint performs a full analysis (typically 10–20 seconds due to live web search) and stores the result in a 24-hour cache. Subsequent views of the same URL are served instantly from cache, so a widget on a popular page does not re-analyze on every visit.</w:t>
      </w:r>
    </w:p>
    <w:p>
      <w:pPr>
        <w:spacing w:before="320" w:after="160"/>
        <w:pBdr>
          <w:bottom w:val="single" w:sz="6" w:space="4" w:color="0077b6"/>
        </w:pBdr>
      </w:pPr>
      <w:r>
        <w:rPr>
          <w:b/>
          <w:color w:val="0077B6"/>
          <w:sz w:val="32"/>
        </w:rPr>
        <w:t>3. Integration</w:t>
      </w:r>
    </w:p>
    <w:p>
      <w:pPr>
        <w:spacing w:before="200" w:after="80"/>
      </w:pPr>
      <w:r>
        <w:rPr>
          <w:b/>
          <w:color w:val="222222"/>
          <w:sz w:val="24"/>
        </w:rPr>
        <w:t>3.1  Dynamic Mode (Recommended)</w:t>
      </w:r>
    </w:p>
    <w:p>
      <w:r>
        <w:t>The partner passes only the URL to be verified. The widget fetches the authoritative score from AuthentiScan on load. This is the configuration that should be used in production.</w:t>
      </w:r>
    </w:p>
    <w:p>
      <w:pPr>
        <w:spacing w:before="80" w:after="160"/>
        <w:ind w:left="144"/>
        <w:shd w:val="clear" w:fill="F2F3F4"/>
      </w:pPr>
      <w:r>
        <w:rPr>
          <w:rFonts w:ascii="Consolas" w:hAnsi="Consolas"/>
          <w:color w:val="1A1A1A"/>
          <w:sz w:val="18"/>
        </w:rPr>
        <w:t>&lt;div class="authentiscan-widget"</w:t>
        <w:br/>
      </w:r>
      <w:r>
        <w:rPr>
          <w:rFonts w:ascii="Consolas" w:hAnsi="Consolas"/>
          <w:color w:val="1A1A1A"/>
          <w:sz w:val="18"/>
        </w:rPr>
        <w:t xml:space="preserve">     data-url="https://example.com/article"&gt;&lt;/div&gt;</w:t>
        <w:br/>
      </w:r>
      <w:r>
        <w:rPr>
          <w:rFonts w:ascii="Consolas" w:hAnsi="Consolas"/>
          <w:color w:val="1A1A1A"/>
          <w:sz w:val="18"/>
        </w:rPr>
        <w:br/>
      </w:r>
      <w:r>
        <w:rPr>
          <w:rFonts w:ascii="Consolas" w:hAnsi="Consolas"/>
          <w:color w:val="1A1A1A"/>
          <w:sz w:val="18"/>
        </w:rPr>
        <w:t>&lt;script src="https://app.authentiscanapp.com/widget.js" async&gt;&lt;/script&gt;</w:t>
      </w:r>
    </w:p>
    <w:p>
      <w:pPr>
        <w:spacing w:before="80" w:after="160"/>
        <w:shd w:val="clear" w:fill="E7F3FA"/>
      </w:pPr>
      <w:r>
        <w:rPr>
          <w:color w:val="0A4A6A"/>
          <w:sz w:val="20"/>
        </w:rPr>
        <w:t>ℹ  Because the score is fetched from AuthentiScan and not supplied by the host page, it cannot be faked by the partner. This is what makes the badge trustworthy.</w:t>
      </w:r>
    </w:p>
    <w:p>
      <w:pPr>
        <w:spacing w:before="200" w:after="80"/>
      </w:pPr>
      <w:r>
        <w:rPr>
          <w:b/>
          <w:color w:val="222222"/>
          <w:sz w:val="24"/>
        </w:rPr>
        <w:t>3.2  Static Mode (Preview / Offline Only)</w:t>
      </w:r>
    </w:p>
    <w:p>
      <w:r>
        <w:t>If a result is already known and only a visual render is required (for example, a design preview), values may be passed directly. This mode is not intended for production trust badges, since the displayed score is controlled by the host page.</w:t>
      </w:r>
    </w:p>
    <w:p>
      <w:pPr>
        <w:spacing w:before="80" w:after="160"/>
        <w:ind w:left="144"/>
        <w:shd w:val="clear" w:fill="F2F3F4"/>
      </w:pPr>
      <w:r>
        <w:rPr>
          <w:rFonts w:ascii="Consolas" w:hAnsi="Consolas"/>
          <w:color w:val="1A1A1A"/>
          <w:sz w:val="18"/>
        </w:rPr>
        <w:t>&lt;div class="authentiscan-widget"</w:t>
        <w:br/>
      </w:r>
      <w:r>
        <w:rPr>
          <w:rFonts w:ascii="Consolas" w:hAnsi="Consolas"/>
          <w:color w:val="1A1A1A"/>
          <w:sz w:val="18"/>
        </w:rPr>
        <w:t xml:space="preserve">     data-score="92"</w:t>
        <w:br/>
      </w:r>
      <w:r>
        <w:rPr>
          <w:rFonts w:ascii="Consolas" w:hAnsi="Consolas"/>
          <w:color w:val="1A1A1A"/>
          <w:sz w:val="18"/>
        </w:rPr>
        <w:t xml:space="preserve">     data-signals='[{"label":"Source","value":90},</w:t>
        <w:br/>
      </w:r>
      <w:r>
        <w:rPr>
          <w:rFonts w:ascii="Consolas" w:hAnsi="Consolas"/>
          <w:color w:val="1A1A1A"/>
          <w:sz w:val="18"/>
        </w:rPr>
        <w:t xml:space="preserve">                    {"label":"Language","value":74},</w:t>
        <w:br/>
      </w:r>
      <w:r>
        <w:rPr>
          <w:rFonts w:ascii="Consolas" w:hAnsi="Consolas"/>
          <w:color w:val="1A1A1A"/>
          <w:sz w:val="18"/>
        </w:rPr>
        <w:t xml:space="preserve">                    {"label":"Images","value":58}]'</w:t>
        <w:br/>
      </w:r>
      <w:r>
        <w:rPr>
          <w:rFonts w:ascii="Consolas" w:hAnsi="Consolas"/>
          <w:color w:val="1A1A1A"/>
          <w:sz w:val="18"/>
        </w:rPr>
        <w:t xml:space="preserve">     data-url="https://example.com/article"&gt;&lt;/div&gt;</w:t>
        <w:br/>
      </w:r>
      <w:r>
        <w:rPr>
          <w:rFonts w:ascii="Consolas" w:hAnsi="Consolas"/>
          <w:color w:val="1A1A1A"/>
          <w:sz w:val="18"/>
        </w:rPr>
        <w:br/>
      </w:r>
      <w:r>
        <w:rPr>
          <w:rFonts w:ascii="Consolas" w:hAnsi="Consolas"/>
          <w:color w:val="1A1A1A"/>
          <w:sz w:val="18"/>
        </w:rPr>
        <w:t>&lt;script src="https://app.authentiscanapp.com/widget.js" async&gt;&lt;/script&gt;</w:t>
      </w:r>
    </w:p>
    <w:p>
      <w:pPr>
        <w:spacing w:before="200" w:after="80"/>
      </w:pPr>
      <w:r>
        <w:rPr>
          <w:b/>
          <w:color w:val="222222"/>
          <w:sz w:val="24"/>
        </w:rPr>
        <w:t>3.3  Programmatic Rendering</w:t>
      </w:r>
    </w:p>
    <w:p>
      <w:r>
        <w:t>The widget also exposes a JavaScript API for rendering into a specific element after the script has loaded.</w:t>
      </w:r>
    </w:p>
    <w:p>
      <w:pPr>
        <w:spacing w:before="80" w:after="160"/>
        <w:ind w:left="144"/>
        <w:shd w:val="clear" w:fill="F2F3F4"/>
      </w:pPr>
      <w:r>
        <w:rPr>
          <w:rFonts w:ascii="Consolas" w:hAnsi="Consolas"/>
          <w:color w:val="1A1A1A"/>
          <w:sz w:val="18"/>
        </w:rPr>
        <w:t>&lt;div id="my-badge"&gt;&lt;/div&gt;</w:t>
        <w:br/>
      </w:r>
      <w:r>
        <w:rPr>
          <w:rFonts w:ascii="Consolas" w:hAnsi="Consolas"/>
          <w:color w:val="1A1A1A"/>
          <w:sz w:val="18"/>
        </w:rPr>
        <w:t>&lt;script src="https://app.authentiscanapp.com/widget.js"&gt;&lt;/script&gt;</w:t>
        <w:br/>
      </w:r>
      <w:r>
        <w:rPr>
          <w:rFonts w:ascii="Consolas" w:hAnsi="Consolas"/>
          <w:color w:val="1A1A1A"/>
          <w:sz w:val="18"/>
        </w:rPr>
        <w:t>&lt;script&gt;</w:t>
        <w:br/>
      </w:r>
      <w:r>
        <w:rPr>
          <w:rFonts w:ascii="Consolas" w:hAnsi="Consolas"/>
          <w:color w:val="1A1A1A"/>
          <w:sz w:val="18"/>
        </w:rPr>
        <w:t xml:space="preserve">  AuthentiScan.render("#my-badge", {</w:t>
        <w:br/>
      </w:r>
      <w:r>
        <w:rPr>
          <w:rFonts w:ascii="Consolas" w:hAnsi="Consolas"/>
          <w:color w:val="1A1A1A"/>
          <w:sz w:val="18"/>
        </w:rPr>
        <w:t xml:space="preserve">    url: "https://example.com/article"</w:t>
        <w:br/>
      </w:r>
      <w:r>
        <w:rPr>
          <w:rFonts w:ascii="Consolas" w:hAnsi="Consolas"/>
          <w:color w:val="1A1A1A"/>
          <w:sz w:val="18"/>
        </w:rPr>
        <w:t xml:space="preserve">  });</w:t>
        <w:br/>
      </w:r>
      <w:r>
        <w:rPr>
          <w:rFonts w:ascii="Consolas" w:hAnsi="Consolas"/>
          <w:color w:val="1A1A1A"/>
          <w:sz w:val="18"/>
        </w:rPr>
        <w:t>&lt;/script&gt;</w:t>
      </w:r>
    </w:p>
    <w:p>
      <w:pPr>
        <w:spacing w:before="320" w:after="160"/>
        <w:pBdr>
          <w:bottom w:val="single" w:sz="6" w:space="4" w:color="0077b6"/>
        </w:pBdr>
      </w:pPr>
      <w:r>
        <w:rPr>
          <w:b/>
          <w:color w:val="0077B6"/>
          <w:sz w:val="32"/>
        </w:rPr>
        <w:t>4. Widget Anatomy</w:t>
      </w:r>
    </w:p>
    <w:p>
      <w:r>
        <w:t>The rendered badge is compact (maximum width 320px) and uses a dark theme. It presents the following elements:</w:t>
      </w:r>
    </w:p>
    <w:p>
      <w:pPr>
        <w:pStyle w:val="ListBullet"/>
      </w:pPr>
      <w:r>
        <w:t>Brand identity — the AuthentiScan Pro shield and wordmark.</w:t>
      </w:r>
    </w:p>
    <w:p>
      <w:pPr>
        <w:pStyle w:val="ListBullet"/>
      </w:pPr>
      <w:r>
        <w:t>Risk score — a circular gauge showing a value from 0 to 100 (higher = higher risk).</w:t>
      </w:r>
    </w:p>
    <w:p>
      <w:pPr>
        <w:pStyle w:val="ListBullet"/>
      </w:pPr>
      <w:r>
        <w:t>Verdict — a labelled classification, colour-coded to the score.</w:t>
      </w:r>
    </w:p>
    <w:p>
      <w:pPr>
        <w:pStyle w:val="ListBullet"/>
      </w:pPr>
      <w:r>
        <w:t>Signal bars — up to three key credibility signals, each with a labelled bar.</w:t>
      </w:r>
    </w:p>
    <w:p>
      <w:pPr>
        <w:pStyle w:val="ListBullet"/>
      </w:pPr>
      <w:r>
        <w:t>Full analysis link — 'View full analysis', linking to app.authentiscanapp.com.</w:t>
      </w:r>
    </w:p>
    <w:p>
      <w:pPr>
        <w:pStyle w:val="ListBullet"/>
      </w:pPr>
      <w:r>
        <w:t>Verification footer — 'Verified by AuthentiScan Pro'.</w:t>
      </w:r>
    </w:p>
    <w:p>
      <w:pPr>
        <w:spacing w:before="200" w:after="80"/>
      </w:pPr>
      <w:r>
        <w:rPr>
          <w:b/>
          <w:color w:val="222222"/>
          <w:sz w:val="24"/>
        </w:rPr>
        <w:t>Verdict Classification</w:t>
      </w:r>
    </w:p>
    <w:tbl>
      <w:tblPr>
        <w:tblStyle w:val="TableGrid"/>
        <w:tblW w:type="auto" w:w="0"/>
        <w:tblLook w:firstColumn="1" w:firstRow="1" w:lastColumn="0" w:lastRow="0" w:noHBand="0" w:noVBand="1" w:val="04A0"/>
      </w:tblPr>
      <w:tblGrid>
        <w:gridCol w:w="2880"/>
        <w:gridCol w:w="2880"/>
        <w:gridCol w:w="2880"/>
      </w:tblGrid>
      <w:tr>
        <w:tc>
          <w:tcPr>
            <w:tcW w:type="dxa" w:w="2592"/>
            <w:shd w:val="clear" w:fill="0077B6"/>
          </w:tcPr>
          <w:p>
            <w:r>
              <w:rPr>
                <w:b/>
                <w:color w:val="FFFFFF"/>
                <w:sz w:val="19"/>
              </w:rPr>
              <w:t>Risk Score</w:t>
            </w:r>
          </w:p>
        </w:tc>
        <w:tc>
          <w:tcPr>
            <w:tcW w:type="dxa" w:w="3744"/>
            <w:shd w:val="clear" w:fill="0077B6"/>
          </w:tcPr>
          <w:p>
            <w:r>
              <w:rPr>
                <w:b/>
                <w:color w:val="FFFFFF"/>
                <w:sz w:val="19"/>
              </w:rPr>
              <w:t>Verdict</w:t>
            </w:r>
          </w:p>
        </w:tc>
        <w:tc>
          <w:tcPr>
            <w:tcW w:type="dxa" w:w="3744"/>
            <w:shd w:val="clear" w:fill="0077B6"/>
          </w:tcPr>
          <w:p>
            <w:r>
              <w:rPr>
                <w:b/>
                <w:color w:val="FFFFFF"/>
                <w:sz w:val="19"/>
              </w:rPr>
              <w:t>Colour</w:t>
            </w:r>
          </w:p>
        </w:tc>
      </w:tr>
      <w:tr>
        <w:tc>
          <w:tcPr>
            <w:tcW w:type="dxa" w:w="2592"/>
          </w:tcPr>
          <w:p>
            <w:r>
              <w:rPr>
                <w:sz w:val="18"/>
              </w:rPr>
              <w:t>66 – 100</w:t>
            </w:r>
          </w:p>
        </w:tc>
        <w:tc>
          <w:tcPr>
            <w:tcW w:type="dxa" w:w="3744"/>
          </w:tcPr>
          <w:p>
            <w:r>
              <w:rPr>
                <w:sz w:val="18"/>
              </w:rPr>
              <w:t>High Risk</w:t>
            </w:r>
          </w:p>
        </w:tc>
        <w:tc>
          <w:tcPr>
            <w:tcW w:type="dxa" w:w="3744"/>
          </w:tcPr>
          <w:p>
            <w:r>
              <w:rPr>
                <w:sz w:val="18"/>
              </w:rPr>
              <w:t>Red</w:t>
            </w:r>
          </w:p>
        </w:tc>
      </w:tr>
      <w:tr>
        <w:tc>
          <w:tcPr>
            <w:tcW w:type="dxa" w:w="2592"/>
          </w:tcPr>
          <w:p>
            <w:r>
              <w:rPr>
                <w:sz w:val="18"/>
              </w:rPr>
              <w:t>33 – 65</w:t>
            </w:r>
          </w:p>
        </w:tc>
        <w:tc>
          <w:tcPr>
            <w:tcW w:type="dxa" w:w="3744"/>
          </w:tcPr>
          <w:p>
            <w:r>
              <w:rPr>
                <w:sz w:val="18"/>
              </w:rPr>
              <w:t>Verify</w:t>
            </w:r>
          </w:p>
        </w:tc>
        <w:tc>
          <w:tcPr>
            <w:tcW w:type="dxa" w:w="3744"/>
          </w:tcPr>
          <w:p>
            <w:r>
              <w:rPr>
                <w:sz w:val="18"/>
              </w:rPr>
              <w:t>Yellow</w:t>
            </w:r>
          </w:p>
        </w:tc>
      </w:tr>
      <w:tr>
        <w:tc>
          <w:tcPr>
            <w:tcW w:type="dxa" w:w="2592"/>
          </w:tcPr>
          <w:p>
            <w:r>
              <w:rPr>
                <w:sz w:val="18"/>
              </w:rPr>
              <w:t>0 – 32</w:t>
            </w:r>
          </w:p>
        </w:tc>
        <w:tc>
          <w:tcPr>
            <w:tcW w:type="dxa" w:w="3744"/>
          </w:tcPr>
          <w:p>
            <w:r>
              <w:rPr>
                <w:sz w:val="18"/>
              </w:rPr>
              <w:t>Trustworthy</w:t>
            </w:r>
          </w:p>
        </w:tc>
        <w:tc>
          <w:tcPr>
            <w:tcW w:type="dxa" w:w="3744"/>
          </w:tcPr>
          <w:p>
            <w:r>
              <w:rPr>
                <w:sz w:val="18"/>
              </w:rPr>
              <w:t>Green</w:t>
            </w:r>
          </w:p>
        </w:tc>
      </w:tr>
    </w:tbl>
    <w:p>
      <w:pPr>
        <w:spacing w:before="80" w:after="160"/>
        <w:shd w:val="clear" w:fill="E7F3FA"/>
      </w:pPr>
      <w:r>
        <w:rPr>
          <w:color w:val="0A4A6A"/>
          <w:sz w:val="20"/>
        </w:rPr>
        <w:t>ℹ  While it is fetching, the badge shows an 'Analyzing credibility…' state; if the analysis cannot be completed, it shows a neutral error state rather than a misleading score.</w:t>
      </w:r>
    </w:p>
    <w:p>
      <w:pPr>
        <w:spacing w:before="320" w:after="160"/>
        <w:pBdr>
          <w:bottom w:val="single" w:sz="6" w:space="4" w:color="0077b6"/>
        </w:pBdr>
      </w:pPr>
      <w:r>
        <w:rPr>
          <w:b/>
          <w:color w:val="0077B6"/>
          <w:sz w:val="32"/>
        </w:rPr>
        <w:t>5. Widget API Endpoint</w:t>
      </w:r>
    </w:p>
    <w:p>
      <w:r>
        <w:t>The widget endpoint is a public, CORS-enabled route that accepts a URL and returns a compact credibility assessment.</w:t>
      </w:r>
    </w:p>
    <w:p>
      <w:pPr>
        <w:spacing w:before="200" w:after="80"/>
      </w:pPr>
      <w:r>
        <w:rPr>
          <w:b/>
          <w:color w:val="222222"/>
          <w:sz w:val="24"/>
        </w:rPr>
        <w:t>Request</w:t>
      </w:r>
    </w:p>
    <w:p>
      <w:pPr>
        <w:spacing w:before="80" w:after="160"/>
        <w:ind w:left="144"/>
        <w:shd w:val="clear" w:fill="F2F3F4"/>
      </w:pPr>
      <w:r>
        <w:rPr>
          <w:rFonts w:ascii="Consolas" w:hAnsi="Consolas"/>
          <w:color w:val="1A1A1A"/>
          <w:sz w:val="18"/>
        </w:rPr>
        <w:t>GET  /api/widget?url=https://example.com/article</w:t>
        <w:br/>
      </w:r>
      <w:r>
        <w:rPr>
          <w:rFonts w:ascii="Consolas" w:hAnsi="Consolas"/>
          <w:color w:val="1A1A1A"/>
          <w:sz w:val="18"/>
        </w:rPr>
        <w:t>POST /api/widget      { "url": "https://example.com/article" }</w:t>
      </w:r>
    </w:p>
    <w:p>
      <w:pPr>
        <w:spacing w:before="200" w:after="80"/>
      </w:pPr>
      <w:r>
        <w:rPr>
          <w:b/>
          <w:color w:val="222222"/>
          <w:sz w:val="24"/>
        </w:rPr>
        <w:t>Response</w:t>
      </w:r>
    </w:p>
    <w:p>
      <w:pPr>
        <w:spacing w:before="80" w:after="160"/>
        <w:ind w:left="144"/>
        <w:shd w:val="clear" w:fill="F2F3F4"/>
      </w:pPr>
      <w:r>
        <w:rPr>
          <w:rFonts w:ascii="Consolas" w:hAnsi="Consolas"/>
          <w:color w:val="1A1A1A"/>
          <w:sz w:val="18"/>
        </w:rPr>
        <w:t>{</w:t>
        <w:br/>
      </w:r>
      <w:r>
        <w:rPr>
          <w:rFonts w:ascii="Consolas" w:hAnsi="Consolas"/>
          <w:color w:val="1A1A1A"/>
          <w:sz w:val="18"/>
        </w:rPr>
        <w:t xml:space="preserve">  "score": 5,</w:t>
        <w:br/>
      </w:r>
      <w:r>
        <w:rPr>
          <w:rFonts w:ascii="Consolas" w:hAnsi="Consolas"/>
          <w:color w:val="1A1A1A"/>
          <w:sz w:val="18"/>
        </w:rPr>
        <w:t xml:space="preserve">  "verdict": "Highly Credible News Source",</w:t>
        <w:br/>
      </w:r>
      <w:r>
        <w:rPr>
          <w:rFonts w:ascii="Consolas" w:hAnsi="Consolas"/>
          <w:color w:val="1A1A1A"/>
          <w:sz w:val="18"/>
        </w:rPr>
        <w:t xml:space="preserve">  "signals": [</w:t>
        <w:br/>
      </w:r>
      <w:r>
        <w:rPr>
          <w:rFonts w:ascii="Consolas" w:hAnsi="Consolas"/>
          <w:color w:val="1A1A1A"/>
          <w:sz w:val="18"/>
        </w:rPr>
        <w:t xml:space="preserve">    { "label": "Claim Accuracy",    "value": 22, "level": "safe" },</w:t>
        <w:br/>
      </w:r>
      <w:r>
        <w:rPr>
          <w:rFonts w:ascii="Consolas" w:hAnsi="Consolas"/>
          <w:color w:val="1A1A1A"/>
          <w:sz w:val="18"/>
        </w:rPr>
        <w:t xml:space="preserve">    { "label": "Source Credibility","value": 22, "level": "safe" },</w:t>
        <w:br/>
      </w:r>
      <w:r>
        <w:rPr>
          <w:rFonts w:ascii="Consolas" w:hAnsi="Consolas"/>
          <w:color w:val="1A1A1A"/>
          <w:sz w:val="18"/>
        </w:rPr>
        <w:t xml:space="preserve">    { "label": "Emotional Intensity","value": 22, "level": "safe" }</w:t>
        <w:br/>
      </w:r>
      <w:r>
        <w:rPr>
          <w:rFonts w:ascii="Consolas" w:hAnsi="Consolas"/>
          <w:color w:val="1A1A1A"/>
          <w:sz w:val="18"/>
        </w:rPr>
        <w:t xml:space="preserve">  ],</w:t>
        <w:br/>
      </w:r>
      <w:r>
        <w:rPr>
          <w:rFonts w:ascii="Consolas" w:hAnsi="Consolas"/>
          <w:color w:val="1A1A1A"/>
          <w:sz w:val="18"/>
        </w:rPr>
        <w:t xml:space="preserve">  "explanation": "Reuters.com is a highly trusted ...",</w:t>
        <w:br/>
      </w:r>
      <w:r>
        <w:rPr>
          <w:rFonts w:ascii="Consolas" w:hAnsi="Consolas"/>
          <w:color w:val="1A1A1A"/>
          <w:sz w:val="18"/>
        </w:rPr>
        <w:t xml:space="preserve">  "url": "https://www.reuters.com",</w:t>
        <w:br/>
      </w:r>
      <w:r>
        <w:rPr>
          <w:rFonts w:ascii="Consolas" w:hAnsi="Consolas"/>
          <w:color w:val="1A1A1A"/>
          <w:sz w:val="18"/>
        </w:rPr>
        <w:t xml:space="preserve">  "cached": false</w:t>
        <w:br/>
      </w:r>
      <w:r>
        <w:rPr>
          <w:rFonts w:ascii="Consolas" w:hAnsi="Consolas"/>
          <w:color w:val="1A1A1A"/>
          <w:sz w:val="18"/>
        </w:rPr>
        <w:t>}</w:t>
      </w:r>
    </w:p>
    <w:p>
      <w:pPr>
        <w:spacing w:before="200" w:after="80"/>
      </w:pPr>
      <w:r>
        <w:rPr>
          <w:b/>
          <w:color w:val="222222"/>
          <w:sz w:val="24"/>
        </w:rPr>
        <w:t>Response Fields</w:t>
      </w:r>
    </w:p>
    <w:tbl>
      <w:tblPr>
        <w:tblStyle w:val="TableGrid"/>
        <w:tblW w:type="auto" w:w="0"/>
        <w:tblLook w:firstColumn="1" w:firstRow="1" w:lastColumn="0" w:lastRow="0" w:noHBand="0" w:noVBand="1" w:val="04A0"/>
      </w:tblPr>
      <w:tblGrid>
        <w:gridCol w:w="2880"/>
        <w:gridCol w:w="2880"/>
        <w:gridCol w:w="2880"/>
      </w:tblGrid>
      <w:tr>
        <w:tc>
          <w:tcPr>
            <w:tcW w:type="dxa" w:w="2016"/>
            <w:shd w:val="clear" w:fill="0077B6"/>
          </w:tcPr>
          <w:p>
            <w:r>
              <w:rPr>
                <w:b/>
                <w:color w:val="FFFFFF"/>
                <w:sz w:val="19"/>
              </w:rPr>
              <w:t>Field</w:t>
            </w:r>
          </w:p>
        </w:tc>
        <w:tc>
          <w:tcPr>
            <w:tcW w:type="dxa" w:w="1584"/>
            <w:shd w:val="clear" w:fill="0077B6"/>
          </w:tcPr>
          <w:p>
            <w:r>
              <w:rPr>
                <w:b/>
                <w:color w:val="FFFFFF"/>
                <w:sz w:val="19"/>
              </w:rPr>
              <w:t>Type</w:t>
            </w:r>
          </w:p>
        </w:tc>
        <w:tc>
          <w:tcPr>
            <w:tcW w:type="dxa" w:w="6480"/>
            <w:shd w:val="clear" w:fill="0077B6"/>
          </w:tcPr>
          <w:p>
            <w:r>
              <w:rPr>
                <w:b/>
                <w:color w:val="FFFFFF"/>
                <w:sz w:val="19"/>
              </w:rPr>
              <w:t>Description</w:t>
            </w:r>
          </w:p>
        </w:tc>
      </w:tr>
      <w:tr>
        <w:tc>
          <w:tcPr>
            <w:tcW w:type="dxa" w:w="2016"/>
          </w:tcPr>
          <w:p>
            <w:r>
              <w:rPr>
                <w:sz w:val="18"/>
              </w:rPr>
              <w:t>score</w:t>
            </w:r>
          </w:p>
        </w:tc>
        <w:tc>
          <w:tcPr>
            <w:tcW w:type="dxa" w:w="1584"/>
          </w:tcPr>
          <w:p>
            <w:r>
              <w:rPr>
                <w:sz w:val="18"/>
              </w:rPr>
              <w:t>number</w:t>
            </w:r>
          </w:p>
        </w:tc>
        <w:tc>
          <w:tcPr>
            <w:tcW w:type="dxa" w:w="6480"/>
          </w:tcPr>
          <w:p>
            <w:r>
              <w:rPr>
                <w:sz w:val="18"/>
              </w:rPr>
              <w:t>Risk score from 0 (trustworthy) to 100 (high risk).</w:t>
            </w:r>
          </w:p>
        </w:tc>
      </w:tr>
      <w:tr>
        <w:tc>
          <w:tcPr>
            <w:tcW w:type="dxa" w:w="2016"/>
          </w:tcPr>
          <w:p>
            <w:r>
              <w:rPr>
                <w:sz w:val="18"/>
              </w:rPr>
              <w:t>verdict</w:t>
            </w:r>
          </w:p>
        </w:tc>
        <w:tc>
          <w:tcPr>
            <w:tcW w:type="dxa" w:w="1584"/>
          </w:tcPr>
          <w:p>
            <w:r>
              <w:rPr>
                <w:sz w:val="18"/>
              </w:rPr>
              <w:t>string</w:t>
            </w:r>
          </w:p>
        </w:tc>
        <w:tc>
          <w:tcPr>
            <w:tcW w:type="dxa" w:w="6480"/>
          </w:tcPr>
          <w:p>
            <w:r>
              <w:rPr>
                <w:sz w:val="18"/>
              </w:rPr>
              <w:t>Human-readable classification from the analysis.</w:t>
            </w:r>
          </w:p>
        </w:tc>
      </w:tr>
      <w:tr>
        <w:tc>
          <w:tcPr>
            <w:tcW w:type="dxa" w:w="2016"/>
          </w:tcPr>
          <w:p>
            <w:r>
              <w:rPr>
                <w:sz w:val="18"/>
              </w:rPr>
              <w:t>signals</w:t>
            </w:r>
          </w:p>
        </w:tc>
        <w:tc>
          <w:tcPr>
            <w:tcW w:type="dxa" w:w="1584"/>
          </w:tcPr>
          <w:p>
            <w:r>
              <w:rPr>
                <w:sz w:val="18"/>
              </w:rPr>
              <w:t>array</w:t>
            </w:r>
          </w:p>
        </w:tc>
        <w:tc>
          <w:tcPr>
            <w:tcW w:type="dxa" w:w="6480"/>
          </w:tcPr>
          <w:p>
            <w:r>
              <w:rPr>
                <w:sz w:val="18"/>
              </w:rPr>
              <w:t>Up to three key signals, each with label, value and level.</w:t>
            </w:r>
          </w:p>
        </w:tc>
      </w:tr>
      <w:tr>
        <w:tc>
          <w:tcPr>
            <w:tcW w:type="dxa" w:w="2016"/>
          </w:tcPr>
          <w:p>
            <w:r>
              <w:rPr>
                <w:sz w:val="18"/>
              </w:rPr>
              <w:t>explanation</w:t>
            </w:r>
          </w:p>
        </w:tc>
        <w:tc>
          <w:tcPr>
            <w:tcW w:type="dxa" w:w="1584"/>
          </w:tcPr>
          <w:p>
            <w:r>
              <w:rPr>
                <w:sz w:val="18"/>
              </w:rPr>
              <w:t>string</w:t>
            </w:r>
          </w:p>
        </w:tc>
        <w:tc>
          <w:tcPr>
            <w:tcW w:type="dxa" w:w="6480"/>
          </w:tcPr>
          <w:p>
            <w:r>
              <w:rPr>
                <w:sz w:val="18"/>
              </w:rPr>
              <w:t>Short natural-language summary of the finding.</w:t>
            </w:r>
          </w:p>
        </w:tc>
      </w:tr>
      <w:tr>
        <w:tc>
          <w:tcPr>
            <w:tcW w:type="dxa" w:w="2016"/>
          </w:tcPr>
          <w:p>
            <w:r>
              <w:rPr>
                <w:sz w:val="18"/>
              </w:rPr>
              <w:t>url</w:t>
            </w:r>
          </w:p>
        </w:tc>
        <w:tc>
          <w:tcPr>
            <w:tcW w:type="dxa" w:w="1584"/>
          </w:tcPr>
          <w:p>
            <w:r>
              <w:rPr>
                <w:sz w:val="18"/>
              </w:rPr>
              <w:t>string</w:t>
            </w:r>
          </w:p>
        </w:tc>
        <w:tc>
          <w:tcPr>
            <w:tcW w:type="dxa" w:w="6480"/>
          </w:tcPr>
          <w:p>
            <w:r>
              <w:rPr>
                <w:sz w:val="18"/>
              </w:rPr>
              <w:t>The URL that was analysed.</w:t>
            </w:r>
          </w:p>
        </w:tc>
      </w:tr>
      <w:tr>
        <w:tc>
          <w:tcPr>
            <w:tcW w:type="dxa" w:w="2016"/>
          </w:tcPr>
          <w:p>
            <w:r>
              <w:rPr>
                <w:sz w:val="18"/>
              </w:rPr>
              <w:t>cached</w:t>
            </w:r>
          </w:p>
        </w:tc>
        <w:tc>
          <w:tcPr>
            <w:tcW w:type="dxa" w:w="1584"/>
          </w:tcPr>
          <w:p>
            <w:r>
              <w:rPr>
                <w:sz w:val="18"/>
              </w:rPr>
              <w:t>boolean</w:t>
            </w:r>
          </w:p>
        </w:tc>
        <w:tc>
          <w:tcPr>
            <w:tcW w:type="dxa" w:w="6480"/>
          </w:tcPr>
          <w:p>
            <w:r>
              <w:rPr>
                <w:sz w:val="18"/>
              </w:rPr>
              <w:t>Whether the result was served from the 24h cache.</w:t>
            </w:r>
          </w:p>
        </w:tc>
      </w:tr>
    </w:tbl>
    <w:p>
      <w:pPr>
        <w:spacing w:before="320" w:after="160"/>
        <w:pBdr>
          <w:bottom w:val="single" w:sz="6" w:space="4" w:color="0077b6"/>
        </w:pBdr>
      </w:pPr>
      <w:r>
        <w:rPr>
          <w:b/>
          <w:color w:val="0077B6"/>
          <w:sz w:val="32"/>
        </w:rPr>
        <w:t>6. Configuration Reference</w:t>
      </w:r>
    </w:p>
    <w:p>
      <w:pPr>
        <w:spacing w:before="200" w:after="80"/>
      </w:pPr>
      <w:r>
        <w:rPr>
          <w:b/>
          <w:color w:val="222222"/>
          <w:sz w:val="24"/>
        </w:rPr>
        <w:t>Container Attributes</w:t>
      </w:r>
    </w:p>
    <w:tbl>
      <w:tblPr>
        <w:tblStyle w:val="TableGrid"/>
        <w:tblW w:type="auto" w:w="0"/>
        <w:tblLook w:firstColumn="1" w:firstRow="1" w:lastColumn="0" w:lastRow="0" w:noHBand="0" w:noVBand="1" w:val="04A0"/>
      </w:tblPr>
      <w:tblGrid>
        <w:gridCol w:w="2880"/>
        <w:gridCol w:w="2880"/>
        <w:gridCol w:w="2880"/>
      </w:tblGrid>
      <w:tr>
        <w:tc>
          <w:tcPr>
            <w:tcW w:type="dxa" w:w="3312"/>
            <w:shd w:val="clear" w:fill="0077B6"/>
          </w:tcPr>
          <w:p>
            <w:r>
              <w:rPr>
                <w:b/>
                <w:color w:val="FFFFFF"/>
                <w:sz w:val="19"/>
              </w:rPr>
              <w:t>Attribute</w:t>
            </w:r>
          </w:p>
        </w:tc>
        <w:tc>
          <w:tcPr>
            <w:tcW w:type="dxa" w:w="2016"/>
            <w:shd w:val="clear" w:fill="0077B6"/>
          </w:tcPr>
          <w:p>
            <w:r>
              <w:rPr>
                <w:b/>
                <w:color w:val="FFFFFF"/>
                <w:sz w:val="19"/>
              </w:rPr>
              <w:t>Required</w:t>
            </w:r>
          </w:p>
        </w:tc>
        <w:tc>
          <w:tcPr>
            <w:tcW w:type="dxa" w:w="4752"/>
            <w:shd w:val="clear" w:fill="0077B6"/>
          </w:tcPr>
          <w:p>
            <w:r>
              <w:rPr>
                <w:b/>
                <w:color w:val="FFFFFF"/>
                <w:sz w:val="19"/>
              </w:rPr>
              <w:t>Description</w:t>
            </w:r>
          </w:p>
        </w:tc>
      </w:tr>
      <w:tr>
        <w:tc>
          <w:tcPr>
            <w:tcW w:type="dxa" w:w="3312"/>
          </w:tcPr>
          <w:p>
            <w:r>
              <w:rPr>
                <w:sz w:val="18"/>
              </w:rPr>
              <w:t>data-url</w:t>
            </w:r>
          </w:p>
        </w:tc>
        <w:tc>
          <w:tcPr>
            <w:tcW w:type="dxa" w:w="2016"/>
          </w:tcPr>
          <w:p>
            <w:r>
              <w:rPr>
                <w:sz w:val="18"/>
              </w:rPr>
              <w:t>Dynamic mode</w:t>
            </w:r>
          </w:p>
        </w:tc>
        <w:tc>
          <w:tcPr>
            <w:tcW w:type="dxa" w:w="4752"/>
          </w:tcPr>
          <w:p>
            <w:r>
              <w:rPr>
                <w:sz w:val="18"/>
              </w:rPr>
              <w:t>URL to verify. The widget fetches its score from the API.</w:t>
            </w:r>
          </w:p>
        </w:tc>
      </w:tr>
      <w:tr>
        <w:tc>
          <w:tcPr>
            <w:tcW w:type="dxa" w:w="3312"/>
          </w:tcPr>
          <w:p>
            <w:r>
              <w:rPr>
                <w:sz w:val="18"/>
              </w:rPr>
              <w:t>data-score</w:t>
            </w:r>
          </w:p>
        </w:tc>
        <w:tc>
          <w:tcPr>
            <w:tcW w:type="dxa" w:w="2016"/>
          </w:tcPr>
          <w:p>
            <w:r>
              <w:rPr>
                <w:sz w:val="18"/>
              </w:rPr>
              <w:t>Static mode</w:t>
            </w:r>
          </w:p>
        </w:tc>
        <w:tc>
          <w:tcPr>
            <w:tcW w:type="dxa" w:w="4752"/>
          </w:tcPr>
          <w:p>
            <w:r>
              <w:rPr>
                <w:sz w:val="18"/>
              </w:rPr>
              <w:t>Pre-computed risk score (0–100). Preview use only.</w:t>
            </w:r>
          </w:p>
        </w:tc>
      </w:tr>
      <w:tr>
        <w:tc>
          <w:tcPr>
            <w:tcW w:type="dxa" w:w="3312"/>
          </w:tcPr>
          <w:p>
            <w:r>
              <w:rPr>
                <w:sz w:val="18"/>
              </w:rPr>
              <w:t>data-signals</w:t>
            </w:r>
          </w:p>
        </w:tc>
        <w:tc>
          <w:tcPr>
            <w:tcW w:type="dxa" w:w="2016"/>
          </w:tcPr>
          <w:p>
            <w:r>
              <w:rPr>
                <w:sz w:val="18"/>
              </w:rPr>
              <w:t>Optional</w:t>
            </w:r>
          </w:p>
        </w:tc>
        <w:tc>
          <w:tcPr>
            <w:tcW w:type="dxa" w:w="4752"/>
          </w:tcPr>
          <w:p>
            <w:r>
              <w:rPr>
                <w:sz w:val="18"/>
              </w:rPr>
              <w:t>JSON array of signals for static mode.</w:t>
            </w:r>
          </w:p>
        </w:tc>
      </w:tr>
      <w:tr>
        <w:tc>
          <w:tcPr>
            <w:tcW w:type="dxa" w:w="3312"/>
          </w:tcPr>
          <w:p>
            <w:r>
              <w:rPr>
                <w:sz w:val="18"/>
              </w:rPr>
              <w:t>class="authentiscan-widget"</w:t>
            </w:r>
          </w:p>
        </w:tc>
        <w:tc>
          <w:tcPr>
            <w:tcW w:type="dxa" w:w="2016"/>
          </w:tcPr>
          <w:p>
            <w:r>
              <w:rPr>
                <w:sz w:val="18"/>
              </w:rPr>
              <w:t>Yes</w:t>
            </w:r>
          </w:p>
        </w:tc>
        <w:tc>
          <w:tcPr>
            <w:tcW w:type="dxa" w:w="4752"/>
          </w:tcPr>
          <w:p>
            <w:r>
              <w:rPr>
                <w:sz w:val="18"/>
              </w:rPr>
              <w:t>Marks the element for automatic rendering.</w:t>
            </w:r>
          </w:p>
        </w:tc>
      </w:tr>
    </w:tbl>
    <w:p>
      <w:pPr>
        <w:spacing w:before="200" w:after="80"/>
      </w:pPr>
      <w:r>
        <w:rPr>
          <w:b/>
          <w:color w:val="222222"/>
          <w:sz w:val="24"/>
        </w:rPr>
        <w:t>Environment Variables (Server)</w:t>
      </w:r>
    </w:p>
    <w:tbl>
      <w:tblPr>
        <w:tblStyle w:val="TableGrid"/>
        <w:tblW w:type="auto" w:w="0"/>
        <w:tblLook w:firstColumn="1" w:firstRow="1" w:lastColumn="0" w:lastRow="0" w:noHBand="0" w:noVBand="1" w:val="04A0"/>
      </w:tblPr>
      <w:tblGrid>
        <w:gridCol w:w="4320"/>
        <w:gridCol w:w="4320"/>
      </w:tblGrid>
      <w:tr>
        <w:tc>
          <w:tcPr>
            <w:tcW w:type="dxa" w:w="3744"/>
            <w:shd w:val="clear" w:fill="0077B6"/>
          </w:tcPr>
          <w:p>
            <w:r>
              <w:rPr>
                <w:b/>
                <w:color w:val="FFFFFF"/>
                <w:sz w:val="19"/>
              </w:rPr>
              <w:t>Variable</w:t>
            </w:r>
          </w:p>
        </w:tc>
        <w:tc>
          <w:tcPr>
            <w:tcW w:type="dxa" w:w="6336"/>
            <w:shd w:val="clear" w:fill="0077B6"/>
          </w:tcPr>
          <w:p>
            <w:r>
              <w:rPr>
                <w:b/>
                <w:color w:val="FFFFFF"/>
                <w:sz w:val="19"/>
              </w:rPr>
              <w:t>Description</w:t>
            </w:r>
          </w:p>
        </w:tc>
      </w:tr>
      <w:tr>
        <w:tc>
          <w:tcPr>
            <w:tcW w:type="dxa" w:w="3744"/>
          </w:tcPr>
          <w:p>
            <w:r>
              <w:rPr>
                <w:sz w:val="18"/>
              </w:rPr>
              <w:t>SUPABASE_URL</w:t>
            </w:r>
          </w:p>
        </w:tc>
        <w:tc>
          <w:tcPr>
            <w:tcW w:type="dxa" w:w="6336"/>
          </w:tcPr>
          <w:p>
            <w:r>
              <w:rPr>
                <w:sz w:val="18"/>
              </w:rPr>
              <w:t>Supabase project URL (enables result caching).</w:t>
            </w:r>
          </w:p>
        </w:tc>
      </w:tr>
      <w:tr>
        <w:tc>
          <w:tcPr>
            <w:tcW w:type="dxa" w:w="3744"/>
          </w:tcPr>
          <w:p>
            <w:r>
              <w:rPr>
                <w:sz w:val="18"/>
              </w:rPr>
              <w:t>SUPABASE_SERVICE_KEY</w:t>
            </w:r>
          </w:p>
        </w:tc>
        <w:tc>
          <w:tcPr>
            <w:tcW w:type="dxa" w:w="6336"/>
          </w:tcPr>
          <w:p>
            <w:r>
              <w:rPr>
                <w:sz w:val="18"/>
              </w:rPr>
              <w:t>Supabase service key (server-side, bypasses RLS).</w:t>
            </w:r>
          </w:p>
        </w:tc>
      </w:tr>
      <w:tr>
        <w:tc>
          <w:tcPr>
            <w:tcW w:type="dxa" w:w="3744"/>
          </w:tcPr>
          <w:p>
            <w:r>
              <w:rPr>
                <w:sz w:val="18"/>
              </w:rPr>
              <w:t>AUTHENTISCAN_BASE_URL</w:t>
            </w:r>
          </w:p>
        </w:tc>
        <w:tc>
          <w:tcPr>
            <w:tcW w:type="dxa" w:w="6336"/>
          </w:tcPr>
          <w:p>
            <w:r>
              <w:rPr>
                <w:sz w:val="18"/>
              </w:rPr>
              <w:t>Optional override for the internal analysis base URL.</w:t>
            </w:r>
          </w:p>
        </w:tc>
      </w:tr>
    </w:tbl>
    <w:p>
      <w:pPr>
        <w:spacing w:before="320" w:after="160"/>
        <w:pBdr>
          <w:bottom w:val="single" w:sz="6" w:space="4" w:color="0077b6"/>
        </w:pBdr>
      </w:pPr>
      <w:r>
        <w:rPr>
          <w:b/>
          <w:color w:val="0077B6"/>
          <w:sz w:val="32"/>
        </w:rPr>
        <w:t>7. Deployment &amp; Caching</w:t>
      </w:r>
    </w:p>
    <w:p>
      <w:r>
        <w:t>The widget endpoint caches each URL's result for 24 hours to control cost and latency. Caching is optional — the endpoint operates without it, re-analysing on each request — but it is strongly recommended for production. The cache is stored in a Supabase table:</w:t>
      </w:r>
    </w:p>
    <w:p>
      <w:pPr>
        <w:spacing w:before="80" w:after="160"/>
        <w:ind w:left="144"/>
        <w:shd w:val="clear" w:fill="F2F3F4"/>
      </w:pPr>
      <w:r>
        <w:rPr>
          <w:rFonts w:ascii="Consolas" w:hAnsi="Consolas"/>
          <w:color w:val="1A1A1A"/>
          <w:sz w:val="18"/>
        </w:rPr>
        <w:t>create table if not exists public.widget_cache (</w:t>
        <w:br/>
      </w:r>
      <w:r>
        <w:rPr>
          <w:rFonts w:ascii="Consolas" w:hAnsi="Consolas"/>
          <w:color w:val="1A1A1A"/>
          <w:sz w:val="18"/>
        </w:rPr>
        <w:t xml:space="preserve">  url        text primary key,</w:t>
        <w:br/>
      </w:r>
      <w:r>
        <w:rPr>
          <w:rFonts w:ascii="Consolas" w:hAnsi="Consolas"/>
          <w:color w:val="1A1A1A"/>
          <w:sz w:val="18"/>
        </w:rPr>
        <w:t xml:space="preserve">  payload    jsonb not null,</w:t>
        <w:br/>
      </w:r>
      <w:r>
        <w:rPr>
          <w:rFonts w:ascii="Consolas" w:hAnsi="Consolas"/>
          <w:color w:val="1A1A1A"/>
          <w:sz w:val="18"/>
        </w:rPr>
        <w:t xml:space="preserve">  created_at timestamptz default now()</w:t>
        <w:br/>
      </w:r>
      <w:r>
        <w:rPr>
          <w:rFonts w:ascii="Consolas" w:hAnsi="Consolas"/>
          <w:color w:val="1A1A1A"/>
          <w:sz w:val="18"/>
        </w:rPr>
        <w:t>);</w:t>
        <w:br/>
      </w:r>
      <w:r>
        <w:rPr>
          <w:rFonts w:ascii="Consolas" w:hAnsi="Consolas"/>
          <w:color w:val="1A1A1A"/>
          <w:sz w:val="18"/>
        </w:rPr>
        <w:t>alter table public.widget_cache enable row level security;</w:t>
      </w:r>
    </w:p>
    <w:p>
      <w:pPr>
        <w:spacing w:before="80" w:after="160"/>
        <w:shd w:val="clear" w:fill="E7F3FA"/>
      </w:pPr>
      <w:r>
        <w:rPr>
          <w:color w:val="0A4A6A"/>
          <w:sz w:val="20"/>
        </w:rPr>
        <w:t>ℹ  No row-level security policy is required: the endpoint uses the Supabase service key, which bypasses RLS. With RLS enabled and no policy, the cache is inaccessible to anonymous keys.</w:t>
      </w:r>
    </w:p>
    <w:p>
      <w:pPr>
        <w:spacing w:before="320" w:after="160"/>
        <w:pBdr>
          <w:bottom w:val="single" w:sz="6" w:space="4" w:color="0077b6"/>
        </w:pBdr>
      </w:pPr>
      <w:r>
        <w:rPr>
          <w:b/>
          <w:color w:val="0077B6"/>
          <w:sz w:val="32"/>
        </w:rPr>
        <w:t>8. Full-Analysis Deep-Link</w:t>
      </w:r>
    </w:p>
    <w:p>
      <w:r>
        <w:t>The badge's 'View full analysis' action links to the AuthentiScan application with the verified URL as a query parameter:</w:t>
      </w:r>
    </w:p>
    <w:p>
      <w:pPr>
        <w:spacing w:before="80" w:after="160"/>
        <w:ind w:left="144"/>
        <w:shd w:val="clear" w:fill="F2F3F4"/>
      </w:pPr>
      <w:r>
        <w:rPr>
          <w:rFonts w:ascii="Consolas" w:hAnsi="Consolas"/>
          <w:color w:val="1A1A1A"/>
          <w:sz w:val="18"/>
        </w:rPr>
        <w:t>https://app.authentiscanapp.com/?url=&lt;content-url&gt;</w:t>
      </w:r>
    </w:p>
    <w:p>
      <w:r>
        <w:t>The application reads this parameter on load, opens directly on the analysis screen, pre-fills the URL, and runs the analysis automatically — providing a seamless transition from the in-page badge to the full AuthentiScan report.</w:t>
      </w:r>
    </w:p>
    <w:p>
      <w:pPr>
        <w:spacing w:before="320" w:after="160"/>
        <w:pBdr>
          <w:bottom w:val="single" w:sz="6" w:space="4" w:color="0077b6"/>
        </w:pBdr>
      </w:pPr>
      <w:r>
        <w:rPr>
          <w:b/>
          <w:color w:val="0077B6"/>
          <w:sz w:val="32"/>
        </w:rPr>
        <w:t>9. Source Code Repository</w:t>
      </w:r>
    </w:p>
    <w:p>
      <w:r>
        <w:t>The widget, its API endpoint, and the demonstration pages are maintained in the main AuthentiScan Pro repository.</w:t>
      </w:r>
    </w:p>
    <w:tbl>
      <w:tblPr>
        <w:tblStyle w:val="TableGrid"/>
        <w:tblW w:type="auto" w:w="0"/>
        <w:jc w:val="left"/>
        <w:tblLook w:firstColumn="1" w:firstRow="1" w:lastColumn="0" w:lastRow="0" w:noHBand="0" w:noVBand="1" w:val="04A0"/>
      </w:tblPr>
      <w:tblGrid>
        <w:gridCol w:w="4320"/>
        <w:gridCol w:w="4320"/>
      </w:tblGrid>
      <w:tr>
        <w:tc>
          <w:tcPr>
            <w:tcW w:type="dxa" w:w="3312"/>
            <w:shd w:val="clear" w:fill="EAF4FA"/>
          </w:tcPr>
          <w:p>
            <w:r>
              <w:rPr>
                <w:b/>
                <w:sz w:val="19"/>
              </w:rPr>
              <w:t>Repository</w:t>
            </w:r>
          </w:p>
        </w:tc>
        <w:tc>
          <w:tcPr>
            <w:tcW w:type="dxa" w:w="6768"/>
          </w:tcPr>
          <w:p>
            <w:r>
              <w:rPr>
                <w:sz w:val="19"/>
              </w:rPr>
              <w:t>https://github.com/authentiscanapp/app_v1</w:t>
            </w:r>
          </w:p>
        </w:tc>
      </w:tr>
      <w:tr>
        <w:tc>
          <w:tcPr>
            <w:tcW w:type="dxa" w:w="3312"/>
            <w:shd w:val="clear" w:fill="EAF4FA"/>
          </w:tcPr>
          <w:p>
            <w:r>
              <w:rPr>
                <w:b/>
                <w:sz w:val="19"/>
              </w:rPr>
              <w:t>Widget script</w:t>
            </w:r>
          </w:p>
        </w:tc>
        <w:tc>
          <w:tcPr>
            <w:tcW w:type="dxa" w:w="6768"/>
          </w:tcPr>
          <w:p>
            <w:r>
              <w:rPr>
                <w:sz w:val="19"/>
              </w:rPr>
              <w:t>public/widget.js</w:t>
            </w:r>
          </w:p>
        </w:tc>
      </w:tr>
      <w:tr>
        <w:tc>
          <w:tcPr>
            <w:tcW w:type="dxa" w:w="3312"/>
            <w:shd w:val="clear" w:fill="EAF4FA"/>
          </w:tcPr>
          <w:p>
            <w:r>
              <w:rPr>
                <w:b/>
                <w:sz w:val="19"/>
              </w:rPr>
              <w:t>Widget endpoint</w:t>
            </w:r>
          </w:p>
        </w:tc>
        <w:tc>
          <w:tcPr>
            <w:tcW w:type="dxa" w:w="6768"/>
          </w:tcPr>
          <w:p>
            <w:r>
              <w:rPr>
                <w:sz w:val="19"/>
              </w:rPr>
              <w:t>api/widget.js</w:t>
            </w:r>
          </w:p>
        </w:tc>
      </w:tr>
      <w:tr>
        <w:tc>
          <w:tcPr>
            <w:tcW w:type="dxa" w:w="3312"/>
            <w:shd w:val="clear" w:fill="EAF4FA"/>
          </w:tcPr>
          <w:p>
            <w:r>
              <w:rPr>
                <w:b/>
                <w:sz w:val="19"/>
              </w:rPr>
              <w:t>Documentation demo</w:t>
            </w:r>
          </w:p>
        </w:tc>
        <w:tc>
          <w:tcPr>
            <w:tcW w:type="dxa" w:w="6768"/>
          </w:tcPr>
          <w:p>
            <w:r>
              <w:rPr>
                <w:sz w:val="19"/>
              </w:rPr>
              <w:t>public/widget-demo.html</w:t>
            </w:r>
          </w:p>
        </w:tc>
      </w:tr>
      <w:tr>
        <w:tc>
          <w:tcPr>
            <w:tcW w:type="dxa" w:w="3312"/>
            <w:shd w:val="clear" w:fill="EAF4FA"/>
          </w:tcPr>
          <w:p>
            <w:r>
              <w:rPr>
                <w:b/>
                <w:sz w:val="19"/>
              </w:rPr>
              <w:t>Example integration</w:t>
            </w:r>
          </w:p>
        </w:tc>
        <w:tc>
          <w:tcPr>
            <w:tcW w:type="dxa" w:w="6768"/>
          </w:tcPr>
          <w:p>
            <w:r>
              <w:rPr>
                <w:sz w:val="19"/>
              </w:rPr>
              <w:t>public/widget-example-article.html</w:t>
            </w:r>
          </w:p>
        </w:tc>
      </w:tr>
    </w:tbl>
    <w:p>
      <w:pPr>
        <w:spacing w:before="320" w:after="160"/>
        <w:pBdr>
          <w:bottom w:val="single" w:sz="6" w:space="4" w:color="0077b6"/>
        </w:pBdr>
      </w:pPr>
      <w:r>
        <w:rPr>
          <w:b/>
          <w:color w:val="0077B6"/>
          <w:sz w:val="32"/>
        </w:rPr>
        <w:t>10. Conclusion</w:t>
      </w:r>
    </w:p>
    <w:p>
      <w:r>
        <w:t>The AuthentiScan Pro Verification Widget extends the platform's credibility analysis beyond the main application and into partner websites, presenting an authoritative, tamper-proof credibility badge that can be integrated with two lines of code. By fetching scores directly from the AuthentiScan API, isolating itself with Shadow DOM, and caching results for efficiency, the widget provides a lightweight yet trustworthy distribution channel for AuthentiScan credibility assessments.</w:t>
      </w:r>
    </w:p>
    <w:p>
      <w:pPr>
        <w:spacing w:before="480"/>
        <w:jc w:val="center"/>
      </w:pPr>
      <w:r>
        <w:rPr>
          <w:color w:val="666666"/>
          <w:sz w:val="18"/>
        </w:rPr>
        <w:t>AuthentiScan Pro  |  app.authentiscanapp.com  |  Confidential  |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