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pPr>
      <w:r>
        <w:rPr>
          <w:b/>
          <w:color w:val="667085"/>
          <w:sz w:val="22"/>
        </w:rPr>
        <w:t>PORTIER369</w:t>
      </w:r>
    </w:p>
    <w:p>
      <w:r>
        <w:rPr>
          <w:b/>
          <w:color w:val="1E3A5F"/>
          <w:sz w:val="56"/>
        </w:rPr>
        <w:t>Company Admin Guide</w:t>
      </w:r>
    </w:p>
    <w:p>
      <w:r>
        <w:rPr>
          <w:b w:val="0"/>
          <w:color w:val="344054"/>
          <w:sz w:val="26"/>
        </w:rPr>
        <w:t>Setup, people, and oversight for management companies</w:t>
      </w:r>
    </w:p>
    <w:p>
      <w:pPr>
        <w:spacing w:before="360"/>
      </w:pPr>
      <w:r>
        <w:rPr>
          <w:b w:val="0"/>
          <w:color w:val="667085"/>
          <w:sz w:val="21"/>
        </w:rPr>
        <w:t>Version 1.1 — July 2026</w:t>
      </w:r>
    </w:p>
    <w:p>
      <w:r>
        <w:rPr>
          <w:b w:val="0"/>
          <w:color w:val="667085"/>
          <w:sz w:val="21"/>
        </w:rPr>
        <w:t>portier369.com</w:t>
      </w:r>
    </w:p>
    <w:p>
      <w:r>
        <w:br w:type="page"/>
      </w:r>
    </w:p>
    <w:p>
      <w:r>
        <w:rPr>
          <w:b/>
          <w:color w:val="1E3A5F"/>
          <w:sz w:val="30"/>
        </w:rPr>
        <w:t>Contents</w:t>
      </w:r>
    </w:p>
    <w:p>
      <w:pPr>
        <w:spacing w:after="60"/>
      </w:pPr>
      <w:r>
        <w:rPr>
          <w:b w:val="0"/>
          <w:color w:val="344054"/>
          <w:sz w:val="21"/>
        </w:rPr>
        <w:t>1. Your Role</w:t>
      </w:r>
    </w:p>
    <w:p>
      <w:pPr>
        <w:spacing w:after="60"/>
      </w:pPr>
      <w:r>
        <w:rPr>
          <w:b w:val="0"/>
          <w:color w:val="344054"/>
          <w:sz w:val="21"/>
        </w:rPr>
        <w:t>2. First-Week Setup Checklist</w:t>
      </w:r>
    </w:p>
    <w:p>
      <w:pPr>
        <w:spacing w:after="60"/>
      </w:pPr>
      <w:r>
        <w:rPr>
          <w:b w:val="0"/>
          <w:color w:val="344054"/>
          <w:sz w:val="21"/>
        </w:rPr>
        <w:t>3. Your Operating Documents &amp; the Onboarding Page</w:t>
      </w:r>
    </w:p>
    <w:p>
      <w:pPr>
        <w:spacing w:after="60"/>
      </w:pPr>
      <w:r>
        <w:rPr>
          <w:b w:val="0"/>
          <w:color w:val="344054"/>
          <w:sz w:val="21"/>
        </w:rPr>
        <w:t>4. People &amp; Access</w:t>
      </w:r>
    </w:p>
    <w:p>
      <w:pPr>
        <w:spacing w:after="60"/>
      </w:pPr>
      <w:r>
        <w:rPr>
          <w:b w:val="0"/>
          <w:color w:val="344054"/>
          <w:sz w:val="21"/>
        </w:rPr>
        <w:t>5. The Executive Suite</w:t>
      </w:r>
    </w:p>
    <w:p>
      <w:pPr>
        <w:spacing w:after="60"/>
      </w:pPr>
      <w:r>
        <w:rPr>
          <w:b w:val="0"/>
          <w:color w:val="344054"/>
          <w:sz w:val="21"/>
        </w:rPr>
        <w:t>6. How Owner Messages Flow (and Where You Fit)</w:t>
      </w:r>
    </w:p>
    <w:p>
      <w:pPr>
        <w:spacing w:after="60"/>
      </w:pPr>
      <w:r>
        <w:rPr>
          <w:b w:val="0"/>
          <w:color w:val="344054"/>
          <w:sz w:val="21"/>
        </w:rPr>
        <w:t>7. White-Label Email: Everything Sends As Your Company</w:t>
      </w:r>
    </w:p>
    <w:p>
      <w:pPr>
        <w:spacing w:after="60"/>
      </w:pPr>
      <w:r>
        <w:rPr>
          <w:b w:val="0"/>
          <w:color w:val="344054"/>
          <w:sz w:val="21"/>
        </w:rPr>
        <w:t>8. Association Operating &amp; Governing Documents</w:t>
      </w:r>
    </w:p>
    <w:p>
      <w:pPr>
        <w:spacing w:after="60"/>
      </w:pPr>
      <w:r>
        <w:rPr>
          <w:b w:val="0"/>
          <w:color w:val="344054"/>
          <w:sz w:val="21"/>
        </w:rPr>
        <w:t>9. Financial Guardrails</w:t>
      </w:r>
    </w:p>
    <w:p>
      <w:pPr>
        <w:spacing w:after="60"/>
      </w:pPr>
      <w:r>
        <w:rPr>
          <w:b w:val="0"/>
          <w:color w:val="344054"/>
          <w:sz w:val="21"/>
        </w:rPr>
        <w:t>10. Quick Reference</w:t>
      </w:r>
    </w:p>
    <w:p>
      <w:r>
        <w:br w:type="page"/>
      </w:r>
    </w:p>
    <w:p>
      <w:pPr>
        <w:pStyle w:val="Heading1"/>
      </w:pPr>
      <w:r>
        <w:t>1. Your Role</w:t>
      </w:r>
    </w:p>
    <w:p>
      <w:r>
        <w:rPr>
          <w:b w:val="0"/>
        </w:rPr>
        <w:t>As company admin you run the management company on Portier369: people, settings, and oversight across every association. Managers run daily operations; you set them up, watch performance, and step in with the executive views. You sign in at portier369.com using the Company admin entry point on the login page (also linked in the site footer).</w:t>
      </w:r>
    </w:p>
    <w:p>
      <w:pPr>
        <w:pStyle w:val="Heading1"/>
      </w:pPr>
      <w:r>
        <w:t>2. First-Week Setup Checklist</w:t>
      </w:r>
    </w:p>
    <w:p>
      <w:pPr>
        <w:pStyle w:val="ListBullet"/>
      </w:pPr>
      <w:r>
        <w:rPr>
          <w:b/>
        </w:rPr>
        <w:t>Company settings</w:t>
      </w:r>
      <w:r>
        <w:rPr>
          <w:b w:val="0"/>
        </w:rPr>
        <w:t xml:space="preserve"> (Settings): company name, logo/branding, and — critical — the </w:t>
      </w:r>
      <w:r>
        <w:rPr>
          <w:b/>
        </w:rPr>
        <w:t>Company Name, Support Email, and Support Phone</w:t>
      </w:r>
      <w:r>
        <w:rPr>
          <w:b w:val="0"/>
        </w:rPr>
        <w:t>. These appear on every owner’s dashboard contact card, are the final fallback for owner messages, and now also brand every email the platform sends on your behalf (see White-Label Email below). Fill all three in before inviting anyone.</w:t>
      </w:r>
    </w:p>
    <w:p>
      <w:pPr>
        <w:pStyle w:val="ListBullet"/>
      </w:pPr>
      <w:r>
        <w:rPr>
          <w:b/>
        </w:rPr>
        <w:t>Invite your managers</w:t>
      </w:r>
      <w:r>
        <w:rPr>
          <w:b w:val="0"/>
        </w:rPr>
        <w:t xml:space="preserve"> (Settings → Invite a staff member): enter their email and role; they receive an invitation link to set their password — the invite email includes a link to the Manager Runbook. Pending invitations are listed with expiry dates.</w:t>
      </w:r>
    </w:p>
    <w:p>
      <w:pPr>
        <w:pStyle w:val="ListBullet"/>
      </w:pPr>
      <w:r>
        <w:rPr>
          <w:b/>
        </w:rPr>
        <w:t>Create associations and import their data</w:t>
      </w:r>
      <w:r>
        <w:rPr>
          <w:b w:val="0"/>
        </w:rPr>
        <w:t xml:space="preserve"> (owners, units, opening balances) via CSV import — or have managers do it.</w:t>
      </w:r>
    </w:p>
    <w:p>
      <w:pPr>
        <w:pStyle w:val="ListBullet"/>
      </w:pPr>
      <w:r>
        <w:rPr>
          <w:b/>
        </w:rPr>
        <w:t>Upload each association’s operating documents</w:t>
      </w:r>
      <w:r>
        <w:rPr>
          <w:b w:val="0"/>
        </w:rPr>
        <w:t xml:space="preserve"> (association → Documents tab): Declaration/CC&amp;Rs, Bylaws, Articles of Incorporation, and Rules &amp; Regulations are required; the current operating budget and master insurance policy are optional. Onboarding is not complete until every association has all four required documents on file (see Section 8).</w:t>
      </w:r>
    </w:p>
    <w:p>
      <w:pPr>
        <w:pStyle w:val="ListBullet"/>
      </w:pPr>
      <w:r>
        <w:rPr>
          <w:b/>
        </w:rPr>
        <w:t>Assign a Site Manager</w:t>
      </w:r>
      <w:r>
        <w:rPr>
          <w:b w:val="0"/>
        </w:rPr>
        <w:t xml:space="preserve"> on every association (association → Profile tab). This determines which manager receives owner-portal messages. Unassigned associations route messages to YOU.</w:t>
      </w:r>
    </w:p>
    <w:p>
      <w:pPr>
        <w:pStyle w:val="ListBullet"/>
      </w:pPr>
      <w:r>
        <w:rPr>
          <w:b/>
        </w:rPr>
        <w:t>Payment instructions</w:t>
      </w:r>
      <w:r>
        <w:rPr>
          <w:b w:val="0"/>
        </w:rPr>
        <w:t xml:space="preserve"> per association (same Profile tab): what owners see on How to Pay. For online payments, complete Stripe onboarding on the association’s Payments tab — each association connects its own Stripe account and funds settle to its own bank.</w:t>
      </w:r>
    </w:p>
    <w:p>
      <w:pPr>
        <w:pStyle w:val="ListBullet"/>
      </w:pPr>
      <w:r>
        <w:rPr>
          <w:b/>
        </w:rPr>
        <w:t>Invite owners and board members</w:t>
      </w:r>
      <w:r>
        <w:rPr>
          <w:b w:val="0"/>
        </w:rPr>
        <w:t>: owners are invited from their owner record (portal activation is tracked under Owner Portal Activation); mark board members as such so they receive the board portal.</w:t>
      </w:r>
    </w:p>
    <w:p>
      <w:pPr>
        <w:pStyle w:val="ListBullet"/>
      </w:pPr>
      <w:r>
        <w:rPr>
          <w:b/>
        </w:rPr>
        <w:t>Set the AI key</w:t>
      </w:r>
      <w:r>
        <w:rPr>
          <w:b w:val="0"/>
        </w:rPr>
        <w:t xml:space="preserve"> (Settings → AI) to switch on AI features platform-wide: violation letters, communications copilot, and the role assistants.</w:t>
      </w:r>
    </w:p>
    <w:p>
      <w:pPr>
        <w:pStyle w:val="Heading1"/>
      </w:pPr>
      <w:r>
        <w:t>3. Your Operating Documents &amp; the Onboarding Page</w:t>
      </w:r>
    </w:p>
    <w:p>
      <w:r>
        <w:rPr>
          <w:b w:val="0"/>
        </w:rPr>
        <w:t xml:space="preserve">The Onboarding page tracks your setup from first login to launch: create an association, add units, add owners, upload operating documents, and invite your team — with a progress bar across the top. It now leads with a </w:t>
      </w:r>
      <w:r>
        <w:rPr>
          <w:b/>
        </w:rPr>
        <w:t>Your operating documents</w:t>
      </w:r>
      <w:r>
        <w:rPr>
          <w:b w:val="0"/>
        </w:rPr>
        <w:t xml:space="preserve"> card linking this Company Admin Guide and the Manager Runbook as PDFs. Keep them open while you set up; they are also published at </w:t>
      </w:r>
      <w:r>
        <w:rPr>
          <w:b/>
        </w:rPr>
        <w:t>portier369.com/manuals/</w:t>
      </w:r>
      <w:r>
        <w:rPr>
          <w:b w:val="0"/>
        </w:rPr>
        <w:t xml:space="preserve"> and included in your welcome email, so links work even before first sign-in.</w:t>
      </w:r>
    </w:p>
    <w:p>
      <w:pPr>
        <w:pStyle w:val="Heading1"/>
      </w:pPr>
      <w:r>
        <w:t>4. People &amp; Access</w:t>
      </w:r>
    </w:p>
    <w:p>
      <w:pPr>
        <w:pStyle w:val="ListBullet"/>
      </w:pPr>
      <w:r>
        <w:rPr>
          <w:b/>
        </w:rPr>
        <w:t>Roles</w:t>
      </w:r>
      <w:r>
        <w:rPr>
          <w:b w:val="0"/>
        </w:rPr>
        <w:t>: Company Admin → Manager → Board / Owner → Vendor. Every account is invitation-based; there is no public sign-up.</w:t>
      </w:r>
    </w:p>
    <w:p>
      <w:pPr>
        <w:pStyle w:val="ListBullet"/>
      </w:pPr>
      <w:r>
        <w:rPr>
          <w:b/>
        </w:rPr>
        <w:t>Managers page</w:t>
      </w:r>
      <w:r>
        <w:rPr>
          <w:b w:val="0"/>
        </w:rPr>
        <w:t xml:space="preserve"> — each manager’s workload and portfolio.</w:t>
      </w:r>
    </w:p>
    <w:p>
      <w:pPr>
        <w:pStyle w:val="ListBullet"/>
      </w:pPr>
      <w:r>
        <w:rPr>
          <w:b/>
        </w:rPr>
        <w:t>Password resets</w:t>
      </w:r>
      <w:r>
        <w:rPr>
          <w:b w:val="0"/>
        </w:rPr>
        <w:t xml:space="preserve"> — anyone can self-serve via Forgot password on the login page; you can also issue a temporary password from Settings for any staff member.</w:t>
      </w:r>
    </w:p>
    <w:p>
      <w:pPr>
        <w:pStyle w:val="ListBullet"/>
      </w:pPr>
      <w:r>
        <w:rPr>
          <w:b/>
        </w:rPr>
        <w:t>Vendors</w:t>
      </w:r>
      <w:r>
        <w:rPr>
          <w:b w:val="0"/>
        </w:rPr>
        <w:t xml:space="preserve"> — invite vendors so they get their own portal: assignments, schedule, status updates from the field, and payment visibility. No more phone tag.</w:t>
      </w:r>
    </w:p>
    <w:p>
      <w:pPr>
        <w:pStyle w:val="Heading1"/>
      </w:pPr>
      <w:r>
        <w:t>5. The Executive Suite</w:t>
      </w:r>
    </w:p>
    <w:p>
      <w:r>
        <w:rPr>
          <w:b w:val="0"/>
        </w:rPr>
        <w:t>Your sidebar is a command deck across the whole company:</w:t>
      </w:r>
    </w:p>
    <w:tbl>
      <w:tblPr>
        <w:tblW w:type="auto" w:w="0"/>
        <w:tblLayout w:type="fixed"/>
        <w:tblLook w:firstColumn="1" w:firstRow="1" w:lastColumn="0" w:lastRow="0" w:noHBand="0" w:noVBand="1" w:val="04A0"/>
        <w:tblBorders>
          <w:top w:val="single" w:sz="4" w:color="D0D5DD"/>
          <w:left w:val="single" w:sz="4" w:color="D0D5DD"/>
          <w:bottom w:val="single" w:sz="4" w:color="D0D5DD"/>
          <w:right w:val="single" w:sz="4" w:color="D0D5DD"/>
          <w:insideH w:val="single" w:sz="4" w:color="D0D5DD"/>
          <w:insideV w:val="single" w:sz="4" w:color="D0D5DD"/>
        </w:tblBorders>
      </w:tblPr>
      <w:tblGrid>
        <w:gridCol w:w="4680"/>
        <w:gridCol w:w="4680"/>
      </w:tblGrid>
      <w:tr>
        <w:tc>
          <w:tcPr>
            <w:tcW w:type="dxa" w:w="4176"/>
            <w:shd w:val="clear" w:fill="EEF2F7"/>
          </w:tcPr>
          <w:p>
            <w:r>
              <w:rPr>
                <w:b/>
              </w:rPr>
              <w:t>Page</w:t>
            </w:r>
          </w:p>
        </w:tc>
        <w:tc>
          <w:tcPr>
            <w:tcW w:type="dxa" w:w="5184"/>
            <w:shd w:val="clear" w:fill="EEF2F7"/>
          </w:tcPr>
          <w:p>
            <w:r>
              <w:rPr>
                <w:b/>
              </w:rPr>
              <w:t>What it answers</w:t>
            </w:r>
          </w:p>
        </w:tc>
      </w:tr>
      <w:tr>
        <w:tc>
          <w:tcPr>
            <w:tcW w:type="dxa" w:w="4176"/>
          </w:tcPr>
          <w:p>
            <w:r>
              <w:rPr>
                <w:b w:val="0"/>
              </w:rPr>
              <w:t>Overview</w:t>
            </w:r>
          </w:p>
        </w:tc>
        <w:tc>
          <w:tcPr>
            <w:tcW w:type="dxa" w:w="5184"/>
          </w:tcPr>
          <w:p>
            <w:r>
              <w:rPr>
                <w:b w:val="0"/>
              </w:rPr>
              <w:t>Executive dashboard: doors, owners, emergencies, collections, per-property health scores</w:t>
            </w:r>
          </w:p>
        </w:tc>
      </w:tr>
      <w:tr>
        <w:tc>
          <w:tcPr>
            <w:tcW w:type="dxa" w:w="4176"/>
          </w:tcPr>
          <w:p>
            <w:r>
              <w:rPr>
                <w:b w:val="0"/>
              </w:rPr>
              <w:t>AI Command Center</w:t>
            </w:r>
          </w:p>
        </w:tc>
        <w:tc>
          <w:tcPr>
            <w:tcW w:type="dxa" w:w="5184"/>
          </w:tcPr>
          <w:p>
            <w:r>
              <w:rPr>
                <w:b w:val="0"/>
              </w:rPr>
              <w:t>Rule-based insights: what needs attention now, trends, expiring contracts</w:t>
            </w:r>
          </w:p>
        </w:tc>
      </w:tr>
      <w:tr>
        <w:tc>
          <w:tcPr>
            <w:tcW w:type="dxa" w:w="4176"/>
          </w:tcPr>
          <w:p>
            <w:r>
              <w:rPr>
                <w:b w:val="0"/>
              </w:rPr>
              <w:t>Performance</w:t>
            </w:r>
          </w:p>
        </w:tc>
        <w:tc>
          <w:tcPr>
            <w:tcW w:type="dxa" w:w="5184"/>
          </w:tcPr>
          <w:p>
            <w:r>
              <w:rPr>
                <w:b w:val="0"/>
              </w:rPr>
              <w:t>Manager rankings: resolution speed, closed volume, inspection completion</w:t>
            </w:r>
          </w:p>
        </w:tc>
      </w:tr>
      <w:tr>
        <w:tc>
          <w:tcPr>
            <w:tcW w:type="dxa" w:w="4176"/>
          </w:tcPr>
          <w:p>
            <w:r>
              <w:rPr>
                <w:b w:val="0"/>
              </w:rPr>
              <w:t>Portfolio Health</w:t>
            </w:r>
          </w:p>
        </w:tc>
        <w:tc>
          <w:tcPr>
            <w:tcW w:type="dxa" w:w="5184"/>
          </w:tcPr>
          <w:p>
            <w:r>
              <w:rPr>
                <w:b w:val="0"/>
              </w:rPr>
              <w:t>Health scores across every association</w:t>
            </w:r>
          </w:p>
        </w:tc>
      </w:tr>
      <w:tr>
        <w:tc>
          <w:tcPr>
            <w:tcW w:type="dxa" w:w="4176"/>
          </w:tcPr>
          <w:p>
            <w:r>
              <w:rPr>
                <w:b w:val="0"/>
              </w:rPr>
              <w:t>Financials</w:t>
            </w:r>
          </w:p>
        </w:tc>
        <w:tc>
          <w:tcPr>
            <w:tcW w:type="dxa" w:w="5184"/>
          </w:tcPr>
          <w:p>
            <w:r>
              <w:rPr>
                <w:b w:val="0"/>
              </w:rPr>
              <w:t>Company-wide income/expense, A/R, delinquencies, budget vs actual</w:t>
            </w:r>
          </w:p>
        </w:tc>
      </w:tr>
      <w:tr>
        <w:tc>
          <w:tcPr>
            <w:tcW w:type="dxa" w:w="4176"/>
          </w:tcPr>
          <w:p>
            <w:r>
              <w:rPr>
                <w:b w:val="0"/>
              </w:rPr>
              <w:t>Command Center</w:t>
            </w:r>
          </w:p>
        </w:tc>
        <w:tc>
          <w:tcPr>
            <w:tcW w:type="dxa" w:w="5184"/>
          </w:tcPr>
          <w:p>
            <w:r>
              <w:rPr>
                <w:b w:val="0"/>
              </w:rPr>
              <w:t>Payment operations: collections today, pending ACH, reconciliation, exceptions</w:t>
            </w:r>
          </w:p>
        </w:tc>
      </w:tr>
      <w:tr>
        <w:tc>
          <w:tcPr>
            <w:tcW w:type="dxa" w:w="4176"/>
          </w:tcPr>
          <w:p>
            <w:r>
              <w:rPr>
                <w:b w:val="0"/>
              </w:rPr>
              <w:t>Compliance</w:t>
            </w:r>
          </w:p>
        </w:tc>
        <w:tc>
          <w:tcPr>
            <w:tcW w:type="dxa" w:w="5184"/>
          </w:tcPr>
          <w:p>
            <w:r>
              <w:rPr>
                <w:b w:val="0"/>
              </w:rPr>
              <w:t>Vendor COIs/licenses expiring, W-9 gaps, statutory inspections due</w:t>
            </w:r>
          </w:p>
        </w:tc>
      </w:tr>
      <w:tr>
        <w:tc>
          <w:tcPr>
            <w:tcW w:type="dxa" w:w="4176"/>
          </w:tcPr>
          <w:p>
            <w:r>
              <w:rPr>
                <w:b w:val="0"/>
              </w:rPr>
              <w:t>Work Orders / Violations / ARC</w:t>
            </w:r>
          </w:p>
        </w:tc>
        <w:tc>
          <w:tcPr>
            <w:tcW w:type="dxa" w:w="5184"/>
          </w:tcPr>
          <w:p>
            <w:r>
              <w:rPr>
                <w:b w:val="0"/>
              </w:rPr>
              <w:t>Company-wide oversight of operations</w:t>
            </w:r>
          </w:p>
        </w:tc>
      </w:tr>
      <w:tr>
        <w:tc>
          <w:tcPr>
            <w:tcW w:type="dxa" w:w="4176"/>
          </w:tcPr>
          <w:p>
            <w:r>
              <w:rPr>
                <w:b w:val="0"/>
              </w:rPr>
              <w:t>Billing &amp; Doors / Revenue</w:t>
            </w:r>
          </w:p>
        </w:tc>
        <w:tc>
          <w:tcPr>
            <w:tcW w:type="dxa" w:w="5184"/>
          </w:tcPr>
          <w:p>
            <w:r>
              <w:rPr>
                <w:b w:val="0"/>
              </w:rPr>
              <w:t>Your Portier369 subscription usage and management-fee revenue</w:t>
            </w:r>
          </w:p>
        </w:tc>
      </w:tr>
      <w:tr>
        <w:tc>
          <w:tcPr>
            <w:tcW w:type="dxa" w:w="4176"/>
          </w:tcPr>
          <w:p>
            <w:r>
              <w:rPr>
                <w:b w:val="0"/>
              </w:rPr>
              <w:t>Communications</w:t>
            </w:r>
          </w:p>
        </w:tc>
        <w:tc>
          <w:tcPr>
            <w:tcW w:type="dxa" w:w="5184"/>
          </w:tcPr>
          <w:p>
            <w:r>
              <w:rPr>
                <w:b w:val="0"/>
              </w:rPr>
              <w:t>Everything sent, company-wide</w:t>
            </w:r>
          </w:p>
        </w:tc>
      </w:tr>
      <w:tr>
        <w:tc>
          <w:tcPr>
            <w:tcW w:type="dxa" w:w="4176"/>
          </w:tcPr>
          <w:p>
            <w:r>
              <w:rPr>
                <w:b w:val="0"/>
              </w:rPr>
              <w:t>Audit Logs</w:t>
            </w:r>
          </w:p>
        </w:tc>
        <w:tc>
          <w:tcPr>
            <w:tcW w:type="dxa" w:w="5184"/>
          </w:tcPr>
          <w:p>
            <w:r>
              <w:rPr>
                <w:b w:val="0"/>
              </w:rPr>
              <w:t>Who did what, when</w:t>
            </w:r>
          </w:p>
        </w:tc>
      </w:tr>
    </w:tbl>
    <w:p>
      <w:pPr>
        <w:spacing w:after="40"/>
      </w:pPr>
    </w:p>
    <w:p>
      <w:pPr>
        <w:pStyle w:val="Heading1"/>
      </w:pPr>
      <w:r>
        <w:t>6. How Owner Messages Flow (and Where You Fit)</w:t>
      </w:r>
    </w:p>
    <w:p>
      <w:r>
        <w:rPr>
          <w:b w:val="0"/>
        </w:rPr>
        <w:t>Owners message from their portal; the assigned manager gets it as a regular email with Reply-To set to the owner. You are the fallback: if an association has no Site Manager assigned, those messages come to the company admins. Watch the Communications page for volume and gaps — a spike from one association usually means something needs attention there.</w:t>
      </w:r>
    </w:p>
    <w:p>
      <w:pPr>
        <w:pStyle w:val="Heading1"/>
      </w:pPr>
      <w:r>
        <w:t>7. White-Label Email: Everything Sends As Your Company</w:t>
      </w:r>
    </w:p>
    <w:p>
      <w:r>
        <w:rPr>
          <w:b w:val="0"/>
        </w:rPr>
        <w:t xml:space="preserve">Every owner- and vendor-facing email the platform sends — insurance expiration reminders, maintenance reminders, password resets, vendor blasts — presents as </w:t>
      </w:r>
      <w:r>
        <w:rPr>
          <w:b/>
        </w:rPr>
        <w:t>your management company</w:t>
      </w:r>
      <w:r>
        <w:rPr>
          <w:b w:val="0"/>
        </w:rPr>
        <w:t>, not Portier369:</w:t>
      </w:r>
    </w:p>
    <w:p>
      <w:pPr>
        <w:pStyle w:val="ListBullet"/>
      </w:pPr>
      <w:r>
        <w:rPr>
          <w:b w:val="0"/>
        </w:rPr>
        <w:t xml:space="preserve">The </w:t>
      </w:r>
      <w:r>
        <w:rPr>
          <w:b/>
        </w:rPr>
        <w:t>sender name</w:t>
      </w:r>
      <w:r>
        <w:rPr>
          <w:b w:val="0"/>
        </w:rPr>
        <w:t xml:space="preserve"> is your Company Name from portfolio settings.</w:t>
      </w:r>
    </w:p>
    <w:p>
      <w:pPr>
        <w:pStyle w:val="ListBullet"/>
      </w:pPr>
      <w:r>
        <w:rPr>
          <w:b/>
        </w:rPr>
        <w:t>Reply-To</w:t>
      </w:r>
      <w:r>
        <w:rPr>
          <w:b w:val="0"/>
        </w:rPr>
        <w:t xml:space="preserve"> is the assigned manager for that association — or your support inbox when no manager applies — so replies land with a person, never a no-reply void.</w:t>
      </w:r>
    </w:p>
    <w:p>
      <w:pPr>
        <w:pStyle w:val="ListBullet"/>
      </w:pPr>
      <w:r>
        <w:rPr>
          <w:b/>
        </w:rPr>
        <w:t>Signatures</w:t>
      </w:r>
      <w:r>
        <w:rPr>
          <w:b w:val="0"/>
        </w:rPr>
        <w:t xml:space="preserve"> use your company name.</w:t>
      </w:r>
    </w:p>
    <w:p>
      <w:pPr>
        <w:pStyle w:val="ListBullet"/>
      </w:pPr>
      <w:r>
        <w:rPr>
          <w:b w:val="0"/>
        </w:rPr>
        <w:t>The sending address itself stays on Portier369’s verified domain, so deliverability (SPF/DKIM) is already handled — nothing for your IT to configure.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val="clear" w:fill="EFF6FC"/>
          </w:tcPr>
          <w:p>
            <w:r>
              <w:rPr>
                <w:b/>
                <w:color w:val="1E3A5F"/>
              </w:rPr>
              <w:t>Do this first</w:t>
            </w:r>
          </w:p>
          <w:p>
            <w:r>
              <w:rPr>
                <w:b w:val="0"/>
              </w:rPr>
              <w:t xml:space="preserve">White-labeling only works if Settings → </w:t>
            </w:r>
            <w:r>
              <w:rPr>
                <w:b/>
              </w:rPr>
              <w:t>Company Name</w:t>
            </w:r>
            <w:r>
              <w:rPr>
                <w:b w:val="0"/>
              </w:rPr>
              <w:t xml:space="preserve">, </w:t>
            </w:r>
            <w:r>
              <w:rPr>
                <w:b/>
              </w:rPr>
              <w:t>Support Email</w:t>
            </w:r>
            <w:r>
              <w:rPr>
                <w:b w:val="0"/>
              </w:rPr>
              <w:t xml:space="preserve">, and </w:t>
            </w:r>
            <w:r>
              <w:rPr>
                <w:b/>
              </w:rPr>
              <w:t>Support Phone</w:t>
            </w:r>
            <w:r>
              <w:rPr>
                <w:b w:val="0"/>
              </w:rPr>
              <w:t xml:space="preserve"> are filled in. Leave them blank and owner email falls back to generic platform branding — fill in all three before inviting your first owner.</w:t>
            </w:r>
          </w:p>
        </w:tc>
      </w:tr>
    </w:tbl>
    <w:p>
      <w:pPr>
        <w:spacing w:after="40"/>
      </w:pPr>
    </w:p>
    <w:p>
      <w:pPr>
        <w:pStyle w:val="Heading1"/>
      </w:pPr>
      <w:r>
        <w:t>8. Association Operating &amp; Governing Documents</w:t>
      </w:r>
    </w:p>
    <w:p>
      <w:r>
        <w:rPr>
          <w:b w:val="0"/>
        </w:rPr>
        <w:t xml:space="preserve">Every association now has a </w:t>
      </w:r>
      <w:r>
        <w:rPr>
          <w:b/>
        </w:rPr>
        <w:t>Documents tab</w:t>
      </w:r>
      <w:r>
        <w:rPr>
          <w:b w:val="0"/>
        </w:rPr>
        <w:t xml:space="preserve"> (association → Documents) with a required checklist so no client goes live without its governing documents on file:</w:t>
      </w:r>
    </w:p>
    <w:p>
      <w:pPr>
        <w:pStyle w:val="ListBullet"/>
      </w:pPr>
      <w:r>
        <w:rPr>
          <w:b/>
        </w:rPr>
        <w:t>Required</w:t>
      </w:r>
      <w:r>
        <w:rPr>
          <w:b w:val="0"/>
        </w:rPr>
        <w:t>: Declaration / CC&amp;Rs, Bylaws, Articles of Incorporation, Rules &amp; Regulations.</w:t>
      </w:r>
    </w:p>
    <w:p>
      <w:pPr>
        <w:pStyle w:val="ListBullet"/>
      </w:pPr>
      <w:r>
        <w:rPr>
          <w:b/>
        </w:rPr>
        <w:t>Optional</w:t>
      </w:r>
      <w:r>
        <w:rPr>
          <w:b w:val="0"/>
        </w:rPr>
        <w:t>: Current Operating Budget, Master Insurance Policy.</w:t>
      </w:r>
    </w:p>
    <w:p>
      <w:pPr>
        <w:pStyle w:val="ListBullet"/>
      </w:pPr>
      <w:r>
        <w:rPr>
          <w:b w:val="0"/>
        </w:rPr>
        <w:t xml:space="preserve">Upload or replace one file at a time (max 10 MB); a status chip shows </w:t>
      </w:r>
      <w:r>
        <w:rPr>
          <w:b/>
        </w:rPr>
        <w:t>“N of 4 required on file”</w:t>
      </w:r>
      <w:r>
        <w:rPr>
          <w:b w:val="0"/>
        </w:rPr>
        <w:t xml:space="preserve"> at a glance, and a general documents list with upload sits below the checklist.</w:t>
      </w:r>
    </w:p>
    <w:p>
      <w:pPr>
        <w:pStyle w:val="ListBullet"/>
      </w:pPr>
      <w:r>
        <w:rPr>
          <w:b w:val="0"/>
        </w:rPr>
        <w:t xml:space="preserve">Uploads surface </w:t>
      </w:r>
      <w:r>
        <w:rPr>
          <w:b/>
        </w:rPr>
        <w:t>automatically under Governing Documents</w:t>
      </w:r>
      <w:r>
        <w:rPr>
          <w:b w:val="0"/>
        </w:rPr>
        <w:t xml:space="preserve"> in the owner and board portals — no extra sharing step.</w:t>
      </w:r>
    </w:p>
    <w:p>
      <w:pPr>
        <w:pStyle w:val="ListBullet"/>
      </w:pPr>
      <w:r>
        <w:rPr>
          <w:b w:val="0"/>
        </w:rPr>
        <w:t>Onboarding step 4 (</w:t>
      </w:r>
      <w:r>
        <w:rPr>
          <w:b/>
        </w:rPr>
        <w:t>Upload operating documents</w:t>
      </w:r>
      <w:r>
        <w:rPr>
          <w:b w:val="0"/>
        </w:rPr>
        <w:t>) lists each association still missing required documents, with direct links, and only completes when every client has all four.</w:t>
      </w:r>
    </w:p>
    <w:p>
      <w:pPr>
        <w:pStyle w:val="Heading1"/>
      </w:pPr>
      <w:r>
        <w:t>9. Financial Guardrails</w:t>
      </w:r>
    </w:p>
    <w:p>
      <w:pPr>
        <w:pStyle w:val="ListBullet"/>
      </w:pPr>
      <w:r>
        <w:rPr>
          <w:b w:val="0"/>
        </w:rPr>
        <w:t>Money is double-entry throughout; every owner payment, charge, and vendor bill posts to journals — auditable under Audit Logs and reportable under Financials.</w:t>
      </w:r>
    </w:p>
    <w:p>
      <w:pPr>
        <w:pStyle w:val="ListBullet"/>
      </w:pPr>
      <w:r>
        <w:rPr>
          <w:b w:val="0"/>
        </w:rPr>
        <w:t>Online payments use per-association Stripe accounts: each association’s dues settle directly to its own bank account. Company funds and association trust funds are never commingled.</w:t>
      </w:r>
    </w:p>
    <w:p>
      <w:pPr>
        <w:pStyle w:val="ListBullet"/>
      </w:pPr>
      <w:r>
        <w:rPr>
          <w:b w:val="0"/>
        </w:rPr>
        <w:t>Bank accounts carry fund types (operating / reserve / special assessment…); cross-fund transfers require explicit authorization.</w:t>
      </w:r>
    </w:p>
    <w:p>
      <w:pPr>
        <w:pStyle w:val="Heading1"/>
      </w:pPr>
      <w:r>
        <w:t>10. Quick Reference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val="clear" w:fill="EFF6FC"/>
          </w:tcPr>
          <w:p>
            <w:r>
              <w:rPr>
                <w:b/>
                <w:color w:val="1E3A5F"/>
              </w:rPr>
              <w:t>The one setting people forget</w:t>
            </w:r>
          </w:p>
          <w:p>
            <w:r>
              <w:rPr>
                <w:b w:val="0"/>
              </w:rPr>
              <w:t>Site Manager on each association. It is the difference between owner messages landing with the right manager versus piling into your own inbox.</w:t>
            </w:r>
          </w:p>
        </w:tc>
      </w:tr>
    </w:tbl>
    <w:p>
      <w:pPr>
        <w:spacing w:after="40"/>
      </w:pPr>
    </w:p>
    <w:tbl>
      <w:tblPr>
        <w:tblW w:type="auto" w:w="0"/>
        <w:tblLayout w:type="fixed"/>
        <w:tblLook w:firstColumn="1" w:firstRow="1" w:lastColumn="0" w:lastRow="0" w:noHBand="0" w:noVBand="1" w:val="04A0"/>
        <w:tblBorders>
          <w:top w:val="single" w:sz="4" w:color="D0D5DD"/>
          <w:left w:val="single" w:sz="4" w:color="D0D5DD"/>
          <w:bottom w:val="single" w:sz="4" w:color="D0D5DD"/>
          <w:right w:val="single" w:sz="4" w:color="D0D5DD"/>
          <w:insideH w:val="single" w:sz="4" w:color="D0D5DD"/>
          <w:insideV w:val="single" w:sz="4" w:color="D0D5DD"/>
        </w:tblBorders>
      </w:tblPr>
      <w:tblGrid>
        <w:gridCol w:w="4680"/>
        <w:gridCol w:w="4680"/>
      </w:tblGrid>
      <w:tr>
        <w:tc>
          <w:tcPr>
            <w:tcW w:type="dxa" w:w="4176"/>
            <w:shd w:val="clear" w:fill="EEF2F7"/>
          </w:tcPr>
          <w:p>
            <w:r>
              <w:rPr>
                <w:b/>
              </w:rPr>
              <w:t>I need to…</w:t>
            </w:r>
          </w:p>
        </w:tc>
        <w:tc>
          <w:tcPr>
            <w:tcW w:type="dxa" w:w="5184"/>
            <w:shd w:val="clear" w:fill="EEF2F7"/>
          </w:tcPr>
          <w:p>
            <w:r>
              <w:rPr>
                <w:b/>
              </w:rPr>
              <w:t>Go to</w:t>
            </w:r>
          </w:p>
        </w:tc>
      </w:tr>
      <w:tr>
        <w:tc>
          <w:tcPr>
            <w:tcW w:type="dxa" w:w="4176"/>
          </w:tcPr>
          <w:p>
            <w:r>
              <w:rPr>
                <w:b w:val="0"/>
              </w:rPr>
              <w:t>Add a new manager</w:t>
            </w:r>
          </w:p>
        </w:tc>
        <w:tc>
          <w:tcPr>
            <w:tcW w:type="dxa" w:w="5184"/>
          </w:tcPr>
          <w:p>
            <w:r>
              <w:rPr>
                <w:b w:val="0"/>
              </w:rPr>
              <w:t>Settings → Invite a staff member</w:t>
            </w:r>
          </w:p>
        </w:tc>
      </w:tr>
      <w:tr>
        <w:tc>
          <w:tcPr>
            <w:tcW w:type="dxa" w:w="4176"/>
          </w:tcPr>
          <w:p>
            <w:r>
              <w:rPr>
                <w:b w:val="0"/>
              </w:rPr>
              <w:t>Reset someone’s password</w:t>
            </w:r>
          </w:p>
        </w:tc>
        <w:tc>
          <w:tcPr>
            <w:tcW w:type="dxa" w:w="5184"/>
          </w:tcPr>
          <w:p>
            <w:r>
              <w:rPr>
                <w:b w:val="0"/>
              </w:rPr>
              <w:t>Settings (temporary password) or have them use Forgot password</w:t>
            </w:r>
          </w:p>
        </w:tc>
      </w:tr>
      <w:tr>
        <w:tc>
          <w:tcPr>
            <w:tcW w:type="dxa" w:w="4176"/>
          </w:tcPr>
          <w:p>
            <w:r>
              <w:rPr>
                <w:b w:val="0"/>
              </w:rPr>
              <w:t>Set the support email owners see</w:t>
            </w:r>
          </w:p>
        </w:tc>
        <w:tc>
          <w:tcPr>
            <w:tcW w:type="dxa" w:w="5184"/>
          </w:tcPr>
          <w:p>
            <w:r>
              <w:rPr>
                <w:b w:val="0"/>
              </w:rPr>
              <w:t>Settings → Support Email</w:t>
            </w:r>
          </w:p>
        </w:tc>
      </w:tr>
      <w:tr>
        <w:tc>
          <w:tcPr>
            <w:tcW w:type="dxa" w:w="4176"/>
          </w:tcPr>
          <w:p>
            <w:r>
              <w:rPr>
                <w:b w:val="0"/>
              </w:rPr>
              <w:t>Control how owner emails are branded</w:t>
            </w:r>
          </w:p>
        </w:tc>
        <w:tc>
          <w:tcPr>
            <w:tcW w:type="dxa" w:w="5184"/>
          </w:tcPr>
          <w:p>
            <w:r>
              <w:rPr>
                <w:b w:val="0"/>
              </w:rPr>
              <w:t>Settings → Company Name / Support Email / Support Phone</w:t>
            </w:r>
          </w:p>
        </w:tc>
      </w:tr>
      <w:tr>
        <w:tc>
          <w:tcPr>
            <w:tcW w:type="dxa" w:w="4176"/>
          </w:tcPr>
          <w:p>
            <w:r>
              <w:rPr>
                <w:b w:val="0"/>
              </w:rPr>
              <w:t>Route owner messages to the right manager</w:t>
            </w:r>
          </w:p>
        </w:tc>
        <w:tc>
          <w:tcPr>
            <w:tcW w:type="dxa" w:w="5184"/>
          </w:tcPr>
          <w:p>
            <w:r>
              <w:rPr>
                <w:b w:val="0"/>
              </w:rPr>
              <w:t>Association → Profile → Site Manager</w:t>
            </w:r>
          </w:p>
        </w:tc>
      </w:tr>
      <w:tr>
        <w:tc>
          <w:tcPr>
            <w:tcW w:type="dxa" w:w="4176"/>
          </w:tcPr>
          <w:p>
            <w:r>
              <w:rPr>
                <w:b w:val="0"/>
              </w:rPr>
              <w:t>Upload an association’s governing documents</w:t>
            </w:r>
          </w:p>
        </w:tc>
        <w:tc>
          <w:tcPr>
            <w:tcW w:type="dxa" w:w="5184"/>
          </w:tcPr>
          <w:p>
            <w:r>
              <w:rPr>
                <w:b w:val="0"/>
              </w:rPr>
              <w:t>Association → Documents tab</w:t>
            </w:r>
          </w:p>
        </w:tc>
      </w:tr>
      <w:tr>
        <w:tc>
          <w:tcPr>
            <w:tcW w:type="dxa" w:w="4176"/>
          </w:tcPr>
          <w:p>
            <w:r>
              <w:rPr>
                <w:b w:val="0"/>
              </w:rPr>
              <w:t>See which manager is falling behind</w:t>
            </w:r>
          </w:p>
        </w:tc>
        <w:tc>
          <w:tcPr>
            <w:tcW w:type="dxa" w:w="5184"/>
          </w:tcPr>
          <w:p>
            <w:r>
              <w:rPr>
                <w:b w:val="0"/>
              </w:rPr>
              <w:t>Performance</w:t>
            </w:r>
          </w:p>
        </w:tc>
      </w:tr>
      <w:tr>
        <w:tc>
          <w:tcPr>
            <w:tcW w:type="dxa" w:w="4176"/>
          </w:tcPr>
          <w:p>
            <w:r>
              <w:rPr>
                <w:b w:val="0"/>
              </w:rPr>
              <w:t>Check company-wide cash position</w:t>
            </w:r>
          </w:p>
        </w:tc>
        <w:tc>
          <w:tcPr>
            <w:tcW w:type="dxa" w:w="5184"/>
          </w:tcPr>
          <w:p>
            <w:r>
              <w:rPr>
                <w:b w:val="0"/>
              </w:rPr>
              <w:t>Financials / Command Center</w:t>
            </w:r>
          </w:p>
        </w:tc>
      </w:tr>
      <w:tr>
        <w:tc>
          <w:tcPr>
            <w:tcW w:type="dxa" w:w="4176"/>
          </w:tcPr>
          <w:p>
            <w:r>
              <w:rPr>
                <w:b w:val="0"/>
              </w:rPr>
              <w:t>Verify vendor insurance is current</w:t>
            </w:r>
          </w:p>
        </w:tc>
        <w:tc>
          <w:tcPr>
            <w:tcW w:type="dxa" w:w="5184"/>
          </w:tcPr>
          <w:p>
            <w:r>
              <w:rPr>
                <w:b w:val="0"/>
              </w:rPr>
              <w:t>Compliance</w:t>
            </w:r>
          </w:p>
        </w:tc>
      </w:tr>
      <w:tr>
        <w:tc>
          <w:tcPr>
            <w:tcW w:type="dxa" w:w="4176"/>
          </w:tcPr>
          <w:p>
            <w:r>
              <w:rPr>
                <w:b w:val="0"/>
              </w:rPr>
              <w:t>See everything sent to owners</w:t>
            </w:r>
          </w:p>
        </w:tc>
        <w:tc>
          <w:tcPr>
            <w:tcW w:type="dxa" w:w="5184"/>
          </w:tcPr>
          <w:p>
            <w:r>
              <w:rPr>
                <w:b w:val="0"/>
              </w:rPr>
              <w:t>Communications</w:t>
            </w:r>
          </w:p>
        </w:tc>
      </w:tr>
      <w:tr>
        <w:tc>
          <w:tcPr>
            <w:tcW w:type="dxa" w:w="4176"/>
          </w:tcPr>
          <w:p>
            <w:r>
              <w:rPr>
                <w:b w:val="0"/>
              </w:rPr>
              <w:t>Review a staff action</w:t>
            </w:r>
          </w:p>
        </w:tc>
        <w:tc>
          <w:tcPr>
            <w:tcW w:type="dxa" w:w="5184"/>
          </w:tcPr>
          <w:p>
            <w:r>
              <w:rPr>
                <w:b w:val="0"/>
              </w:rPr>
              <w:t>Audit Logs</w:t>
            </w:r>
          </w:p>
        </w:tc>
      </w:tr>
      <w:tr>
        <w:tc>
          <w:tcPr>
            <w:tcW w:type="dxa" w:w="4176"/>
          </w:tcPr>
          <w:p>
            <w:r>
              <w:rPr>
                <w:b w:val="0"/>
              </w:rPr>
              <w:t>Turn on AI features</w:t>
            </w:r>
          </w:p>
        </w:tc>
        <w:tc>
          <w:tcPr>
            <w:tcW w:type="dxa" w:w="5184"/>
          </w:tcPr>
          <w:p>
            <w:r>
              <w:rPr>
                <w:b w:val="0"/>
              </w:rPr>
              <w:t>Settings → AI</w:t>
            </w:r>
          </w:p>
        </w:tc>
      </w:tr>
      <w:tr>
        <w:tc>
          <w:tcPr>
            <w:tcW w:type="dxa" w:w="4176"/>
          </w:tcPr>
          <w:p>
            <w:r>
              <w:rPr>
                <w:b w:val="0"/>
              </w:rPr>
              <w:t>Find these manuals again</w:t>
            </w:r>
          </w:p>
        </w:tc>
        <w:tc>
          <w:tcPr>
            <w:tcW w:type="dxa" w:w="5184"/>
          </w:tcPr>
          <w:p>
            <w:r>
              <w:rPr>
                <w:b w:val="0"/>
              </w:rPr>
              <w:t>Onboarding page, or portier369.com/manuals/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color w:val="667085"/>
        <w:sz w:val="17"/>
      </w:rPr>
      <w:t>© 2026 Portier369 · Confidential</w:t>
    </w:r>
    <w:r>
      <w:rPr>
        <w:color w:val="667085"/>
        <w:sz w:val="17"/>
      </w:rPr>
      <w:tab/>
      <w:t xml:space="preserve">Page </w:t>
    </w:r>
    <w:r>
      <w:rPr>
        <w:color w:val="667085"/>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667085"/>
        <w:sz w:val="17"/>
      </w:rPr>
      <w:t>Portier369 — Company Admin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cs="Arial"/>
      <w:color w:val="1D29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1018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