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PROTECMed</w:t>
      </w:r>
    </w:p>
    <w:p>
      <w:pPr>
        <w:pStyle w:val="Subtitle"/>
      </w:pPr>
      <w:r>
        <w:t xml:space="preserve">Pachetul</w:t>
      </w:r>
      <w:r>
        <w:t xml:space="preserve"> </w:t>
      </w:r>
      <w:r>
        <w:t xml:space="preserve">pentru</w:t>
      </w:r>
      <w:r>
        <w:t xml:space="preserve"> </w:t>
      </w:r>
      <w:r>
        <w:t xml:space="preserve">programatori</w:t>
      </w:r>
      <w:r>
        <w:t xml:space="preserve"> </w:t>
      </w:r>
      <w:r>
        <w:t xml:space="preserve">—</w:t>
      </w:r>
      <w:r>
        <w:t xml:space="preserve"> </w:t>
      </w:r>
      <w:r>
        <w:t xml:space="preserve">versiunea</w:t>
      </w:r>
      <w:r>
        <w:t xml:space="preserve"> </w:t>
      </w:r>
      <w:r>
        <w:t xml:space="preserve">revizuită</w:t>
      </w:r>
    </w:p>
    <w:p>
      <w:pPr>
        <w:pStyle w:val="Date"/>
      </w:pPr>
      <w:r>
        <w:t xml:space="preserve">5</w:t>
      </w:r>
      <w:r>
        <w:t xml:space="preserve"> </w:t>
      </w:r>
      <w:r>
        <w:t xml:space="preserve">septembrie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versiunea</w:t>
      </w:r>
      <w:r>
        <w:t xml:space="preserve"> </w:t>
      </w:r>
      <w:r>
        <w:t xml:space="preserve">2.0</w:t>
      </w:r>
    </w:p>
    <w:p>
      <w:pPr>
        <w:pStyle w:val="FirstParagraph"/>
      </w:pPr>
      <w:r>
        <w:t xml:space="preserve">Am refăcut documentația de implementare pentru prototipul de numărare a cohortelor, păstrând scenariile</w:t>
      </w:r>
      <w:r>
        <w:t xml:space="preserve"> </w:t>
      </w:r>
      <w:r>
        <w:rPr>
          <w:b/>
          <w:bCs/>
        </w:rPr>
        <w:t xml:space="preserve">2 din 2</w:t>
      </w:r>
      <w:r>
        <w:t xml:space="preserve"> </w:t>
      </w:r>
      <w:r>
        <w:t xml:space="preserve">și</w:t>
      </w:r>
      <w:r>
        <w:t xml:space="preserve"> </w:t>
      </w:r>
      <w:r>
        <w:rPr>
          <w:b/>
          <w:bCs/>
        </w:rPr>
        <w:t xml:space="preserve">3 din 3</w:t>
      </w:r>
      <w:r>
        <w:t xml:space="preserve">. Pachetul include documentul Word detaliat, versiunea Markdown, documentația modulară pentru repository și referințe executabile de test. Nu include Kaplan–Meier, regresie sau alte analize statistice.</w:t>
      </w:r>
    </w:p>
    <w:bookmarkStart w:id="20" w:name="ce-se-implementează"/>
    <w:p>
      <w:pPr>
        <w:pStyle w:val="Heading1"/>
      </w:pPr>
      <w:r>
        <w:t xml:space="preserve">Ce se implementează</w:t>
      </w:r>
    </w:p>
    <w:p>
      <w:pPr>
        <w:pStyle w:val="FirstParagraph"/>
      </w:pPr>
      <w:r>
        <w:t xml:space="preserve">Fiecare furnizor selectează și validează local fișierul de date, aplică aceeași definiție de cohortă și criptează count-ul local sub cheia publică generată în comun. Coordonatorul primește ciphertext-urile, execută</w:t>
      </w:r>
      <w:r>
        <w:t xml:space="preserve"> </w:t>
      </w:r>
      <w:r>
        <w:rPr>
          <w:rStyle w:val="VerbatimChar"/>
        </w:rPr>
        <w:t xml:space="preserve">EvalAdd</w:t>
      </w:r>
      <w:r>
        <w:t xml:space="preserve"> </w:t>
      </w:r>
      <w:r>
        <w:t xml:space="preserve">și solicită aprobarea rezultatului. Fiecare furnizor verifică intrările și suma criptată înainte de a aproba local și de a produce decriptarea sa parțială. Rezultatul este obținut după contribuția tuturor furnizorilor.</w:t>
      </w:r>
    </w:p>
    <w:p>
      <w:pPr>
        <w:pStyle w:val="BodyText"/>
        <w:spacing w:after="120" w:line="257" w:lineRule="auto"/>
      </w:pPr>
      <w:r>
        <w:t xml:space="preserve">Această versiune demonstrează filtrare federată și agregare homomorfă; nu pretinde că filtrarea rândurilor se face la server pe coloane criptate. Extensia pentru indicatori criptați este separată și nu condiționează prototipul inițial.</w:t>
      </w:r>
    </w:p>
    <w:bookmarkEnd w:id="20"/>
    <w:bookmarkStart w:id="21" w:name="corecturile-esențiale"/>
    <w:p>
      <w:pPr>
        <w:pStyle w:val="Heading1"/>
      </w:pPr>
      <w:r>
        <w:t xml:space="preserve">Corecturile esențiale</w:t>
      </w:r>
    </w:p>
    <w:p>
      <w:pPr>
        <w:pStyle w:val="FirstParagraph"/>
      </w:pPr>
      <w:r>
        <w:rPr>
          <w:b/>
          <w:bCs/>
        </w:rPr>
        <w:t xml:space="preserve">Parametrii OpenFHE.</w:t>
      </w:r>
      <w:r>
        <w:t xml:space="preserve"> </w:t>
      </w:r>
      <w:r>
        <w:t xml:space="preserve">Profilul fixează explicit</w:t>
      </w:r>
      <w:r>
        <w:t xml:space="preserve"> </w:t>
      </w:r>
      <w:r>
        <w:rPr>
          <w:rStyle w:val="VerbatimChar"/>
        </w:rPr>
        <w:t xml:space="preserve">SetThresholdNumOfParties(n)</w:t>
      </w:r>
      <w:r>
        <w:t xml:space="preserve">. Numărul participanților din interfață nu setează automat acest parametru. Păstrăm OpenFHE v1.5.1, BGV și modul</w:t>
      </w:r>
      <w:r>
        <w:t xml:space="preserve"> </w:t>
      </w:r>
      <w:r>
        <w:rPr>
          <w:rStyle w:val="VerbatimChar"/>
        </w:rPr>
        <w:t xml:space="preserve">NOISE_FLOODING_MULTIPARTY</w:t>
      </w:r>
      <w:r>
        <w:t xml:space="preserve">, cu dimensionare automată la nivelul de securitate specificat. Trimiterile către sursele oficiale sunt în capitolul 11 al blueprint-ului.</w:t>
      </w:r>
    </w:p>
    <w:p>
      <w:pPr>
        <w:pStyle w:val="BodyText"/>
        <w:spacing w:after="120" w:line="257" w:lineRule="auto"/>
      </w:pPr>
      <w:r>
        <w:rPr>
          <w:b/>
          <w:bCs/>
        </w:rPr>
        <w:t xml:space="preserve">Acordul pentru decriptare.</w:t>
      </w:r>
      <w:r>
        <w:t xml:space="preserve"> </w:t>
      </w:r>
      <w:r>
        <w:rPr>
          <w:rStyle w:val="VerbatimChar"/>
        </w:rPr>
        <w:t xml:space="preserve">MultipartyDecryptFusion</w:t>
      </w:r>
      <w:r>
        <w:t xml:space="preserve"> </w:t>
      </w:r>
      <w:r>
        <w:t xml:space="preserve">nu verifică singur identitatea instituțiilor sau acordul lor. Aplicația trebuie să verifice exact cei doi sau trei semnatari, rolurile lead/main, același rezultat și aceeași cerere. Nu este suficientă semnarea unui hash opac: fiecare agent verifică toate contribuțiile semnate și recalculează suma criptată înainte de aprobarea locală.</w:t>
      </w:r>
    </w:p>
    <w:p>
      <w:pPr>
        <w:pStyle w:val="BodyText"/>
        <w:spacing w:after="120" w:line="257" w:lineRule="auto"/>
      </w:pPr>
      <w:r>
        <w:rPr>
          <w:b/>
          <w:bCs/>
        </w:rPr>
        <w:t xml:space="preserve">Datele IOCN.</w:t>
      </w:r>
      <w:r>
        <w:t xml:space="preserve"> </w:t>
      </w:r>
      <w:r>
        <w:t xml:space="preserve">Toate cele 51 de celule din coloana WBC selectată conțin formule. Importul trebuie să folosească valori salvate revizuite local sau un export values-only verificat; un cache lipsă ori eronat blochează importul. Fișierul are și o referință externă, care nu trebuie actualizată de prototip. Verificarea efectuată aici nu stabilește prospețimea formulelor.</w:t>
      </w:r>
    </w:p>
    <w:p>
      <w:pPr>
        <w:pStyle w:val="BodyText"/>
        <w:spacing w:after="120" w:line="257" w:lineRule="auto"/>
      </w:pPr>
      <w:r>
        <w:rPr>
          <w:b/>
          <w:bCs/>
        </w:rPr>
        <w:t xml:space="preserve">Numărătorile de control.</w:t>
      </w:r>
      <w:r>
        <w:t xml:space="preserve"> </w:t>
      </w:r>
      <w:r>
        <w:t xml:space="preserve">Cele șase totaluri rămân 51, 29, 13, 11, 21 și 9. Pentru Q004, rezultatul este</w:t>
      </w:r>
      <w:r>
        <w:t xml:space="preserve"> </w:t>
      </w:r>
      <w:r>
        <w:rPr>
          <w:b/>
          <w:bCs/>
        </w:rPr>
        <w:t xml:space="preserve">11</w:t>
      </w:r>
      <w:r>
        <w:t xml:space="preserve">, cu împărțirea</w:t>
      </w:r>
      <w:r>
        <w:t xml:space="preserve"> </w:t>
      </w:r>
      <w:r>
        <w:rPr>
          <w:b/>
          <w:bCs/>
        </w:rPr>
        <w:t xml:space="preserve">5 + 6</w:t>
      </w:r>
      <w:r>
        <w:t xml:space="preserve"> </w:t>
      </w:r>
      <w:r>
        <w:t xml:space="preserve">sau</w:t>
      </w:r>
      <w:r>
        <w:t xml:space="preserve"> </w:t>
      </w:r>
      <w:r>
        <w:rPr>
          <w:b/>
          <w:bCs/>
        </w:rPr>
        <w:t xml:space="preserve">3 + 2 + 6</w:t>
      </w:r>
      <w:r>
        <w:t xml:space="preserve">. Acestea sunt rezultate de regresie pe date în clar, nu benchmarkuri OpenFHE. Nu au fost incluse rânduri de pacienți în pachet.</w:t>
      </w:r>
    </w:p>
    <w:p>
      <w:pPr>
        <w:pStyle w:val="BodyText"/>
        <w:spacing w:after="120" w:line="257" w:lineRule="auto"/>
      </w:pPr>
      <w:r>
        <w:rPr>
          <w:b/>
          <w:bCs/>
        </w:rPr>
        <w:t xml:space="preserve">Limitele de securitate.</w:t>
      </w:r>
      <w:r>
        <w:t xml:space="preserve"> </w:t>
      </w:r>
      <w:r>
        <w:t xml:space="preserve">În 2/2, totalul și count-ul propriu permit deducerea count-ului celuilalt furnizor. O decriptare parțială deja transmisă nu poate fi retrasă criptografic. Aceste limite sunt explicate explicit. Cheile rămân în stocare temporară locală: o deconectare de rețea nu este același lucru cu repornirea containerului și pierderea cheii.</w:t>
      </w:r>
    </w:p>
    <w:bookmarkEnd w:id="21"/>
    <w:bookmarkStart w:id="22" w:name="ce-primește-programatorul"/>
    <w:p>
      <w:pPr>
        <w:pStyle w:val="Heading1"/>
      </w:pPr>
      <w:r>
        <w:t xml:space="preserve">Ce primește programatorul</w:t>
      </w:r>
    </w:p>
    <w:p>
      <w:pPr>
        <w:pStyle w:val="FirstParagraph"/>
      </w:pPr>
      <w:r>
        <w:t xml:space="preserve">Documentul principal descrie arhitectura, protocolul, mapping-ul, schemele JSON, comenzile CLI de implementat, API-urile, interfața minimă și instalarea. Arhiva include</w:t>
      </w:r>
      <w:r>
        <w:t xml:space="preserve"> </w:t>
      </w:r>
      <w:r>
        <w:rPr>
          <w:rStyle w:val="VerbatimChar"/>
        </w:rPr>
        <w:t xml:space="preserve">README_START_AICI.md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un registru al schimbărilor, configurații, scheme JSON, date sintetice independente, referințe Python, exemplul C++/CMake, un model Compose și șabloane de task-uri, teste și acceptanță.</w:t>
      </w:r>
    </w:p>
    <w:p>
      <w:pPr>
        <w:pStyle w:val="BodyText"/>
        <w:spacing w:after="120" w:line="257" w:lineRule="auto"/>
      </w:pPr>
      <w:r>
        <w:t xml:space="preserve">Cele 57 de teste executate verifică numai logica de referință Python, validarea schemelor, semnăturile și cazuri sintetice de cache Excel. Exemplul C++ a fost verificat față de API-urile publicate, dar</w:t>
      </w:r>
      <w:r>
        <w:t xml:space="preserve"> </w:t>
      </w:r>
      <w:r>
        <w:rPr>
          <w:b/>
          <w:bCs/>
        </w:rPr>
        <w:t xml:space="preserve">nu a fost compilat sau executat în acest mediu</w:t>
      </w:r>
      <w:r>
        <w:t xml:space="preserve">. Nu au fost testate aici serviciile web, imaginile Docker, instalarea Windows/macOS sau un pilot clinic.</w:t>
      </w:r>
      <w:r>
        <w:t xml:space="preserve"> </w:t>
      </w:r>
      <w:r>
        <w:rPr>
          <w:rStyle w:val="VerbatimChar"/>
        </w:rPr>
        <w:t xml:space="preserve">verification/verification.json</w:t>
      </w:r>
      <w:r>
        <w:t xml:space="preserve"> </w:t>
      </w:r>
      <w:r>
        <w:t xml:space="preserve">păstrează această distincție.</w:t>
      </w:r>
    </w:p>
    <w:bookmarkEnd w:id="22"/>
    <w:bookmarkStart w:id="23" w:name="cum-începe-implementarea"/>
    <w:p>
      <w:pPr>
        <w:pStyle w:val="Heading1"/>
      </w:pPr>
      <w:r>
        <w:t xml:space="preserve">Cum începe implementarea</w:t>
      </w:r>
    </w:p>
    <w:p>
      <w:pPr>
        <w:pStyle w:val="FirstParagraph"/>
      </w:pPr>
      <w:r>
        <w:t xml:space="preserve">Programatorul citește</w:t>
      </w:r>
      <w:r>
        <w:t xml:space="preserve"> </w:t>
      </w:r>
      <w:r>
        <w:rPr>
          <w:rStyle w:val="VerbatimChar"/>
        </w:rPr>
        <w:t xml:space="preserve">README_START_AICI.md</w:t>
      </w:r>
      <w:r>
        <w:t xml:space="preserve">, apoi capitolele 1–4 și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. Rulează testele Python pe fixture-ul sintetic și începe</w:t>
      </w:r>
      <w:r>
        <w:t xml:space="preserve"> </w:t>
      </w:r>
      <w:r>
        <w:rPr>
          <w:b/>
          <w:bCs/>
        </w:rPr>
        <w:t xml:space="preserve">M0: compilarea și rularea reală a OpenFHE</w:t>
      </w:r>
      <w:r>
        <w:t xml:space="preserve">. Urmează separarea proceselor și serializarea în M2, protocolul semnat în M3 și abia apoi interfața web și instalarea IOCN.</w:t>
      </w:r>
    </w:p>
    <w:p>
      <w:pPr>
        <w:pStyle w:val="BodyText"/>
        <w:spacing w:after="120" w:line="257" w:lineRule="auto"/>
      </w:pPr>
      <w:r>
        <w:t xml:space="preserve">Interfața propusă este simplă: import/validare, starea studiului și ecranul local de aprobare. Pentru validare distribuită se folosesc calculatoare distincte; trei containere pe același laptop reprezintă o simulare. Documentația și exemplul într-un singur proces nu certifică singure TRL 4/5: maturitatea trebuie susținută prin implementarea integrată, teste și acceptanța într-un mediu relevant.</w:t>
      </w:r>
    </w:p>
    <w:bookmarkEnd w:id="23"/>
    <w:sectPr>
      <w:headerReference r:id="rId9" w:type="default"/>
      <w:footerReference r:id="rId10" w:type="default"/>
      <w:pgSz w:h="16838" w:w="11906"/>
      <w:pgMar w:bottom="1049" w:footer="482" w:header="454" w:left="1134" w:right="1134" w:top="104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color w:val="6E818E"/>
        <w:sz w:val="16"/>
      </w:rPr>
      <w:t>5 septembrie 2026  •  Documentație și referințe</w:t>
    </w:r>
    <w:r>
      <w:rPr>
        <w:rFonts w:ascii="Calibri" w:hAnsi="Calibri"/>
        <w:color w:val="6E818E"/>
        <w:sz w:val="16"/>
      </w:rPr>
      <w:t xml:space="preserve">  |  </w:t>
    </w:r>
    <w:fldSimple w:instr="PAGE">
      <w:r>
        <w:rPr>
          <w:sz w:val="16"/>
        </w:rPr>
        <w:t>1</w:t>
      </w:r>
    </w:fldSimple>
    <w:r>
      <w:rPr>
        <w:rFonts w:ascii="Calibri" w:hAnsi="Calibri"/>
        <w:color w:val="6E818E"/>
        <w:sz w:val="16"/>
      </w:rPr>
      <w:t xml:space="preserve"> / </w:t>
    </w:r>
    <w:fldSimple w:instr="NUMPAGES">
      <w:r>
        <w:rPr>
          <w:sz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E818E"/>
        <w:sz w:val="16"/>
      </w:rPr>
      <w:t>PROTECMed  |  GHID DE PREDARE v2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o-R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57" w:lineRule="auto"/>
    </w:pPr>
    <w:rPr>
      <w:rFonts w:ascii="Calibri" w:eastAsia="Calibri" w:hAnsi="Calibri"/>
      <w:color w:val="26343E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color w:val="26343E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color w:val="26343E"/>
      <w:sz w:val="22"/>
    </w:rPr>
  </w:style>
  <w:style w:customStyle="1" w:styleId="Compact" w:type="paragraph">
    <w:name w:val="Compact"/>
    <w:basedOn w:val="BodyText"/>
    <w:qFormat/>
    <w:pPr>
      <w:spacing w:after="80" w:before="36"/>
    </w:pPr>
    <w:rPr>
      <w:rFonts w:ascii="Calibri" w:eastAsia="Calibri" w:hAnsi="Calibri"/>
      <w:color w:val="26343E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00" w:before="24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6384E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00" w:before="240"/>
      <w:jc w:val="center"/>
    </w:pPr>
    <w:rPr>
      <w:rFonts w:ascii="Calibri" w:eastAsia="Calibri" w:hAnsi="Calibri"/>
      <w:color w:val="456F85"/>
      <w:sz w:val="3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eastAsia="Calibri" w:hAnsi="Calibri"/>
      <w:color w:val="456F85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 w:val="0"/>
      <w:spacing w:after="140" w:before="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6384E"/>
      <w:sz w:val="3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pageBreakBefore w:val="0"/>
      <w:spacing w:after="140" w:before="28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6384E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pageBreakBefore w:val="0"/>
      <w:spacing w:after="140" w:before="28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6384E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eastAsia="Calibri" w:hAnsi="Calibri"/>
      <w:i/>
      <w:color w:val="526877"/>
      <w:sz w:val="19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eastAsia="Courier New" w:hAnsi="Courier New"/>
      <w:color w:val="203A4B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pPr>
      <w:spacing w:after="140" w:before="120" w:line="240" w:lineRule="auto"/>
    </w:pPr>
    <w:rPr>
      <w:rFonts w:ascii="Courier New" w:eastAsia="Courier New" w:hAnsi="Courier New"/>
      <w:color w:val="203A4B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1.xml"/><Relationship Id="rId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FA5207BFE5A945A7F4CB95E4F16BD0" ma:contentTypeVersion="18" ma:contentTypeDescription="Create a new document." ma:contentTypeScope="" ma:versionID="35e0a46ef66e3be78499be5d809353cd">
  <xsd:schema xmlns:xsd="http://www.w3.org/2001/XMLSchema" xmlns:xs="http://www.w3.org/2001/XMLSchema" xmlns:p="http://schemas.microsoft.com/office/2006/metadata/properties" xmlns:ns2="d85df7e7-01c7-4ebd-9588-2c934435c5f3" xmlns:ns3="93759bc2-0aa2-4b45-a7d5-3e8d0cc4d545" targetNamespace="http://schemas.microsoft.com/office/2006/metadata/properties" ma:root="true" ma:fieldsID="76b01ebec940ee7744311b5d4d51a628" ns2:_="" ns3:_="">
    <xsd:import namespace="d85df7e7-01c7-4ebd-9588-2c934435c5f3"/>
    <xsd:import namespace="93759bc2-0aa2-4b45-a7d5-3e8d0cc4d5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5df7e7-01c7-4ebd-9588-2c934435c5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fc52201-deeb-4842-9663-51dcc22434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59bc2-0aa2-4b45-a7d5-3e8d0cc4d54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e333430-6bb0-4f06-9e0b-92f1471579cf}" ma:internalName="TaxCatchAll" ma:showField="CatchAllData" ma:web="93759bc2-0aa2-4b45-a7d5-3e8d0cc4d5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5df7e7-01c7-4ebd-9588-2c934435c5f3">
      <Terms xmlns="http://schemas.microsoft.com/office/infopath/2007/PartnerControls"/>
    </lcf76f155ced4ddcb4097134ff3c332f>
    <TaxCatchAll xmlns="93759bc2-0aa2-4b45-a7d5-3e8d0cc4d545" xsi:nil="true"/>
  </documentManagement>
</p:properties>
</file>

<file path=customXml/itemProps1.xml><?xml version="1.0" encoding="utf-8"?>
<ds:datastoreItem xmlns:ds="http://schemas.openxmlformats.org/officeDocument/2006/customXml" ds:itemID="{17590240-0B1F-4985-9B83-A4ADF7A9ECDC}"/>
</file>

<file path=customXml/itemProps2.xml><?xml version="1.0" encoding="utf-8"?>
<ds:datastoreItem xmlns:ds="http://schemas.openxmlformats.org/officeDocument/2006/customXml" ds:itemID="{BA7ED079-3682-4E01-AC58-F865B42AA8BA}"/>
</file>

<file path=customXml/itemProps3.xml><?xml version="1.0" encoding="utf-8"?>
<ds:datastoreItem xmlns:ds="http://schemas.openxmlformats.org/officeDocument/2006/customXml" ds:itemID="{C2244EFB-D9D9-4AB8-B6F4-DC15B5E97949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PROTECMed</dc:title>
  <dc:creator>PROTECMed</dc:creator>
  <cp:keywords/>
  <dc:description>Version 2.0; source-informed implementation specification; see verification ledger.</dc:description>
  <cp:lastModifiedBy>PROTECMed</cp:lastModifiedBy>
  <dcterms:created xsi:type="dcterms:W3CDTF">2026-09-05T09:44:28Z</dcterms:created>
  <dcterms:modified xsi:type="dcterms:W3CDTF">2026-09-05T09:44:28Z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5 septembrie 2026 · versiunea 2.0</vt:lpwstr>
  </property>
  <property fmtid="{D5CDD505-2E9C-101B-9397-08002B2CF9AE}" pid="3" name="subtitle">
    <vt:lpwstr>Pachetul pentru programatori — versiunea revizuită</vt:lpwstr>
  </property>
  <property fmtid="{D5CDD505-2E9C-101B-9397-08002B2CF9AE}" pid="4" name="ContentTypeId">
    <vt:lpwstr>0x01010081FA5207BFE5A945A7F4CB95E4F16BD0</vt:lpwstr>
  </property>
</Properties>
</file>