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AUTHORITY CLOSERS  /  SALES XRAY</w:t>
      </w:r>
    </w:p>
    <w:p>
      <w:pPr>
        <w:pStyle w:val="Title"/>
      </w:pPr>
      <w:r>
        <w:t xml:space="preserve">Fictional seller — sample call report</w:t>
      </w:r>
    </w:p>
    <w:p>
      <w:pPr>
        <w:pStyle w:val="Subtitle"/>
      </w:pPr>
      <w:r>
        <w:t xml:space="preserve">Sales Xray report</w:t>
      </w:r>
    </w:p>
    <w:tbl>
      <w:tblPr>
        <w:tblW w:type="dxa" w:w="9758"/>
        <w:tblBorders>
          <w:top w:val="single" w:color="DDDDDA" w:sz="4"/>
          <w:left w:val="single" w:color="DDDDDA" w:sz="4"/>
          <w:bottom w:val="single" w:color="DDDDDA" w:sz="4"/>
          <w:right w:val="single" w:color="DDDDDA" w:sz="4"/>
          <w:insideH w:val="single" w:color="DDDDDA" w:sz="4"/>
          <w:insideV w:val="single" w:color="DDDDDA" w:sz="4"/>
        </w:tblBorders>
        <w:tblLayout w:type="fixed"/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2600"/>
        <w:gridCol w:w="7158"/>
      </w:tblGrid>
      <w:tr>
        <w:trPr>
          <w:cantSplit/>
          <w:tblHeader/>
        </w:trPr>
        <w:tc>
          <w:tcPr>
            <w:tcW w:type="dxa" w:w="26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Call details</w:t>
            </w:r>
          </w:p>
        </w:tc>
        <w:tc>
          <w:tcPr>
            <w:tcW w:type="dxa" w:w="7158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6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Workspace</w:t>
            </w:r>
          </w:p>
        </w:tc>
        <w:tc>
          <w:tcPr>
            <w:tcW w:type="dxa" w:w="71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 display only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Seller</w:t>
            </w:r>
          </w:p>
        </w:tc>
        <w:tc>
          <w:tcPr>
            <w:tcW w:type="dxa" w:w="71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Fictional seller</w:t>
            </w:r>
          </w:p>
        </w:tc>
      </w:tr>
      <w:tr>
        <w:trPr>
          <w:cantSplit/>
        </w:trPr>
        <w:tc>
          <w:tcPr>
            <w:tcW w:type="dxa" w:w="26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Source</w:t>
            </w:r>
          </w:p>
        </w:tc>
        <w:tc>
          <w:tcPr>
            <w:tcW w:type="dxa" w:w="71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 display only · no recording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Transcript revision</w:t>
            </w:r>
          </w:p>
        </w:tc>
        <w:tc>
          <w:tcPr>
            <w:tcW w:type="dxa" w:w="71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synthetic-display-r1</w:t>
            </w:r>
          </w:p>
        </w:tc>
      </w:tr>
      <w:tr>
        <w:trPr>
          <w:cantSplit/>
        </w:trPr>
        <w:tc>
          <w:tcPr>
            <w:tcW w:type="dxa" w:w="26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Review status</w:t>
            </w:r>
          </w:p>
        </w:tc>
        <w:tc>
          <w:tcPr>
            <w:tcW w:type="dxa" w:w="71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Draft · not human-adjudicated</w:t>
            </w:r>
          </w:p>
        </w:tc>
      </w:tr>
    </w:tbl>
    <w:p>
      <w:pPr>
        <w:pStyle w:val="BodyText"/>
        <w:widowControl/>
      </w:pP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2F2F0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Overall verdict</w:t>
            </w:r>
          </w:p>
          <w:p>
            <w:pPr>
              <w:pStyle w:val="BodyText"/>
              <w:widowControl/>
            </w:pPr>
            <w:r>
              <w:t xml:space="preserve">Synthetic display only. No next action was agreed in this example.</w:t>
            </w:r>
          </w:p>
        </w:tc>
      </w:tr>
    </w:tbl>
    <w:p>
      <w:pPr>
        <w:pStyle w:val="Heading2"/>
      </w:pPr>
      <w:r>
        <w:t xml:space="preserve">In this document</w:t>
      </w:r>
    </w:p>
    <w:p>
      <w:pPr>
        <w:pStyle w:val="BodyText"/>
        <w:numPr>
          <w:ilvl w:val="0"/>
          <w:numId w:val="2"/>
        </w:numPr>
      </w:pPr>
      <w:r>
        <w:t xml:space="preserve">Overview</w:t>
      </w:r>
    </w:p>
    <w:p>
      <w:pPr>
        <w:pStyle w:val="BodyText"/>
        <w:numPr>
          <w:ilvl w:val="0"/>
          <w:numId w:val="2"/>
        </w:numPr>
      </w:pPr>
      <w:r>
        <w:t xml:space="preserve">Moments</w:t>
      </w:r>
    </w:p>
    <w:p>
      <w:pPr>
        <w:pStyle w:val="BodyText"/>
        <w:numPr>
          <w:ilvl w:val="0"/>
          <w:numId w:val="2"/>
        </w:numPr>
      </w:pPr>
      <w:r>
        <w:t xml:space="preserve">Analysis</w:t>
      </w:r>
    </w:p>
    <w:p>
      <w:pPr>
        <w:pStyle w:val="BodyText"/>
        <w:numPr>
          <w:ilvl w:val="0"/>
          <w:numId w:val="2"/>
        </w:numPr>
      </w:pPr>
      <w:r>
        <w:t xml:space="preserve">Coaching</w:t>
      </w:r>
    </w:p>
    <w:p>
      <w:pPr>
        <w:pStyle w:val="BodyText"/>
        <w:numPr>
          <w:ilvl w:val="0"/>
          <w:numId w:val="2"/>
        </w:numPr>
      </w:pPr>
      <w:r>
        <w:t xml:space="preserve">Transcript appendix</w:t>
      </w:r>
    </w:p>
    <w:p>
      <w:pPr>
        <w:pStyle w:val="Heading1"/>
        <w:pageBreakBefore/>
      </w:pPr>
      <w:bookmarkStart w:name="overview" w:id="6"/>
      <w:r>
        <w:t xml:space="preserve">Overview</w:t>
      </w:r>
      <w:bookmarkEnd w:id="6"/>
    </w:p>
    <w:p>
      <w:pPr>
        <w:pStyle w:val="Heading2"/>
      </w:pPr>
      <w:r>
        <w:t xml:space="preserve">Call summary</w:t>
      </w:r>
    </w:p>
    <w:p>
      <w:pPr>
        <w:pStyle w:val="BodyText"/>
        <w:widowControl/>
      </w:pPr>
      <w:r>
        <w:t xml:space="preserve">Synthetic call: the buyer declined a sale and a next step.</w:t>
      </w: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2F2F0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Diagnosis</w:t>
            </w:r>
          </w:p>
          <w:p>
            <w:pPr>
              <w:pStyle w:val="BodyText"/>
              <w:widowControl/>
            </w:pPr>
            <w:r>
              <w:t xml:space="preserve">The closer clarified a follow-up time.</w:t>
            </w:r>
          </w:p>
        </w:tc>
      </w:tr>
    </w:tbl>
    <w:p>
      <w:pPr>
        <w:pStyle w:val="Heading2"/>
      </w:pPr>
      <w:r>
        <w:t xml:space="preserve">Call outcome</w:t>
      </w:r>
    </w:p>
    <w:p>
      <w:pPr>
        <w:pStyle w:val="BodyText"/>
        <w:widowControl/>
      </w:pPr>
      <w:r>
        <w:t xml:space="preserve">No sale was agreed. The buyer declined a next step and asked the seller not to follow up.</w:t>
      </w:r>
    </w:p>
    <w:p>
      <w:pPr>
        <w:pStyle w:val="Heading2"/>
      </w:pPr>
      <w:r>
        <w:t xml:space="preserve">Strengths</w:t>
      </w: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EAF3EC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Respect the buyer's boundary</w:t>
            </w:r>
          </w:p>
          <w:p>
            <w:pPr>
              <w:pStyle w:val="BodyText"/>
              <w:widowControl/>
            </w:pPr>
            <w:r>
              <w:t xml:space="preserve">The seller acknowledged the decline without implying that a follow-up was scheduled.</w:t>
            </w:r>
          </w:p>
        </w:tc>
      </w:tr>
    </w:tbl>
    <w:p>
      <w:pPr>
        <w:pStyle w:val="BodyText"/>
        <w:widowControl/>
      </w:pPr>
    </w:p>
    <w:p>
      <w:pPr>
        <w:pStyle w:val="Heading2"/>
      </w:pPr>
      <w:r>
        <w:t xml:space="preserve">Why it matters</w:t>
      </w:r>
    </w:p>
    <w:p>
      <w:pPr>
        <w:pStyle w:val="BodyText"/>
        <w:widowControl/>
      </w:pPr>
      <w:r>
        <w:t xml:space="preserve">A synthetic reason to repeat this.</w:t>
      </w:r>
    </w:p>
    <w:p>
      <w:pPr>
        <w:pStyle w:val="Heading2"/>
      </w:pPr>
      <w:r>
        <w:t xml:space="preserve">Development areas</w:t>
      </w:r>
    </w:p>
    <w:tbl>
      <w:tblPr>
        <w:tblW w:type="dxa" w:w="9758"/>
        <w:tblBorders>
          <w:top w:val="single" w:color="DDDDDA" w:sz="4"/>
          <w:left w:val="single" w:color="B33A3A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BEFE6" w:val="clear"/>
          </w:tcPr>
          <w:p>
            <w:pPr>
              <w:pStyle w:val="BodyText"/>
            </w:pPr>
            <w:r>
              <w:rPr>
                <w:b/>
                <w:bCs/>
                <w:color w:val="B33A3A"/>
              </w:rPr>
              <w:t xml:space="preserve">Clarify timing earlier</w:t>
            </w:r>
          </w:p>
          <w:p>
            <w:pPr>
              <w:pStyle w:val="BodyText"/>
              <w:widowControl/>
            </w:pPr>
            <w:r>
              <w:t xml:space="preserve">The buyer mentioned uncertain timing. A neutral question could have clarified the concern before the conversation ended.</w:t>
            </w:r>
          </w:p>
        </w:tc>
      </w:tr>
    </w:tbl>
    <w:p>
      <w:pPr>
        <w:pStyle w:val="BodyText"/>
        <w:widowControl/>
      </w:pPr>
    </w:p>
    <w:p>
      <w:pPr>
        <w:pStyle w:val="Heading1"/>
        <w:pageBreakBefore/>
      </w:pPr>
      <w:bookmarkStart w:name="moments" w:id="7"/>
      <w:r>
        <w:t xml:space="preserve">Moments</w:t>
      </w:r>
      <w:bookmarkEnd w:id="7"/>
    </w:p>
    <w:p>
      <w:pPr>
        <w:pStyle w:val="Heading2"/>
      </w:pPr>
      <w:r>
        <w:t xml:space="preserve">Detailed source evidence</w:t>
      </w:r>
    </w:p>
    <w:tbl>
      <w:tblPr>
        <w:tblW w:type="dxa" w:w="9758"/>
        <w:tblBorders>
          <w:top w:val="single" w:color="DDDDDA" w:sz="4"/>
          <w:left w:val="single" w:color="DDDDDA" w:sz="4"/>
          <w:bottom w:val="single" w:color="DDDDDA" w:sz="4"/>
          <w:right w:val="single" w:color="DDDDDA" w:sz="4"/>
          <w:insideH w:val="single" w:color="DDDDDA" w:sz="4"/>
          <w:insideV w:val="single" w:color="DDDDDA" w:sz="4"/>
        </w:tblBorders>
        <w:tblLayout w:type="fixed"/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1500"/>
        <w:gridCol w:w="6458"/>
        <w:gridCol w:w="1800"/>
      </w:tblGrid>
      <w:tr>
        <w:trPr>
          <w:cantSplit/>
          <w:tblHeader/>
        </w:trPr>
        <w:tc>
          <w:tcPr>
            <w:tcW w:type="dxa" w:w="15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Timestamp</w:t>
            </w:r>
          </w:p>
        </w:tc>
        <w:tc>
          <w:tcPr>
            <w:tcW w:type="dxa" w:w="6458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Source quote</w:t>
            </w:r>
          </w:p>
        </w:tc>
        <w:tc>
          <w:tcPr>
            <w:tcW w:type="dxa" w:w="18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Segment</w:t>
            </w:r>
          </w:p>
        </w:tc>
      </w:tr>
      <w:tr>
        <w:trPr>
          <w:cantSplit/>
        </w:trPr>
        <w:tc>
          <w:tcPr>
            <w:tcW w:type="dxa" w:w="1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0:01–0:02</w:t>
            </w:r>
          </w:p>
        </w:tc>
        <w:tc>
          <w:tcPr>
            <w:tcW w:type="dxa" w:w="64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कल timing discuss करूया.</w:t>
            </w:r>
          </w:p>
        </w:tc>
        <w:tc>
          <w:tcPr>
            <w:tcW w:type="dxa" w:w="18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0:02–0:03</w:t>
            </w:r>
          </w:p>
        </w:tc>
        <w:tc>
          <w:tcPr>
            <w:tcW w:type="dxa" w:w="64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Sure, which time works for you?</w:t>
            </w:r>
          </w:p>
        </w:tc>
        <w:tc>
          <w:tcPr>
            <w:tcW w:type="dxa" w:w="18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s2</w:t>
            </w:r>
          </w:p>
        </w:tc>
      </w:tr>
      <w:tr>
        <w:trPr>
          <w:cantSplit/>
        </w:trPr>
        <w:tc>
          <w:tcPr>
            <w:tcW w:type="dxa" w:w="1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0:03–0:04</w:t>
            </w:r>
          </w:p>
        </w:tc>
        <w:tc>
          <w:tcPr>
            <w:tcW w:type="dxa" w:w="64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तीन बजे ठीक है, please send details.</w:t>
            </w:r>
          </w:p>
        </w:tc>
        <w:tc>
          <w:tcPr>
            <w:tcW w:type="dxa" w:w="18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s3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0:12–0:15</w:t>
            </w:r>
          </w:p>
        </w:tc>
        <w:tc>
          <w:tcPr>
            <w:tcW w:type="dxa" w:w="64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Our timing is uncertain on this side.</w:t>
            </w:r>
          </w:p>
        </w:tc>
        <w:tc>
          <w:tcPr>
            <w:tcW w:type="dxa" w:w="18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synthetic-concern</w:t>
            </w:r>
          </w:p>
        </w:tc>
      </w:tr>
      <w:tr>
        <w:trPr>
          <w:cantSplit/>
        </w:trPr>
        <w:tc>
          <w:tcPr>
            <w:tcW w:type="dxa" w:w="1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0:26–0:30</w:t>
            </w:r>
          </w:p>
        </w:tc>
        <w:tc>
          <w:tcPr>
            <w:tcW w:type="dxa" w:w="64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I don't want to set another step today. Please don't follow up.</w:t>
            </w:r>
          </w:p>
        </w:tc>
        <w:tc>
          <w:tcPr>
            <w:tcW w:type="dxa" w:w="18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synthetic-boundary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0:31–0:35</w:t>
            </w:r>
          </w:p>
        </w:tc>
        <w:tc>
          <w:tcPr>
            <w:tcW w:type="dxa" w:w="64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Understood. I won't schedule a follow-up.</w:t>
            </w:r>
          </w:p>
        </w:tc>
        <w:tc>
          <w:tcPr>
            <w:tcW w:type="dxa" w:w="18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synthetic-respect</w:t>
            </w:r>
          </w:p>
        </w:tc>
      </w:tr>
    </w:tbl>
    <w:p>
      <w:pPr>
        <w:pStyle w:val="Heading2"/>
      </w:pPr>
      <w:r>
        <w:t xml:space="preserve">Why this moment was effective</w:t>
      </w:r>
    </w:p>
    <w:p>
      <w:pPr>
        <w:pStyle w:val="BodyText"/>
        <w:widowControl/>
      </w:pPr>
      <w:r>
        <w:t xml:space="preserve">A specific question gave the buyer a clear next step.</w:t>
      </w:r>
    </w:p>
    <w:p>
      <w:pPr>
        <w:pStyle w:val="Heading2"/>
      </w:pPr>
      <w:r>
        <w:t xml:space="preserve">Rewatch</w:t>
      </w:r>
    </w:p>
    <w:p>
      <w:pPr>
        <w:pStyle w:val="BodyText"/>
        <w:widowControl/>
      </w:pPr>
      <w:r>
        <w:t xml:space="preserve">Explore the timing concern</w:t>
      </w:r>
    </w:p>
    <w:p>
      <w:pPr>
        <w:pStyle w:val="BodyText"/>
        <w:widowControl/>
      </w:pPr>
      <w:r>
        <w:t xml:space="preserve">Purpose: must_watch</w:t>
      </w:r>
    </w:p>
    <w:p>
      <w:pPr>
        <w:pStyle w:val="Heading2"/>
      </w:pPr>
      <w:r>
        <w:t xml:space="preserve">Rewatch</w:t>
      </w:r>
    </w:p>
    <w:p>
      <w:pPr>
        <w:pStyle w:val="BodyText"/>
        <w:widowControl/>
      </w:pPr>
      <w:r>
        <w:t xml:space="preserve">Repeat the specific follow-up question</w:t>
      </w:r>
    </w:p>
    <w:p>
      <w:pPr>
        <w:pStyle w:val="BodyText"/>
        <w:widowControl/>
      </w:pPr>
      <w:r>
        <w:t xml:space="preserve">Purpose: repeat</w:t>
      </w:r>
    </w:p>
    <w:p>
      <w:pPr>
        <w:pStyle w:val="Heading1"/>
        <w:pageBreakBefore/>
      </w:pPr>
      <w:bookmarkStart w:name="analysis" w:id="8"/>
      <w:r>
        <w:t xml:space="preserve">Analysis</w:t>
      </w:r>
      <w:bookmarkEnd w:id="8"/>
    </w:p>
    <w:p>
      <w:pPr>
        <w:pStyle w:val="Heading2"/>
      </w:pPr>
      <w:r>
        <w:t xml:space="preserve">Capability evidence</w:t>
      </w:r>
    </w:p>
    <w:p>
      <w:pPr>
        <w:pStyle w:val="BodyText"/>
        <w:widowControl/>
      </w:pPr>
      <w:r>
        <w:t xml:space="preserve">Numeric scores are not supplied. Observation states are retained from the report.</w:t>
      </w:r>
    </w:p>
    <w:tbl>
      <w:tblPr>
        <w:tblW w:type="dxa" w:w="9758"/>
        <w:tblBorders>
          <w:top w:val="single" w:color="DDDDDA" w:sz="4"/>
          <w:left w:val="single" w:color="DDDDDA" w:sz="4"/>
          <w:bottom w:val="single" w:color="DDDDDA" w:sz="4"/>
          <w:right w:val="single" w:color="DDDDDA" w:sz="4"/>
          <w:insideH w:val="single" w:color="DDDDDA" w:sz="4"/>
          <w:insideV w:val="single" w:color="DDDDDA" w:sz="4"/>
        </w:tblBorders>
        <w:tblLayout w:type="fixed"/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2500"/>
        <w:gridCol w:w="1300"/>
        <w:gridCol w:w="5958"/>
      </w:tblGrid>
      <w:tr>
        <w:trPr>
          <w:cantSplit/>
          <w:tblHeader/>
        </w:trPr>
        <w:tc>
          <w:tcPr>
            <w:tcW w:type="dxa" w:w="25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3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5958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Human Connection &amp; Trust</w:t>
            </w:r>
          </w:p>
        </w:tc>
        <w:tc>
          <w:tcPr>
            <w:tcW w:type="dxa" w:w="13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Not scored</w:t>
            </w:r>
          </w:p>
        </w:tc>
        <w:tc>
          <w:tcPr>
            <w:tcW w:type="dxa" w:w="59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observed — The seller acknowledged the buyer's boundary and did not imply an agreed follow-up.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Discovery &amp; Deep Understanding</w:t>
            </w:r>
          </w:p>
        </w:tc>
        <w:tc>
          <w:tcPr>
            <w:tcW w:type="dxa" w:w="13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Not scored</w:t>
            </w:r>
          </w:p>
        </w:tc>
        <w:tc>
          <w:tcPr>
            <w:tcW w:type="dxa" w:w="59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observed — The buyer stated that timing was uncertain; the source does not establish why.</w:t>
            </w:r>
          </w:p>
        </w:tc>
      </w:tr>
      <w:tr>
        <w:trPr>
          <w:cantSplit/>
        </w:trPr>
        <w:tc>
          <w:tcPr>
            <w:tcW w:type="dxa" w:w="2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Qualification</w:t>
            </w:r>
          </w:p>
        </w:tc>
        <w:tc>
          <w:tcPr>
            <w:tcW w:type="dxa" w:w="13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Not scored</w:t>
            </w:r>
          </w:p>
        </w:tc>
        <w:tc>
          <w:tcPr>
            <w:tcW w:type="dxa" w:w="59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insufficient evidence — This short synthetic exchange does not establish qualification details.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Communication &amp; Tonality</w:t>
            </w:r>
          </w:p>
        </w:tc>
        <w:tc>
          <w:tcPr>
            <w:tcW w:type="dxa" w:w="13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Not scored</w:t>
            </w:r>
          </w:p>
        </w:tc>
        <w:tc>
          <w:tcPr>
            <w:tcW w:type="dxa" w:w="59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unknown — No supported observation was supplied for the wider call's tonality.</w:t>
            </w:r>
          </w:p>
        </w:tc>
      </w:tr>
    </w:tbl>
    <w:p>
      <w:pPr>
        <w:pStyle w:val="Heading2"/>
      </w:pPr>
      <w:r>
        <w:t xml:space="preserve">Missed opportunities</w:t>
      </w:r>
    </w:p>
    <w:p>
      <w:pPr>
        <w:pStyle w:val="BodyText"/>
        <w:widowControl/>
      </w:pPr>
      <w:r>
        <w:t xml:space="preserve">No findings supplied in this report.</w:t>
      </w:r>
    </w:p>
    <w:p>
      <w:pPr>
        <w:pStyle w:val="Heading2"/>
      </w:pPr>
      <w:r>
        <w:t xml:space="preserve">Prospect signal</w:t>
      </w:r>
    </w:p>
    <w:p>
      <w:pPr>
        <w:pStyle w:val="BodyText"/>
        <w:widowControl/>
      </w:pPr>
      <w:r>
        <w:t xml:space="preserve">The buyer asked to discuss timing.</w:t>
      </w:r>
    </w:p>
    <w:p>
      <w:pPr>
        <w:pStyle w:val="Heading2"/>
      </w:pPr>
      <w:r>
        <w:t xml:space="preserve">Seller response</w:t>
      </w:r>
    </w:p>
    <w:p>
      <w:pPr>
        <w:pStyle w:val="BodyText"/>
        <w:widowControl/>
      </w:pPr>
      <w:r>
        <w:t xml:space="preserve">The closer asked which time works.</w:t>
      </w:r>
    </w:p>
    <w:p>
      <w:pPr>
        <w:pStyle w:val="Heading2"/>
      </w:pPr>
      <w:r>
        <w:t xml:space="preserve">Suggested follow-up</w:t>
      </w:r>
    </w:p>
    <w:p>
      <w:pPr>
        <w:pStyle w:val="BodyText"/>
        <w:widowControl/>
      </w:pPr>
      <w:r>
        <w:t xml:space="preserve">Ask what they need to review beforehand.</w:t>
      </w:r>
    </w:p>
    <w:p>
      <w:pPr>
        <w:pStyle w:val="Heading2"/>
      </w:pPr>
      <w:r>
        <w:t xml:space="preserve">Potential impact</w:t>
      </w:r>
    </w:p>
    <w:p>
      <w:pPr>
        <w:pStyle w:val="BodyText"/>
        <w:widowControl/>
      </w:pPr>
      <w:r>
        <w:t xml:space="preserve">This may help prepare the next conversation.</w:t>
      </w:r>
    </w:p>
    <w:p>
      <w:pPr>
        <w:pStyle w:val="Heading2"/>
      </w:pPr>
      <w:r>
        <w:t xml:space="preserve">Objections</w:t>
      </w:r>
    </w:p>
    <w:p>
      <w:pPr>
        <w:pStyle w:val="BodyText"/>
        <w:widowControl/>
      </w:pPr>
      <w:r>
        <w:t xml:space="preserve">No findings supplied in this report.</w:t>
      </w:r>
    </w:p>
    <w:p>
      <w:pPr>
        <w:pStyle w:val="Heading2"/>
      </w:pPr>
      <w:r>
        <w:t xml:space="preserve">Closing analysis</w:t>
      </w:r>
    </w:p>
    <w:p>
      <w:pPr>
        <w:pStyle w:val="BodyText"/>
        <w:widowControl/>
      </w:pPr>
      <w:r>
        <w:t xml:space="preserve">No findings supplied in this report.</w:t>
      </w:r>
    </w:p>
    <w:p>
      <w:pPr>
        <w:pStyle w:val="Heading2"/>
      </w:pPr>
      <w:r>
        <w:t xml:space="preserve">Prospect interpretation · inference</w:t>
      </w:r>
    </w:p>
    <w:p>
      <w:pPr>
        <w:pStyle w:val="BodyText"/>
        <w:widowControl/>
      </w:pPr>
      <w:r>
        <w:t xml:space="preserve">The buyer deferred the timing discussion.</w:t>
      </w:r>
    </w:p>
    <w:p>
      <w:pPr>
        <w:pStyle w:val="BodyText"/>
        <w:widowControl/>
      </w:pPr>
      <w:r>
        <w:t xml:space="preserve">They may need time to review; ask rather than assume.</w:t>
      </w:r>
    </w:p>
    <w:p>
      <w:pPr>
        <w:pStyle w:val="Heading2"/>
      </w:pPr>
      <w:r>
        <w:t xml:space="preserve">Conversation change · inference</w:t>
      </w:r>
    </w:p>
    <w:p>
      <w:pPr>
        <w:pStyle w:val="BodyText"/>
        <w:widowControl/>
      </w:pPr>
      <w:r>
        <w:t xml:space="preserve">A timing concern was stated.</w:t>
      </w:r>
    </w:p>
    <w:p>
      <w:pPr>
        <w:pStyle w:val="BodyText"/>
        <w:widowControl/>
      </w:pPr>
      <w:r>
        <w:t xml:space="preserve">The closer asked for a specific time.</w:t>
      </w:r>
    </w:p>
    <w:p>
      <w:pPr>
        <w:pStyle w:val="BodyText"/>
        <w:widowControl/>
      </w:pPr>
      <w:r>
        <w:t xml:space="preserve">The buyer proposed a time.</w:t>
      </w:r>
    </w:p>
    <w:p>
      <w:pPr>
        <w:pStyle w:val="BodyText"/>
        <w:widowControl/>
      </w:pPr>
      <w:r>
        <w:t xml:space="preserve">The question may have made the next step more concrete.</w:t>
      </w:r>
    </w:p>
    <w:p>
      <w:pPr>
        <w:pStyle w:val="Heading1"/>
        <w:pageBreakBefore/>
      </w:pPr>
      <w:bookmarkStart w:name="coaching" w:id="9"/>
      <w:r>
        <w:t xml:space="preserve">Coaching</w:t>
      </w:r>
      <w:bookmarkEnd w:id="9"/>
    </w:p>
    <w:p>
      <w:pPr>
        <w:pStyle w:val="Heading2"/>
      </w:pPr>
      <w:r>
        <w:t xml:space="preserve">What happened</w:t>
      </w:r>
    </w:p>
    <w:p>
      <w:pPr>
        <w:pStyle w:val="BodyText"/>
        <w:widowControl/>
      </w:pPr>
      <w:r>
        <w:t xml:space="preserve">A synthetic observation for rendering checks.</w:t>
      </w:r>
    </w:p>
    <w:p>
      <w:pPr>
        <w:pStyle w:val="Heading2"/>
      </w:pPr>
      <w:r>
        <w:t xml:space="preserve">Why it matters</w:t>
      </w:r>
    </w:p>
    <w:p>
      <w:pPr>
        <w:pStyle w:val="BodyText"/>
        <w:widowControl/>
      </w:pPr>
      <w:r>
        <w:t xml:space="preserve">The stated barrier needs clarification.</w:t>
      </w: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BEFE6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Replacement behavior</w:t>
            </w:r>
          </w:p>
          <w:p>
            <w:pPr>
              <w:pStyle w:val="BodyText"/>
              <w:widowControl/>
            </w:pPr>
            <w:r>
              <w:t xml:space="preserve">Ask one question about the stated barrier.</w:t>
            </w:r>
          </w:p>
        </w:tc>
      </w:tr>
    </w:tbl>
    <w:p>
      <w:pPr>
        <w:pStyle w:val="Heading2"/>
      </w:pPr>
      <w:r>
        <w:t xml:space="preserve">Business impact · insufficient data</w:t>
      </w:r>
    </w:p>
    <w:p>
      <w:pPr>
        <w:pStyle w:val="BodyText"/>
        <w:numPr>
          <w:ilvl w:val="0"/>
          <w:numId w:val="2"/>
        </w:numPr>
      </w:pPr>
      <w:r>
        <w:t xml:space="preserve">Comparable conversion history</w:t>
      </w:r>
    </w:p>
    <w:p>
      <w:pPr>
        <w:pStyle w:val="BodyText"/>
        <w:numPr>
          <w:ilvl w:val="0"/>
          <w:numId w:val="2"/>
        </w:numPr>
      </w:pPr>
      <w:r>
        <w:t xml:space="preserve">Lead volume</w:t>
      </w:r>
    </w:p>
    <w:tbl>
      <w:tblPr>
        <w:tblW w:type="dxa" w:w="9758"/>
        <w:tblBorders>
          <w:top w:val="single" w:color="DDDDDA" w:sz="4"/>
          <w:left w:val="single" w:color="B33A3A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BEFE6" w:val="clear"/>
          </w:tcPr>
          <w:p>
            <w:pPr>
              <w:pStyle w:val="BodyText"/>
            </w:pPr>
            <w:r>
              <w:rPr>
                <w:b/>
                <w:bCs/>
                <w:color w:val="B33A3A"/>
              </w:rPr>
              <w:t xml:space="preserve">Risk / ethics note</w:t>
            </w:r>
          </w:p>
          <w:p>
            <w:pPr>
              <w:pStyle w:val="BodyText"/>
              <w:widowControl/>
            </w:pPr>
            <w:r>
              <w:t xml:space="preserve">This quoted question leaves the choice of time to the buyer.</w:t>
            </w:r>
          </w:p>
        </w:tc>
      </w:tr>
    </w:tbl>
    <w:p>
      <w:pPr>
        <w:pStyle w:val="BodyText"/>
        <w:widowControl/>
      </w:pP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EAF3EC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Next-call focus</w:t>
            </w:r>
          </w:p>
          <w:p>
            <w:pPr>
              <w:pStyle w:val="BodyText"/>
              <w:widowControl/>
            </w:pPr>
            <w:r>
              <w:t xml:space="preserve">In a future conversation, ask one neutral question about timing before offering a plan.</w:t>
            </w:r>
          </w:p>
        </w:tc>
      </w:tr>
    </w:tbl>
    <w:p>
      <w:pPr>
        <w:pStyle w:val="Heading2"/>
      </w:pPr>
      <w:r>
        <w:t xml:space="preserve">Target</w:t>
      </w:r>
    </w:p>
    <w:p>
      <w:pPr>
        <w:pStyle w:val="BodyText"/>
        <w:widowControl/>
      </w:pPr>
      <w:r>
        <w:t xml:space="preserve">Clarify the reason for uncertainty without assuming a follow-up is wanted.</w:t>
      </w:r>
    </w:p>
    <w:p>
      <w:pPr>
        <w:pStyle w:val="Heading2"/>
      </w:pPr>
      <w:r>
        <w:t xml:space="preserve">Practice</w:t>
      </w:r>
    </w:p>
    <w:p>
      <w:pPr>
        <w:pStyle w:val="BodyText"/>
        <w:numPr>
          <w:ilvl w:val="0"/>
          <w:numId w:val="2"/>
        </w:numPr>
      </w:pPr>
      <w:r>
        <w:t xml:space="preserve">Rehearse a permission-based question, then accept a decline without pressing for a next step.</w:t>
      </w:r>
    </w:p>
    <w:p>
      <w:pPr>
        <w:pStyle w:val="BodyText"/>
        <w:numPr>
          <w:ilvl w:val="0"/>
          <w:numId w:val="2"/>
        </w:numPr>
      </w:pPr>
      <w:r>
        <w:t xml:space="preserve">You ask once, listen, and leave the decision with the buyer.</w:t>
      </w:r>
    </w:p>
    <w:p>
      <w:pPr>
        <w:pStyle w:val="Heading2"/>
      </w:pPr>
      <w:r>
        <w:t xml:space="preserve">Final assessment</w:t>
      </w:r>
    </w:p>
    <w:p>
      <w:pPr>
        <w:pStyle w:val="BodyText"/>
        <w:numPr>
          <w:ilvl w:val="0"/>
          <w:numId w:val="2"/>
        </w:numPr>
      </w:pPr>
      <w:r>
        <w:t xml:space="preserve">Keep the supported strength.</w:t>
      </w:r>
    </w:p>
    <w:p>
      <w:pPr>
        <w:pStyle w:val="BodyText"/>
        <w:numPr>
          <w:ilvl w:val="0"/>
          <w:numId w:val="2"/>
        </w:numPr>
      </w:pPr>
      <w:r>
        <w:t xml:space="preserve">Clarify the stated barrier.</w:t>
      </w:r>
    </w:p>
    <w:p>
      <w:pPr>
        <w:pStyle w:val="BodyText"/>
        <w:numPr>
          <w:ilvl w:val="0"/>
          <w:numId w:val="2"/>
        </w:numPr>
      </w:pPr>
      <w:r>
        <w:t xml:space="preserve">Ask one follow-up question.</w:t>
      </w:r>
    </w:p>
    <w:p>
      <w:pPr>
        <w:pStyle w:val="BodyText"/>
        <w:widowControl/>
      </w:pPr>
      <w:r>
        <w:t xml:space="preserve">Synthetic qualitative draft for human review.</w:t>
      </w:r>
    </w:p>
    <w:p>
      <w:pPr>
        <w:pStyle w:val="Heading1"/>
        <w:pageBreakBefore/>
      </w:pPr>
      <w:bookmarkStart w:name="transcript" w:id="10"/>
      <w:r>
        <w:t xml:space="preserve">Transcript appendix</w:t>
      </w:r>
      <w:bookmarkEnd w:id="10"/>
    </w:p>
    <w:p>
      <w:pPr>
        <w:pStyle w:val="Heading2"/>
      </w:pPr>
      <w:r>
        <w:t xml:space="preserve">0:12–0:15 · Speaker not supplied</w:t>
      </w:r>
    </w:p>
    <w:p>
      <w:pPr>
        <w:pStyle w:val="BodyText"/>
        <w:widowControl/>
      </w:pPr>
      <w:r>
        <w:t xml:space="preserve">Our timing is uncertain on this side.</w:t>
      </w:r>
    </w:p>
    <w:p>
      <w:pPr>
        <w:pStyle w:val="Heading2"/>
      </w:pPr>
      <w:r>
        <w:t xml:space="preserve">0:26–0:30 · Speaker not supplied</w:t>
      </w:r>
    </w:p>
    <w:p>
      <w:pPr>
        <w:pStyle w:val="BodyText"/>
        <w:widowControl/>
      </w:pPr>
      <w:r>
        <w:t xml:space="preserve">I don't want to set another step today. Please don't follow up.</w:t>
      </w:r>
    </w:p>
    <w:p>
      <w:pPr>
        <w:pStyle w:val="Heading2"/>
      </w:pPr>
      <w:r>
        <w:t xml:space="preserve">0:31–0:35 · Speaker not supplied</w:t>
      </w:r>
    </w:p>
    <w:p>
      <w:pPr>
        <w:pStyle w:val="BodyText"/>
        <w:widowControl/>
      </w:pPr>
      <w:r>
        <w:t xml:space="preserve">Understood. I won't schedule a follow-up.</w:t>
      </w:r>
    </w:p>
    <w:sectPr>
      <w:headerReference w:type="default" r:id="rId6"/>
      <w:footerReference w:type="default" r:id="rId7"/>
      <w:pgSz w:w="11906" w:h="16838" w:orient="portrait"/>
      <w:pgMar w:top="1074" w:right="1074" w:bottom="1074" w:left="1074" w:header="48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B6B"/>
        <w:sz w:val="16"/>
        <w:szCs w:val="16"/>
      </w:rPr>
      <w:t xml:space="preserve">Authority Closers  ·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6B6B"/>
        <w:sz w:val="16"/>
        <w:szCs w:val="16"/>
      </w:rPr>
      <w:t xml:space="preserve">Sales Xray · Fictional seller — sample call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keepNext/>
      <w:spacing w:after="240" w:before="600" w:line="600" w:lineRule="exact"/>
    </w:pPr>
    <w:rPr>
      <w:b/>
      <w:bCs/>
      <w:color w:val="16283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B8862E" w:sz="12" w:space="8"/>
      </w:pBdr>
      <w:spacing w:after="240"/>
    </w:pPr>
    <w:rPr>
      <w:b/>
      <w:bCs/>
      <w:color w:val="16283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1F3A5F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next w:val="BodyText"/>
    <w:qFormat/>
  </w:style>
  <w:style w:type="paragraph" w:styleId="Kicker">
    <w:name w:val="Kicker"/>
    <w:basedOn w:val="Normal"/>
    <w:pPr>
      <w:keepNext/>
    </w:pPr>
    <w:rPr>
      <w:b/>
      <w:bCs/>
      <w:color w:val="B8862E"/>
      <w:sz w:val="18"/>
      <w:szCs w:val="18"/>
    </w:rPr>
  </w:style>
  <w:style w:type="paragraph" w:styleId="Subtitle">
    <w:name w:val="Subtitle"/>
    <w:basedOn w:val="Normal"/>
    <w:pPr>
      <w:keepNext/>
      <w:spacing w:after="400"/>
    </w:pPr>
    <w:rPr>
      <w:color w:val="6B6B6B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seller — sample call report – Sales Xray report</dc:title>
  <dc:creator>Authority Closers</dc:creator>
  <cp:lastModifiedBy>Un-named</cp:lastModifiedBy>
  <cp:revision>1</cp:revision>
  <dcterms:created xsi:type="dcterms:W3CDTF">2026-10-04T05:21:28.349Z</dcterms:created>
  <dcterms:modified xsi:type="dcterms:W3CDTF">2026-10-04T05:21:28.349Z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