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sz w:val="40"/>
          <w:szCs w:val="40"/>
        </w:rPr>
        <w:t xml:space="preserve">MACHINE LEARNING-BASED PREDICTION OF</w:t>
      </w:r>
    </w:p>
    <w:p>
      <w:pPr>
        <w:spacing w:after="300"/>
        <w:jc w:val="center"/>
      </w:pPr>
      <w:r>
        <w:rPr>
          <w:b/>
          <w:bCs/>
          <w:sz w:val="40"/>
          <w:szCs w:val="40"/>
        </w:rPr>
        <w:t xml:space="preserve">UNIVERSITY STUDENT DROPOUT</w:t>
      </w:r>
    </w:p>
    <w:p>
      <w:pPr>
        <w:spacing w:after="100"/>
        <w:jc w:val="center"/>
      </w:pPr>
      <w:r>
        <w:rPr>
          <w:i/>
          <w:iCs/>
          <w:sz w:val="26"/>
          <w:szCs w:val="26"/>
        </w:rPr>
        <w:t xml:space="preserve">Final-Term Project Report</w:t>
      </w:r>
    </w:p>
    <w:p>
      <w:pPr>
        <w:spacing w:after="600"/>
        <w:jc w:val="center"/>
      </w:pPr>
      <w:r>
        <w:rPr>
          <w:sz w:val="24"/>
          <w:szCs w:val="24"/>
        </w:rPr>
        <w:t xml:space="preserve">Programming in Python | Summer 25-26 Semester</w:t>
      </w:r>
    </w:p>
    <w:p>
      <w:pPr>
        <w:spacing w:after="200"/>
        <w:jc w:val="center"/>
      </w:pPr>
      <w:r>
        <w:rPr>
          <w:b/>
          <w:bCs/>
          <w:sz w:val="26"/>
          <w:szCs w:val="26"/>
        </w:rPr>
        <w:t xml:space="preserve">Group Members</w:t>
      </w:r>
    </w:p>
    <w:p>
      <w:pPr>
        <w:spacing w:after="80"/>
        <w:jc w:val="center"/>
      </w:pPr>
      <w:r>
        <w:rPr>
          <w:sz w:val="24"/>
          <w:szCs w:val="24"/>
        </w:rPr>
        <w:t xml:space="preserve">Sadiya Mohon Auti — 23-52092-2</w:t>
      </w:r>
    </w:p>
    <w:p>
      <w:pPr>
        <w:spacing w:after="600"/>
        <w:jc w:val="center"/>
      </w:pPr>
      <w:r>
        <w:rPr>
          <w:sz w:val="24"/>
          <w:szCs w:val="24"/>
        </w:rPr>
        <w:t xml:space="preserve">Tasmia Amin — 23-53122-3</w:t>
      </w:r>
    </w:p>
    <w:p>
      <w:pPr>
        <w:spacing w:after="80"/>
        <w:jc w:val="center"/>
      </w:pPr>
      <w:r>
        <w:rPr>
          <w:sz w:val="22"/>
          <w:szCs w:val="22"/>
        </w:rPr>
        <w:t xml:space="preserve">Pathway: Classification (Binary — Dropout vs. Graduate)</w:t>
      </w:r>
    </w:p>
    <w:p>
      <w:pPr>
        <w:jc w:val="center"/>
      </w:pPr>
      <w:r>
        <w:rPr>
          <w:sz w:val="22"/>
          <w:szCs w:val="22"/>
        </w:rPr>
        <w:t xml:space="preserve">Dataset: UCI “Predict Students’ Dropout and Academic Success”</w:t>
      </w:r>
    </w:p>
    <w:p>
      <w:r>
        <w:br w:type="page"/>
      </w:r>
    </w:p>
    <w:p>
      <w:pPr>
        <w:pStyle w:val="Heading1"/>
        <w:spacing w:after="150" w:before="3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50" w:before="300"/>
      </w:pPr>
      <w:r>
        <w:t xml:space="preserve">1. Project Title and Group / Member Information</w:t>
      </w:r>
    </w:p>
    <w:p>
      <w:pPr>
        <w:spacing w:after="120"/>
      </w:pPr>
      <w:r>
        <w:t xml:space="preserve">Project Title: Machine Learning-Based Prediction of University Student Dropout</w:t>
      </w:r>
    </w:p>
    <w:p>
      <w:pPr>
        <w:spacing w:after="120"/>
      </w:pPr>
      <w:r>
        <w:t xml:space="preserve">Course: Programming in Python — Summer 25-26 Semester</w:t>
      </w:r>
    </w:p>
    <w:p>
      <w:pPr>
        <w:spacing w:after="120"/>
      </w:pPr>
      <w:r>
        <w:t xml:space="preserve">Pathway: Classification (binary: Dropout vs. Graduate)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560"/>
      </w:tblGrid>
      <w:tr>
        <w:trPr>
          <w:tblHeader/>
        </w:trPr>
        <w:tc>
          <w:tcPr>
            <w:tcW w:type="dxa" w:w="3200"/>
            <w:shd w:fill="1F4E79" w:val="clear"/>
            <w:tcMar>
              <w:top w:type="dxa" w:w="80"/>
              <w:left w:type="dxa" w:w="100"/>
              <w:bottom w:type="dxa" w:w="80"/>
              <w:right w:type="dxa" w:w="100"/>
            </w:tcMar>
          </w:tcPr>
          <w:p>
            <w:pPr>
              <w:jc w:val="center"/>
            </w:pPr>
            <w:r>
              <w:rPr>
                <w:b/>
                <w:bCs/>
                <w:color w:val="FFFFFF"/>
                <w:sz w:val="20"/>
                <w:szCs w:val="20"/>
              </w:rPr>
              <w:t xml:space="preserve">Name</w:t>
            </w:r>
          </w:p>
        </w:tc>
        <w:tc>
          <w:tcPr>
            <w:tcW w:type="dxa" w:w="1600"/>
            <w:shd w:fill="1F4E79" w:val="clear"/>
            <w:tcMar>
              <w:top w:type="dxa" w:w="80"/>
              <w:left w:type="dxa" w:w="100"/>
              <w:bottom w:type="dxa" w:w="80"/>
              <w:right w:type="dxa" w:w="100"/>
            </w:tcMar>
          </w:tcPr>
          <w:p>
            <w:pPr>
              <w:jc w:val="center"/>
            </w:pPr>
            <w:r>
              <w:rPr>
                <w:b/>
                <w:bCs/>
                <w:color w:val="FFFFFF"/>
                <w:sz w:val="20"/>
                <w:szCs w:val="20"/>
              </w:rPr>
              <w:t xml:space="preserve">ID</w:t>
            </w:r>
          </w:p>
        </w:tc>
        <w:tc>
          <w:tcPr>
            <w:tcW w:type="dxa" w:w="4560"/>
            <w:shd w:fill="1F4E79" w:val="clear"/>
            <w:tcMar>
              <w:top w:type="dxa" w:w="80"/>
              <w:left w:type="dxa" w:w="100"/>
              <w:bottom w:type="dxa" w:w="80"/>
              <w:right w:type="dxa" w:w="100"/>
            </w:tcMar>
          </w:tcPr>
          <w:p>
            <w:pPr>
              <w:jc w:val="center"/>
            </w:pPr>
            <w:r>
              <w:rPr>
                <w:b/>
                <w:bCs/>
                <w:color w:val="FFFFFF"/>
                <w:sz w:val="20"/>
                <w:szCs w:val="20"/>
              </w:rPr>
              <w:t xml:space="preserve">Primary Contribution Areas</w:t>
            </w:r>
          </w:p>
        </w:tc>
      </w:tr>
      <w:tr>
        <w:tc>
          <w:tcPr>
            <w:tcW w:type="dxa" w:w="3200"/>
            <w:tcMar>
              <w:top w:type="dxa" w:w="80"/>
              <w:left w:type="dxa" w:w="100"/>
              <w:bottom w:type="dxa" w:w="80"/>
              <w:right w:type="dxa" w:w="100"/>
            </w:tcMar>
          </w:tcPr>
          <w:p>
            <w:pPr>
              <w:jc w:val="left"/>
            </w:pPr>
            <w:r>
              <w:rPr>
                <w:b w:val="false"/>
                <w:bCs w:val="false"/>
                <w:sz w:val="20"/>
                <w:szCs w:val="20"/>
              </w:rPr>
              <w:t xml:space="preserve">Sadiya Mohon Auti (Lead Technical Contributor)</w:t>
            </w:r>
          </w:p>
        </w:tc>
        <w:tc>
          <w:tcPr>
            <w:tcW w:type="dxa" w:w="1600"/>
            <w:tcMar>
              <w:top w:type="dxa" w:w="80"/>
              <w:left w:type="dxa" w:w="100"/>
              <w:bottom w:type="dxa" w:w="80"/>
              <w:right w:type="dxa" w:w="100"/>
            </w:tcMar>
          </w:tcPr>
          <w:p>
            <w:pPr>
              <w:jc w:val="center"/>
            </w:pPr>
            <w:r>
              <w:rPr>
                <w:b w:val="false"/>
                <w:bCs w:val="false"/>
                <w:sz w:val="20"/>
                <w:szCs w:val="20"/>
              </w:rPr>
              <w:t xml:space="preserve">23-52092-2</w:t>
            </w:r>
          </w:p>
        </w:tc>
        <w:tc>
          <w:tcPr>
            <w:tcW w:type="dxa" w:w="4560"/>
            <w:tcMar>
              <w:top w:type="dxa" w:w="80"/>
              <w:left w:type="dxa" w:w="100"/>
              <w:bottom w:type="dxa" w:w="80"/>
              <w:right w:type="dxa" w:w="100"/>
            </w:tcMar>
          </w:tcPr>
          <w:p>
            <w:pPr>
              <w:jc w:val="center"/>
            </w:pPr>
            <w:r>
              <w:rPr>
                <w:b w:val="false"/>
                <w:bCs w:val="false"/>
                <w:sz w:val="20"/>
                <w:szCs w:val="20"/>
              </w:rPr>
              <w:t xml:space="preserve">Preprocessing pipeline, leakage-safe design, 70/15/15 split methodology, Random Forest &amp; Gradient Boosting (untuned + tuned), feature-importance &amp; coefficient interpretation, confusion-matrix &amp; error analysis, threshold sensitivity, cross-validation uncertainty, final model selection, model saving &amp; reproducibility, and the majority of the technical report writing.</w:t>
            </w:r>
          </w:p>
        </w:tc>
      </w:tr>
      <w:tr>
        <w:tc>
          <w:tcPr>
            <w:tcW w:type="dxa" w:w="3200"/>
            <w:tcMar>
              <w:top w:type="dxa" w:w="80"/>
              <w:left w:type="dxa" w:w="100"/>
              <w:bottom w:type="dxa" w:w="80"/>
              <w:right w:type="dxa" w:w="100"/>
            </w:tcMar>
          </w:tcPr>
          <w:p>
            <w:pPr>
              <w:jc w:val="left"/>
            </w:pPr>
            <w:r>
              <w:rPr>
                <w:b w:val="false"/>
                <w:bCs w:val="false"/>
                <w:sz w:val="20"/>
                <w:szCs w:val="20"/>
              </w:rPr>
              <w:t xml:space="preserve">Tasmia Amin</w:t>
            </w:r>
          </w:p>
        </w:tc>
        <w:tc>
          <w:tcPr>
            <w:tcW w:type="dxa" w:w="1600"/>
            <w:tcMar>
              <w:top w:type="dxa" w:w="80"/>
              <w:left w:type="dxa" w:w="100"/>
              <w:bottom w:type="dxa" w:w="80"/>
              <w:right w:type="dxa" w:w="100"/>
            </w:tcMar>
          </w:tcPr>
          <w:p>
            <w:pPr>
              <w:jc w:val="center"/>
            </w:pPr>
            <w:r>
              <w:rPr>
                <w:b w:val="false"/>
                <w:bCs w:val="false"/>
                <w:sz w:val="20"/>
                <w:szCs w:val="20"/>
              </w:rPr>
              <w:t xml:space="preserve">23-53122-3</w:t>
            </w:r>
          </w:p>
        </w:tc>
        <w:tc>
          <w:tcPr>
            <w:tcW w:type="dxa" w:w="4560"/>
            <w:tcMar>
              <w:top w:type="dxa" w:w="80"/>
              <w:left w:type="dxa" w:w="100"/>
              <w:bottom w:type="dxa" w:w="80"/>
              <w:right w:type="dxa" w:w="100"/>
            </w:tcMar>
          </w:tcPr>
          <w:p>
            <w:pPr>
              <w:jc w:val="center"/>
            </w:pPr>
            <w:r>
              <w:rPr>
                <w:b w:val="false"/>
                <w:bCs w:val="false"/>
                <w:sz w:val="20"/>
                <w:szCs w:val="20"/>
              </w:rPr>
              <w:t xml:space="preserve">Initial data audit, target definition, near-constant/macroeconomic feature removal, Discipline_Group feature (joint), Logistic Regression &amp; KNN (untuned + tuned), initial EDA visualizations, and report sections on problem statement and data audit.</w:t>
            </w:r>
          </w:p>
        </w:tc>
      </w:tr>
    </w:tbl>
    <w:p>
      <w:pPr>
        <w:spacing w:after="120"/>
      </w:pPr>
      <w:r>
        <w:t xml:space="preserve">Note: The technical implementation, evaluation depth, and finalisation of this project were led by Sadiya Mohon Auti, as detailed in Section 12 (Contribution Statement).</w:t>
      </w:r>
    </w:p>
    <w:p>
      <w:pPr>
        <w:pStyle w:val="Heading1"/>
        <w:spacing w:after="150" w:before="300"/>
      </w:pPr>
      <w:r>
        <w:t xml:space="preserve">2. Problem Statement, Stakeholders, Objective, and Success Criteria</w:t>
      </w:r>
    </w:p>
    <w:p>
      <w:pPr>
        <w:pStyle w:val="Heading2"/>
        <w:spacing w:after="120" w:before="220"/>
      </w:pPr>
      <w:r>
        <w:t xml:space="preserve">2.1 Problem Statement</w:t>
      </w:r>
    </w:p>
    <w:p>
      <w:pPr>
        <w:spacing w:after="120"/>
      </w:pPr>
      <w:r>
        <w:t xml:space="preserve">Student dropout is a major challenge for higher education institutions. Students who leave their programs before graduation face academic, financial, and social setbacks, while institutions face reduced completion rates and inefficient use of resources. Traditional identification of at-risk students relies on manual monitoring by advisors, which is often too slow. This project asks:</w:t>
      </w:r>
    </w:p>
    <w:p>
      <w:pPr>
        <w:spacing w:after="120"/>
      </w:pPr>
      <w:r>
        <w:rPr>
          <w:b/>
          <w:bCs/>
          <w:i/>
          <w:iCs/>
        </w:rPr>
        <w:t xml:space="preserve">Can machine learning algorithms predict whether a university student will eventually drop out or graduate, based on demographic, socioeconomic, admission, and academic information?</w:t>
      </w:r>
    </w:p>
    <w:p>
      <w:pPr>
        <w:pStyle w:val="Heading2"/>
        <w:spacing w:after="120" w:before="220"/>
      </w:pPr>
      <w:r>
        <w:t xml:space="preserve">2.2 Stakeholders</w:t>
      </w:r>
    </w:p>
    <w:p>
      <w:pPr>
        <w:pStyle w:val="ListParagraph"/>
        <w:numPr>
          <w:ilvl w:val="0"/>
          <w:numId w:val="1"/>
        </w:numPr>
        <w:spacing w:after="60"/>
      </w:pPr>
      <w:r>
        <w:t xml:space="preserve">University administration and academic advisors — to plan early intervention and support programs.</w:t>
      </w:r>
    </w:p>
    <w:p>
      <w:pPr>
        <w:pStyle w:val="ListParagraph"/>
        <w:numPr>
          <w:ilvl w:val="0"/>
          <w:numId w:val="1"/>
        </w:numPr>
        <w:spacing w:after="60"/>
      </w:pPr>
      <w:r>
        <w:t xml:space="preserve">Students at risk of dropping out — the ultimate beneficiaries of early support.</w:t>
      </w:r>
    </w:p>
    <w:p>
      <w:pPr>
        <w:pStyle w:val="ListParagraph"/>
        <w:numPr>
          <w:ilvl w:val="0"/>
          <w:numId w:val="1"/>
        </w:numPr>
        <w:spacing w:after="60"/>
      </w:pPr>
      <w:r>
        <w:t xml:space="preserve">Financial-aid and counselling offices — to prioritise limited support resources.</w:t>
      </w:r>
    </w:p>
    <w:p>
      <w:pPr>
        <w:pStyle w:val="Heading2"/>
        <w:spacing w:after="120" w:before="220"/>
      </w:pPr>
      <w:r>
        <w:t xml:space="preserve">2.3 Objective</w:t>
      </w:r>
    </w:p>
    <w:p>
      <w:pPr>
        <w:spacing w:after="120"/>
      </w:pPr>
      <w:r>
        <w:t xml:space="preserve">To build and evaluate a leakage-safe, reproducible binary classification pipeline (Dropout = 1, Graduate = 0) that identifies at-risk students early enough for meaningful intervention, using a defensible train/validation/test methodology rather than chasing the highest possible accuracy.</w:t>
      </w:r>
    </w:p>
    <w:p>
      <w:pPr>
        <w:pStyle w:val="Heading2"/>
        <w:spacing w:after="120" w:before="220"/>
      </w:pPr>
      <w:r>
        <w:t xml:space="preserve">2.4 Success Criteria</w:t>
      </w:r>
    </w:p>
    <w:p>
      <w:pPr>
        <w:pStyle w:val="ListParagraph"/>
        <w:numPr>
          <w:ilvl w:val="0"/>
          <w:numId w:val="1"/>
        </w:numPr>
        <w:spacing w:after="60"/>
      </w:pPr>
      <w:r>
        <w:t xml:space="preserve">A working end-to-end notebook that runs from raw data to final metrics without manual intervention.</w:t>
      </w:r>
    </w:p>
    <w:p>
      <w:pPr>
        <w:pStyle w:val="ListParagraph"/>
        <w:numPr>
          <w:ilvl w:val="0"/>
          <w:numId w:val="1"/>
        </w:numPr>
        <w:spacing w:after="60"/>
      </w:pPr>
      <w:r>
        <w:t xml:space="preserve">A model that clearly outperforms a majority-class baseline on F1-score, precision, and recall — not accuracy alone.</w:t>
      </w:r>
    </w:p>
    <w:p>
      <w:pPr>
        <w:pStyle w:val="ListParagraph"/>
        <w:numPr>
          <w:ilvl w:val="0"/>
          <w:numId w:val="1"/>
        </w:numPr>
        <w:spacing w:after="60"/>
      </w:pPr>
      <w:r>
        <w:t xml:space="preserve">Full leakage control: no test-set information used for imputation, scaling, encoding, tuning, or model selection.</w:t>
      </w:r>
    </w:p>
    <w:p>
      <w:pPr>
        <w:pStyle w:val="ListParagraph"/>
        <w:numPr>
          <w:ilvl w:val="0"/>
          <w:numId w:val="1"/>
        </w:numPr>
        <w:spacing w:after="60"/>
      </w:pPr>
      <w:r>
        <w:t xml:space="preserve">Honest interpretation of errors, uncertainty, bias, and the limits of the model's real-world applicability.</w:t>
      </w:r>
    </w:p>
    <w:p>
      <w:pPr>
        <w:pStyle w:val="Heading1"/>
        <w:spacing w:after="150" w:before="300"/>
      </w:pPr>
      <w:r>
        <w:t xml:space="preserve">3. Dataset Source, License, Data Dictionary, Privacy and Ethical Considerations</w:t>
      </w:r>
    </w:p>
    <w:p>
      <w:pPr>
        <w:pStyle w:val="Heading2"/>
        <w:spacing w:after="120" w:before="220"/>
      </w:pPr>
      <w:r>
        <w:t xml:space="preserve">3.1 Source and License</w:t>
      </w:r>
    </w:p>
    <w:p>
      <w:pPr>
        <w:spacing w:after="120"/>
      </w:pPr>
      <w:r>
        <w:t xml:space="preserve">Dataset: UCI Machine Learning Repository — “Predict Students’ Dropout and Academic Success.” Collected from the Instituto Politécnico de Portalegre, Portugal.</w:t>
      </w:r>
    </w:p>
    <w:p>
      <w:pPr>
        <w:spacing w:after="120"/>
      </w:pPr>
      <w:r>
        <w:t xml:space="preserve">Citation: Realinho, V., Vieira Martins, M., Machado, J., &amp; Baptista, L. (2021). Predict Students’ Dropout and Academic Success. UCI Machine Learning Repository.</w:t>
      </w:r>
    </w:p>
    <w:p>
      <w:pPr>
        <w:spacing w:after="120"/>
      </w:pPr>
      <w:r>
        <w:t xml:space="preserve">License: CC BY 4.0 — permits reuse with attribution, which is provided above and in the References section.</w:t>
      </w:r>
    </w:p>
    <w:p>
      <w:pPr>
        <w:pStyle w:val="Heading2"/>
        <w:spacing w:after="120" w:before="220"/>
      </w:pPr>
      <w:r>
        <w:t xml:space="preserve">3.2 Sample Size and Fields</w:t>
      </w:r>
    </w:p>
    <w:p>
      <w:pPr>
        <w:spacing w:after="120"/>
      </w:pPr>
      <w:r>
        <w:t xml:space="preserve">Original data: 4,424 observations, 37 columns, describing demographics, socioeconomic status, admission details, and first/second-semester academic performance, with a three-class target (Dropout / Enrolled / Graduate).</w:t>
      </w:r>
    </w:p>
    <w:p>
      <w:pPr>
        <w:pStyle w:val="Heading2"/>
        <w:spacing w:after="120" w:before="220"/>
      </w:pPr>
      <w:r>
        <w:t xml:space="preserve">3.3 Data Dictionary (Key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5060"/>
      </w:tblGrid>
      <w:tr>
        <w:trPr>
          <w:tblHeader/>
        </w:trPr>
        <w:tc>
          <w:tcPr>
            <w:tcW w:type="dxa" w:w="2600"/>
            <w:shd w:fill="1F4E79" w:val="clear"/>
            <w:tcMar>
              <w:top w:type="dxa" w:w="80"/>
              <w:left w:type="dxa" w:w="100"/>
              <w:bottom w:type="dxa" w:w="80"/>
              <w:right w:type="dxa" w:w="100"/>
            </w:tcMar>
          </w:tcPr>
          <w:p>
            <w:pPr>
              <w:jc w:val="center"/>
            </w:pPr>
            <w:r>
              <w:rPr>
                <w:b/>
                <w:bCs/>
                <w:color w:val="FFFFFF"/>
                <w:sz w:val="20"/>
                <w:szCs w:val="20"/>
              </w:rPr>
              <w:t xml:space="preserve">Variable</w:t>
            </w:r>
          </w:p>
        </w:tc>
        <w:tc>
          <w:tcPr>
            <w:tcW w:type="dxa" w:w="1700"/>
            <w:shd w:fill="1F4E79" w:val="clear"/>
            <w:tcMar>
              <w:top w:type="dxa" w:w="80"/>
              <w:left w:type="dxa" w:w="100"/>
              <w:bottom w:type="dxa" w:w="80"/>
              <w:right w:type="dxa" w:w="100"/>
            </w:tcMar>
          </w:tcPr>
          <w:p>
            <w:pPr>
              <w:jc w:val="center"/>
            </w:pPr>
            <w:r>
              <w:rPr>
                <w:b/>
                <w:bCs/>
                <w:color w:val="FFFFFF"/>
                <w:sz w:val="20"/>
                <w:szCs w:val="20"/>
              </w:rPr>
              <w:t xml:space="preserve">Type</w:t>
            </w:r>
          </w:p>
        </w:tc>
        <w:tc>
          <w:tcPr>
            <w:tcW w:type="dxa" w:w="5060"/>
            <w:shd w:fill="1F4E79" w:val="clear"/>
            <w:tcMar>
              <w:top w:type="dxa" w:w="80"/>
              <w:left w:type="dxa" w:w="100"/>
              <w:bottom w:type="dxa" w:w="80"/>
              <w:right w:type="dxa" w:w="100"/>
            </w:tcMar>
          </w:tcPr>
          <w:p>
            <w:pPr>
              <w:jc w:val="center"/>
            </w:pPr>
            <w:r>
              <w:rPr>
                <w:b/>
                <w:bCs/>
                <w:color w:val="FFFFFF"/>
                <w:sz w:val="20"/>
                <w:szCs w:val="20"/>
              </w:rPr>
              <w:t xml:space="preserve">Description</w:t>
            </w:r>
          </w:p>
        </w:tc>
      </w:tr>
      <w:tr>
        <w:tc>
          <w:tcPr>
            <w:tcW w:type="dxa" w:w="2600"/>
            <w:tcMar>
              <w:top w:type="dxa" w:w="80"/>
              <w:left w:type="dxa" w:w="100"/>
              <w:bottom w:type="dxa" w:w="80"/>
              <w:right w:type="dxa" w:w="100"/>
            </w:tcMar>
          </w:tcPr>
          <w:p>
            <w:pPr>
              <w:jc w:val="left"/>
            </w:pPr>
            <w:r>
              <w:rPr>
                <w:b w:val="false"/>
                <w:bCs w:val="false"/>
                <w:sz w:val="20"/>
                <w:szCs w:val="20"/>
              </w:rPr>
              <w:t xml:space="preserve">Target</w:t>
            </w:r>
          </w:p>
        </w:tc>
        <w:tc>
          <w:tcPr>
            <w:tcW w:type="dxa" w:w="1700"/>
            <w:tcMar>
              <w:top w:type="dxa" w:w="80"/>
              <w:left w:type="dxa" w:w="100"/>
              <w:bottom w:type="dxa" w:w="80"/>
              <w:right w:type="dxa" w:w="100"/>
            </w:tcMar>
          </w:tcPr>
          <w:p>
            <w:pPr>
              <w:jc w:val="center"/>
            </w:pPr>
            <w:r>
              <w:rPr>
                <w:b w:val="false"/>
                <w:bCs w:val="false"/>
                <w:sz w:val="20"/>
                <w:szCs w:val="20"/>
              </w:rPr>
              <w:t xml:space="preserve">Categorical → Binary</w:t>
            </w:r>
          </w:p>
        </w:tc>
        <w:tc>
          <w:tcPr>
            <w:tcW w:type="dxa" w:w="5060"/>
            <w:tcMar>
              <w:top w:type="dxa" w:w="80"/>
              <w:left w:type="dxa" w:w="100"/>
              <w:bottom w:type="dxa" w:w="80"/>
              <w:right w:type="dxa" w:w="100"/>
            </w:tcMar>
          </w:tcPr>
          <w:p>
            <w:pPr>
              <w:jc w:val="center"/>
            </w:pPr>
            <w:r>
              <w:rPr>
                <w:b w:val="false"/>
                <w:bCs w:val="false"/>
                <w:sz w:val="20"/>
                <w:szCs w:val="20"/>
              </w:rPr>
              <w:t xml:space="preserve">Original: Dropout/Enrolled/Graduate. Recoded: 1 = Dropout, 0 = Graduate (Enrolled removed).</w:t>
            </w:r>
          </w:p>
        </w:tc>
      </w:tr>
      <w:tr>
        <w:tc>
          <w:tcPr>
            <w:tcW w:type="dxa" w:w="2600"/>
            <w:tcMar>
              <w:top w:type="dxa" w:w="80"/>
              <w:left w:type="dxa" w:w="100"/>
              <w:bottom w:type="dxa" w:w="80"/>
              <w:right w:type="dxa" w:w="100"/>
            </w:tcMar>
          </w:tcPr>
          <w:p>
            <w:pPr>
              <w:jc w:val="left"/>
            </w:pPr>
            <w:r>
              <w:rPr>
                <w:b w:val="false"/>
                <w:bCs w:val="false"/>
                <w:sz w:val="20"/>
                <w:szCs w:val="20"/>
              </w:rPr>
              <w:t xml:space="preserve">Age at enrollment</w:t>
            </w:r>
          </w:p>
        </w:tc>
        <w:tc>
          <w:tcPr>
            <w:tcW w:type="dxa" w:w="1700"/>
            <w:tcMar>
              <w:top w:type="dxa" w:w="80"/>
              <w:left w:type="dxa" w:w="100"/>
              <w:bottom w:type="dxa" w:w="80"/>
              <w:right w:type="dxa" w:w="100"/>
            </w:tcMar>
          </w:tcPr>
          <w:p>
            <w:pPr>
              <w:jc w:val="center"/>
            </w:pPr>
            <w:r>
              <w:rPr>
                <w:b w:val="false"/>
                <w:bCs w:val="false"/>
                <w:sz w:val="20"/>
                <w:szCs w:val="20"/>
              </w:rPr>
              <w:t xml:space="preserve">Numeric</w:t>
            </w:r>
          </w:p>
        </w:tc>
        <w:tc>
          <w:tcPr>
            <w:tcW w:type="dxa" w:w="5060"/>
            <w:tcMar>
              <w:top w:type="dxa" w:w="80"/>
              <w:left w:type="dxa" w:w="100"/>
              <w:bottom w:type="dxa" w:w="80"/>
              <w:right w:type="dxa" w:w="100"/>
            </w:tcMar>
          </w:tcPr>
          <w:p>
            <w:pPr>
              <w:jc w:val="center"/>
            </w:pPr>
            <w:r>
              <w:rPr>
                <w:b w:val="false"/>
                <w:bCs w:val="false"/>
                <w:sz w:val="20"/>
                <w:szCs w:val="20"/>
              </w:rPr>
              <w:t xml:space="preserve">Student age when entering the program (observed range 17–70).</w:t>
            </w:r>
          </w:p>
        </w:tc>
      </w:tr>
      <w:tr>
        <w:tc>
          <w:tcPr>
            <w:tcW w:type="dxa" w:w="2600"/>
            <w:tcMar>
              <w:top w:type="dxa" w:w="80"/>
              <w:left w:type="dxa" w:w="100"/>
              <w:bottom w:type="dxa" w:w="80"/>
              <w:right w:type="dxa" w:w="100"/>
            </w:tcMar>
          </w:tcPr>
          <w:p>
            <w:pPr>
              <w:jc w:val="left"/>
            </w:pPr>
            <w:r>
              <w:rPr>
                <w:b w:val="false"/>
                <w:bCs w:val="false"/>
                <w:sz w:val="20"/>
                <w:szCs w:val="20"/>
              </w:rPr>
              <w:t xml:space="preserve">Admission grade</w:t>
            </w:r>
          </w:p>
        </w:tc>
        <w:tc>
          <w:tcPr>
            <w:tcW w:type="dxa" w:w="1700"/>
            <w:tcMar>
              <w:top w:type="dxa" w:w="80"/>
              <w:left w:type="dxa" w:w="100"/>
              <w:bottom w:type="dxa" w:w="80"/>
              <w:right w:type="dxa" w:w="100"/>
            </w:tcMar>
          </w:tcPr>
          <w:p>
            <w:pPr>
              <w:jc w:val="center"/>
            </w:pPr>
            <w:r>
              <w:rPr>
                <w:b w:val="false"/>
                <w:bCs w:val="false"/>
                <w:sz w:val="20"/>
                <w:szCs w:val="20"/>
              </w:rPr>
              <w:t xml:space="preserve">Numeric</w:t>
            </w:r>
          </w:p>
        </w:tc>
        <w:tc>
          <w:tcPr>
            <w:tcW w:type="dxa" w:w="5060"/>
            <w:tcMar>
              <w:top w:type="dxa" w:w="80"/>
              <w:left w:type="dxa" w:w="100"/>
              <w:bottom w:type="dxa" w:w="80"/>
              <w:right w:type="dxa" w:w="100"/>
            </w:tcMar>
          </w:tcPr>
          <w:p>
            <w:pPr>
              <w:jc w:val="center"/>
            </w:pPr>
            <w:r>
              <w:rPr>
                <w:b w:val="false"/>
                <w:bCs w:val="false"/>
                <w:sz w:val="20"/>
                <w:szCs w:val="20"/>
              </w:rPr>
              <w:t xml:space="preserve">Entrance grade used for admission (observed range 95–190).</w:t>
            </w:r>
          </w:p>
        </w:tc>
      </w:tr>
      <w:tr>
        <w:tc>
          <w:tcPr>
            <w:tcW w:type="dxa" w:w="2600"/>
            <w:tcMar>
              <w:top w:type="dxa" w:w="80"/>
              <w:left w:type="dxa" w:w="100"/>
              <w:bottom w:type="dxa" w:w="80"/>
              <w:right w:type="dxa" w:w="100"/>
            </w:tcMar>
          </w:tcPr>
          <w:p>
            <w:pPr>
              <w:jc w:val="left"/>
            </w:pPr>
            <w:r>
              <w:rPr>
                <w:b w:val="false"/>
                <w:bCs w:val="false"/>
                <w:sz w:val="20"/>
                <w:szCs w:val="20"/>
              </w:rPr>
              <w:t xml:space="preserve">Curricular units 1st/2nd sem (enrolled/evaluated/approved)</w:t>
            </w:r>
          </w:p>
        </w:tc>
        <w:tc>
          <w:tcPr>
            <w:tcW w:type="dxa" w:w="1700"/>
            <w:tcMar>
              <w:top w:type="dxa" w:w="80"/>
              <w:left w:type="dxa" w:w="100"/>
              <w:bottom w:type="dxa" w:w="80"/>
              <w:right w:type="dxa" w:w="100"/>
            </w:tcMar>
          </w:tcPr>
          <w:p>
            <w:pPr>
              <w:jc w:val="center"/>
            </w:pPr>
            <w:r>
              <w:rPr>
                <w:b w:val="false"/>
                <w:bCs w:val="false"/>
                <w:sz w:val="20"/>
                <w:szCs w:val="20"/>
              </w:rPr>
              <w:t xml:space="preserve">Numeric (count)</w:t>
            </w:r>
          </w:p>
        </w:tc>
        <w:tc>
          <w:tcPr>
            <w:tcW w:type="dxa" w:w="5060"/>
            <w:tcMar>
              <w:top w:type="dxa" w:w="80"/>
              <w:left w:type="dxa" w:w="100"/>
              <w:bottom w:type="dxa" w:w="80"/>
              <w:right w:type="dxa" w:w="100"/>
            </w:tcMar>
          </w:tcPr>
          <w:p>
            <w:pPr>
              <w:jc w:val="center"/>
            </w:pPr>
            <w:r>
              <w:rPr>
                <w:b w:val="false"/>
                <w:bCs w:val="false"/>
                <w:sz w:val="20"/>
                <w:szCs w:val="20"/>
              </w:rPr>
              <w:t xml:space="preserve">Academic-progress counts per semester; approved units are the strongest progress signal.</w:t>
            </w:r>
          </w:p>
        </w:tc>
      </w:tr>
      <w:tr>
        <w:tc>
          <w:tcPr>
            <w:tcW w:type="dxa" w:w="2600"/>
            <w:tcMar>
              <w:top w:type="dxa" w:w="80"/>
              <w:left w:type="dxa" w:w="100"/>
              <w:bottom w:type="dxa" w:w="80"/>
              <w:right w:type="dxa" w:w="100"/>
            </w:tcMar>
          </w:tcPr>
          <w:p>
            <w:pPr>
              <w:jc w:val="left"/>
            </w:pPr>
            <w:r>
              <w:rPr>
                <w:b w:val="false"/>
                <w:bCs w:val="false"/>
                <w:sz w:val="20"/>
                <w:szCs w:val="20"/>
              </w:rPr>
              <w:t xml:space="preserve">Tuition fees up to date / Debtor / Scholarship holder / Displaced</w:t>
            </w:r>
          </w:p>
        </w:tc>
        <w:tc>
          <w:tcPr>
            <w:tcW w:type="dxa" w:w="1700"/>
            <w:tcMar>
              <w:top w:type="dxa" w:w="80"/>
              <w:left w:type="dxa" w:w="100"/>
              <w:bottom w:type="dxa" w:w="80"/>
              <w:right w:type="dxa" w:w="100"/>
            </w:tcMar>
          </w:tcPr>
          <w:p>
            <w:pPr>
              <w:jc w:val="center"/>
            </w:pPr>
            <w:r>
              <w:rPr>
                <w:b w:val="false"/>
                <w:bCs w:val="false"/>
                <w:sz w:val="20"/>
                <w:szCs w:val="20"/>
              </w:rPr>
              <w:t xml:space="preserve">Categorical (binary-coded)</w:t>
            </w:r>
          </w:p>
        </w:tc>
        <w:tc>
          <w:tcPr>
            <w:tcW w:type="dxa" w:w="5060"/>
            <w:tcMar>
              <w:top w:type="dxa" w:w="80"/>
              <w:left w:type="dxa" w:w="100"/>
              <w:bottom w:type="dxa" w:w="80"/>
              <w:right w:type="dxa" w:w="100"/>
            </w:tcMar>
          </w:tcPr>
          <w:p>
            <w:pPr>
              <w:jc w:val="center"/>
            </w:pPr>
            <w:r>
              <w:rPr>
                <w:b w:val="false"/>
                <w:bCs w:val="false"/>
                <w:sz w:val="20"/>
                <w:szCs w:val="20"/>
              </w:rPr>
              <w:t xml:space="preserve">Socioeconomic and financial-status indicators.</w:t>
            </w:r>
          </w:p>
        </w:tc>
      </w:tr>
      <w:tr>
        <w:tc>
          <w:tcPr>
            <w:tcW w:type="dxa" w:w="2600"/>
            <w:tcMar>
              <w:top w:type="dxa" w:w="80"/>
              <w:left w:type="dxa" w:w="100"/>
              <w:bottom w:type="dxa" w:w="80"/>
              <w:right w:type="dxa" w:w="100"/>
            </w:tcMar>
          </w:tcPr>
          <w:p>
            <w:pPr>
              <w:jc w:val="left"/>
            </w:pPr>
            <w:r>
              <w:rPr>
                <w:b w:val="false"/>
                <w:bCs w:val="false"/>
                <w:sz w:val="20"/>
                <w:szCs w:val="20"/>
              </w:rPr>
              <w:t xml:space="preserve">Course → Discipline_Group</w:t>
            </w:r>
          </w:p>
        </w:tc>
        <w:tc>
          <w:tcPr>
            <w:tcW w:type="dxa" w:w="1700"/>
            <w:tcMar>
              <w:top w:type="dxa" w:w="80"/>
              <w:left w:type="dxa" w:w="100"/>
              <w:bottom w:type="dxa" w:w="80"/>
              <w:right w:type="dxa" w:w="100"/>
            </w:tcMar>
          </w:tcPr>
          <w:p>
            <w:pPr>
              <w:jc w:val="center"/>
            </w:pPr>
            <w:r>
              <w:rPr>
                <w:b w:val="false"/>
                <w:bCs w:val="false"/>
                <w:sz w:val="20"/>
                <w:szCs w:val="20"/>
              </w:rPr>
              <w:t xml:space="preserve">Categorical</w:t>
            </w:r>
          </w:p>
        </w:tc>
        <w:tc>
          <w:tcPr>
            <w:tcW w:type="dxa" w:w="5060"/>
            <w:tcMar>
              <w:top w:type="dxa" w:w="80"/>
              <w:left w:type="dxa" w:w="100"/>
              <w:bottom w:type="dxa" w:w="80"/>
              <w:right w:type="dxa" w:w="100"/>
            </w:tcMar>
          </w:tcPr>
          <w:p>
            <w:pPr>
              <w:jc w:val="center"/>
            </w:pPr>
            <w:r>
              <w:rPr>
                <w:b w:val="false"/>
                <w:bCs w:val="false"/>
                <w:sz w:val="20"/>
                <w:szCs w:val="20"/>
              </w:rPr>
              <w:t xml:space="preserve">Engineered feature grouping 17 sparse Portuguese course codes into broader discipline clusters.</w:t>
            </w:r>
          </w:p>
        </w:tc>
      </w:tr>
      <w:tr>
        <w:tc>
          <w:tcPr>
            <w:tcW w:type="dxa" w:w="2600"/>
            <w:tcMar>
              <w:top w:type="dxa" w:w="80"/>
              <w:left w:type="dxa" w:w="100"/>
              <w:bottom w:type="dxa" w:w="80"/>
              <w:right w:type="dxa" w:w="100"/>
            </w:tcMar>
          </w:tcPr>
          <w:p>
            <w:pPr>
              <w:jc w:val="left"/>
            </w:pPr>
            <w:r>
              <w:rPr>
                <w:b w:val="false"/>
                <w:bCs w:val="false"/>
                <w:sz w:val="20"/>
                <w:szCs w:val="20"/>
              </w:rPr>
              <w:t xml:space="preserve">Nacionality, International</w:t>
            </w:r>
          </w:p>
        </w:tc>
        <w:tc>
          <w:tcPr>
            <w:tcW w:type="dxa" w:w="1700"/>
            <w:tcMar>
              <w:top w:type="dxa" w:w="80"/>
              <w:left w:type="dxa" w:w="100"/>
              <w:bottom w:type="dxa" w:w="80"/>
              <w:right w:type="dxa" w:w="100"/>
            </w:tcMar>
          </w:tcPr>
          <w:p>
            <w:pPr>
              <w:jc w:val="center"/>
            </w:pPr>
            <w:r>
              <w:rPr>
                <w:b w:val="false"/>
                <w:bCs w:val="false"/>
                <w:sz w:val="20"/>
                <w:szCs w:val="20"/>
              </w:rPr>
              <w:t xml:space="preserve">Categorical (removed)</w:t>
            </w:r>
          </w:p>
        </w:tc>
        <w:tc>
          <w:tcPr>
            <w:tcW w:type="dxa" w:w="5060"/>
            <w:tcMar>
              <w:top w:type="dxa" w:w="80"/>
              <w:left w:type="dxa" w:w="100"/>
              <w:bottom w:type="dxa" w:w="80"/>
              <w:right w:type="dxa" w:w="100"/>
            </w:tcMar>
          </w:tcPr>
          <w:p>
            <w:pPr>
              <w:jc w:val="center"/>
            </w:pPr>
            <w:r>
              <w:rPr>
                <w:b w:val="false"/>
                <w:bCs w:val="false"/>
                <w:sz w:val="20"/>
                <w:szCs w:val="20"/>
              </w:rPr>
              <w:t xml:space="preserve">~97.5% single dominant value; near-constant, dropped for low discriminatory information.</w:t>
            </w:r>
          </w:p>
        </w:tc>
      </w:tr>
      <w:tr>
        <w:tc>
          <w:tcPr>
            <w:tcW w:type="dxa" w:w="2600"/>
            <w:tcMar>
              <w:top w:type="dxa" w:w="80"/>
              <w:left w:type="dxa" w:w="100"/>
              <w:bottom w:type="dxa" w:w="80"/>
              <w:right w:type="dxa" w:w="100"/>
            </w:tcMar>
          </w:tcPr>
          <w:p>
            <w:pPr>
              <w:jc w:val="left"/>
            </w:pPr>
            <w:r>
              <w:rPr>
                <w:b w:val="false"/>
                <w:bCs w:val="false"/>
                <w:sz w:val="20"/>
                <w:szCs w:val="20"/>
              </w:rPr>
              <w:t xml:space="preserve">Unemployment rate, Inflation rate, GDP</w:t>
            </w:r>
          </w:p>
        </w:tc>
        <w:tc>
          <w:tcPr>
            <w:tcW w:type="dxa" w:w="1700"/>
            <w:tcMar>
              <w:top w:type="dxa" w:w="80"/>
              <w:left w:type="dxa" w:w="100"/>
              <w:bottom w:type="dxa" w:w="80"/>
              <w:right w:type="dxa" w:w="100"/>
            </w:tcMar>
          </w:tcPr>
          <w:p>
            <w:pPr>
              <w:jc w:val="center"/>
            </w:pPr>
            <w:r>
              <w:rPr>
                <w:b w:val="false"/>
                <w:bCs w:val="false"/>
                <w:sz w:val="20"/>
                <w:szCs w:val="20"/>
              </w:rPr>
              <w:t xml:space="preserve">Numeric (removed)</w:t>
            </w:r>
          </w:p>
        </w:tc>
        <w:tc>
          <w:tcPr>
            <w:tcW w:type="dxa" w:w="5060"/>
            <w:tcMar>
              <w:top w:type="dxa" w:w="80"/>
              <w:left w:type="dxa" w:w="100"/>
              <w:bottom w:type="dxa" w:w="80"/>
              <w:right w:type="dxa" w:w="100"/>
            </w:tcMar>
          </w:tcPr>
          <w:p>
            <w:pPr>
              <w:jc w:val="center"/>
            </w:pPr>
            <w:r>
              <w:rPr>
                <w:b w:val="false"/>
                <w:bCs w:val="false"/>
                <w:sz w:val="20"/>
                <w:szCs w:val="20"/>
              </w:rPr>
              <w:t xml:space="preserve">Portugal-specific macroeconomic indicators; dropped to improve conceptual transferability.</w:t>
            </w:r>
          </w:p>
        </w:tc>
      </w:tr>
    </w:tbl>
    <w:p>
      <w:pPr>
        <w:pStyle w:val="Heading2"/>
        <w:spacing w:after="120" w:before="220"/>
      </w:pPr>
      <w:r>
        <w:t xml:space="preserve">3.4 Privacy and Ethical Considerations</w:t>
      </w:r>
    </w:p>
    <w:p>
      <w:pPr>
        <w:pStyle w:val="ListParagraph"/>
        <w:numPr>
          <w:ilvl w:val="0"/>
          <w:numId w:val="1"/>
        </w:numPr>
        <w:spacing w:after="60"/>
      </w:pPr>
      <w:r>
        <w:t xml:space="preserve">The dataset contains no direct personal identifiers (names, ID numbers, contact details); all fields are aggregated academic/administrative attributes.</w:t>
      </w:r>
    </w:p>
    <w:p>
      <w:pPr>
        <w:pStyle w:val="ListParagraph"/>
        <w:numPr>
          <w:ilvl w:val="0"/>
          <w:numId w:val="1"/>
        </w:numPr>
        <w:spacing w:after="60"/>
      </w:pPr>
      <w:r>
        <w:t xml:space="preserve">Predictions must be used only as an early-warning signal for support (advising, tutoring, financial or counselling referral) — never to automatically penalise, exclude, or label a student.</w:t>
      </w:r>
    </w:p>
    <w:p>
      <w:pPr>
        <w:pStyle w:val="ListParagraph"/>
        <w:numPr>
          <w:ilvl w:val="0"/>
          <w:numId w:val="1"/>
        </w:numPr>
        <w:spacing w:after="60"/>
      </w:pPr>
      <w:r>
        <w:t xml:space="preserve">The data originates from a single Portuguese institution; relationships learned here may reflect Portugal-specific institutional policy and should not be assumed to transfer to Bangladeshi universities without local validation.</w:t>
      </w:r>
    </w:p>
    <w:p>
      <w:pPr>
        <w:pStyle w:val="ListParagraph"/>
        <w:numPr>
          <w:ilvl w:val="0"/>
          <w:numId w:val="1"/>
        </w:numPr>
        <w:spacing w:after="60"/>
      </w:pPr>
      <w:r>
        <w:t xml:space="preserve">A predictive feature is not a causal one — the model finds statistical association, not proof that changing a feature would change a student's outcome.</w:t>
      </w:r>
    </w:p>
    <w:p>
      <w:pPr>
        <w:pStyle w:val="Heading1"/>
        <w:spacing w:after="150" w:before="300"/>
      </w:pPr>
      <w:r>
        <w:t xml:space="preserve">4. Data Audit, Exploratory Analysis, and Visualization Findings</w:t>
      </w:r>
    </w:p>
    <w:p>
      <w:pPr>
        <w:pStyle w:val="Heading2"/>
        <w:spacing w:after="120" w:before="220"/>
      </w:pPr>
      <w:r>
        <w:t xml:space="preserve">4.1 Data Audit</w:t>
      </w:r>
    </w:p>
    <w:p>
      <w:pPr>
        <w:pStyle w:val="ListParagraph"/>
        <w:numPr>
          <w:ilvl w:val="0"/>
          <w:numId w:val="1"/>
        </w:numPr>
        <w:spacing w:after="60"/>
      </w:pPr>
      <w:r>
        <w:t xml:space="preserve">Duplicate rows: 0 found (verified programmatically, not assumed from documentation).</w:t>
      </w:r>
    </w:p>
    <w:p>
      <w:pPr>
        <w:pStyle w:val="ListParagraph"/>
        <w:numPr>
          <w:ilvl w:val="0"/>
          <w:numId w:val="1"/>
        </w:numPr>
        <w:spacing w:after="60"/>
      </w:pPr>
      <w:r>
        <w:t xml:space="preserve">Missing values: 0 found across all 37 original columns.</w:t>
      </w:r>
    </w:p>
    <w:p>
      <w:pPr>
        <w:pStyle w:val="ListParagraph"/>
        <w:numPr>
          <w:ilvl w:val="0"/>
          <w:numId w:val="1"/>
        </w:numPr>
        <w:spacing w:after="60"/>
      </w:pPr>
      <w:r>
        <w:t xml:space="preserve">Near-constant features detected: Nacionality and International, each ~97.5% concentrated in a single value.</w:t>
      </w:r>
    </w:p>
    <w:p>
      <w:pPr>
        <w:pStyle w:val="ListParagraph"/>
        <w:numPr>
          <w:ilvl w:val="0"/>
          <w:numId w:val="1"/>
        </w:numPr>
        <w:spacing w:after="60"/>
      </w:pPr>
      <w:r>
        <w:t xml:space="preserve">Column-name irregularities (stray whitespace/tab characters) were identified and cleaned before analysis.</w:t>
      </w:r>
    </w:p>
    <w:p>
      <w:pPr>
        <w:pStyle w:val="Heading2"/>
        <w:spacing w:after="120" w:before="220"/>
      </w:pPr>
      <w:r>
        <w:t xml:space="preserve">4.2 Target Definition and Class Distribution</w:t>
      </w:r>
    </w:p>
    <w:p>
      <w:pPr>
        <w:spacing w:after="120"/>
      </w:pPr>
      <w:r>
        <w:t xml:space="preserve">The Enrolled class (unresolved outcome) was removed, leaving a binary target. After removal: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9" w:val="clear"/>
            <w:tcMar>
              <w:top w:type="dxa" w:w="80"/>
              <w:left w:type="dxa" w:w="100"/>
              <w:bottom w:type="dxa" w:w="80"/>
              <w:right w:type="dxa" w:w="100"/>
            </w:tcMar>
          </w:tcPr>
          <w:p>
            <w:pPr>
              <w:jc w:val="center"/>
            </w:pPr>
            <w:r>
              <w:rPr>
                <w:b/>
                <w:bCs/>
                <w:color w:val="FFFFFF"/>
                <w:sz w:val="20"/>
                <w:szCs w:val="20"/>
              </w:rPr>
              <w:t xml:space="preserve">Class</w:t>
            </w:r>
          </w:p>
        </w:tc>
        <w:tc>
          <w:tcPr>
            <w:tcW w:type="dxa" w:w="4680"/>
            <w:shd w:fill="1F4E79" w:val="clear"/>
            <w:tcMar>
              <w:top w:type="dxa" w:w="80"/>
              <w:left w:type="dxa" w:w="100"/>
              <w:bottom w:type="dxa" w:w="80"/>
              <w:right w:type="dxa" w:w="100"/>
            </w:tcMar>
          </w:tcPr>
          <w:p>
            <w:pPr>
              <w:jc w:val="center"/>
            </w:pPr>
            <w:r>
              <w:rPr>
                <w:b/>
                <w:bCs/>
                <w:color w:val="FFFFFF"/>
                <w:sz w:val="20"/>
                <w:szCs w:val="20"/>
              </w:rPr>
              <w:t xml:space="preserve">Count</w:t>
            </w:r>
          </w:p>
        </w:tc>
      </w:tr>
      <w:tr>
        <w:tc>
          <w:tcPr>
            <w:tcW w:type="dxa" w:w="4680"/>
            <w:tcMar>
              <w:top w:type="dxa" w:w="80"/>
              <w:left w:type="dxa" w:w="100"/>
              <w:bottom w:type="dxa" w:w="80"/>
              <w:right w:type="dxa" w:w="100"/>
            </w:tcMar>
          </w:tcPr>
          <w:p>
            <w:pPr>
              <w:jc w:val="left"/>
            </w:pPr>
            <w:r>
              <w:rPr>
                <w:b w:val="false"/>
                <w:bCs w:val="false"/>
                <w:sz w:val="20"/>
                <w:szCs w:val="20"/>
              </w:rPr>
              <w:t xml:space="preserve">Graduate (0)</w:t>
            </w:r>
          </w:p>
        </w:tc>
        <w:tc>
          <w:tcPr>
            <w:tcW w:type="dxa" w:w="4680"/>
            <w:tcMar>
              <w:top w:type="dxa" w:w="80"/>
              <w:left w:type="dxa" w:w="100"/>
              <w:bottom w:type="dxa" w:w="80"/>
              <w:right w:type="dxa" w:w="100"/>
            </w:tcMar>
          </w:tcPr>
          <w:p>
            <w:pPr>
              <w:jc w:val="center"/>
            </w:pPr>
            <w:r>
              <w:rPr>
                <w:b w:val="false"/>
                <w:bCs w:val="false"/>
                <w:sz w:val="20"/>
                <w:szCs w:val="20"/>
              </w:rPr>
              <w:t xml:space="preserve">2,209</w:t>
            </w:r>
          </w:p>
        </w:tc>
      </w:tr>
      <w:tr>
        <w:tc>
          <w:tcPr>
            <w:tcW w:type="dxa" w:w="4680"/>
            <w:tcMar>
              <w:top w:type="dxa" w:w="80"/>
              <w:left w:type="dxa" w:w="100"/>
              <w:bottom w:type="dxa" w:w="80"/>
              <w:right w:type="dxa" w:w="100"/>
            </w:tcMar>
          </w:tcPr>
          <w:p>
            <w:pPr>
              <w:jc w:val="left"/>
            </w:pPr>
            <w:r>
              <w:rPr>
                <w:b w:val="false"/>
                <w:bCs w:val="false"/>
                <w:sz w:val="20"/>
                <w:szCs w:val="20"/>
              </w:rPr>
              <w:t xml:space="preserve">Dropout (1)</w:t>
            </w:r>
          </w:p>
        </w:tc>
        <w:tc>
          <w:tcPr>
            <w:tcW w:type="dxa" w:w="4680"/>
            <w:tcMar>
              <w:top w:type="dxa" w:w="80"/>
              <w:left w:type="dxa" w:w="100"/>
              <w:bottom w:type="dxa" w:w="80"/>
              <w:right w:type="dxa" w:w="100"/>
            </w:tcMar>
          </w:tcPr>
          <w:p>
            <w:pPr>
              <w:jc w:val="center"/>
            </w:pPr>
            <w:r>
              <w:rPr>
                <w:b w:val="false"/>
                <w:bCs w:val="false"/>
                <w:sz w:val="20"/>
                <w:szCs w:val="20"/>
              </w:rPr>
              <w:t xml:space="preserve">1,421</w:t>
            </w:r>
          </w:p>
        </w:tc>
      </w:tr>
      <w:tr>
        <w:tc>
          <w:tcPr>
            <w:tcW w:type="dxa" w:w="4680"/>
            <w:tcMar>
              <w:top w:type="dxa" w:w="80"/>
              <w:left w:type="dxa" w:w="100"/>
              <w:bottom w:type="dxa" w:w="80"/>
              <w:right w:type="dxa" w:w="100"/>
            </w:tcMar>
          </w:tcPr>
          <w:p>
            <w:pPr>
              <w:jc w:val="left"/>
            </w:pPr>
            <w:r>
              <w:rPr>
                <w:b w:val="false"/>
                <w:bCs w:val="false"/>
                <w:sz w:val="20"/>
                <w:szCs w:val="20"/>
              </w:rPr>
              <w:t xml:space="preserve">Total</w:t>
            </w:r>
          </w:p>
        </w:tc>
        <w:tc>
          <w:tcPr>
            <w:tcW w:type="dxa" w:w="4680"/>
            <w:tcMar>
              <w:top w:type="dxa" w:w="80"/>
              <w:left w:type="dxa" w:w="100"/>
              <w:bottom w:type="dxa" w:w="80"/>
              <w:right w:type="dxa" w:w="100"/>
            </w:tcMar>
          </w:tcPr>
          <w:p>
            <w:pPr>
              <w:jc w:val="center"/>
            </w:pPr>
            <w:r>
              <w:rPr>
                <w:b w:val="false"/>
                <w:bCs w:val="false"/>
                <w:sz w:val="20"/>
                <w:szCs w:val="20"/>
              </w:rPr>
              <w:t xml:space="preserve">3,630</w:t>
            </w:r>
          </w:p>
        </w:tc>
      </w:tr>
    </w:tbl>
    <w:p>
      <w:pPr>
        <w:spacing w:after="120"/>
      </w:pPr>
      <w:r>
        <w:t xml:space="preserve">Dropout rate ≈ 39.1% — a moderately imbalanced dataset, which is why F1-score, precision, and recall are reported alongside accuracy.</w:t>
      </w:r>
    </w:p>
    <w:p>
      <w:pPr>
        <w:pStyle w:val="Heading2"/>
        <w:spacing w:after="120" w:before="220"/>
      </w:pPr>
      <w:r>
        <w:t xml:space="preserve">4.3 Second-Semester Academic Performance</w:t>
      </w:r>
    </w:p>
    <w:p>
      <w:pPr>
        <w:spacing w:after="120"/>
      </w:pPr>
      <w:r>
        <w:t xml:space="preserve">Second-semester approved curricular units were analysed in detail (via boxplot) because they directly reflect in-progress academic standing. Students who eventually graduated showed visibly higher numbers of approved units than students who dropped out, supporting the inclusion of this variable as a key predictor.</w:t>
      </w:r>
    </w:p>
    <w:p>
      <w:pPr>
        <w:pStyle w:val="Heading2"/>
        <w:spacing w:after="120" w:before="220"/>
      </w:pPr>
      <w:r>
        <w:t xml:space="preserve">4.4 Correlation and Multicollinearity</w:t>
      </w:r>
    </w:p>
    <w:p>
      <w:pPr>
        <w:spacing w:after="120"/>
      </w:pPr>
      <w:r>
        <w:t xml:space="preserve">A correlation heatmap across numerical variables showed expected strong correlation among structurally related curricular-unit counts (enrolled, evaluated, approved). This was used to understand redundancy rather than to blindly drop variables, since tree-based and regularised linear models can both tolerate moderate collinearity.</w:t>
      </w:r>
    </w:p>
    <w:p>
      <w:pPr>
        <w:pStyle w:val="Heading2"/>
        <w:spacing w:after="120" w:before="220"/>
      </w:pPr>
      <w:r>
        <w:t xml:space="preserve">4.5 Outlier Analysis</w:t>
      </w:r>
    </w:p>
    <w:p>
      <w:pPr>
        <w:spacing w:after="120"/>
      </w:pPr>
      <w:r>
        <w:t xml:space="preserve">Age at enrollment (range 17–70) and Admission grade (range 95–190) were visually inspected for outliers. No observations were removed, since unusual values (e.g., an older student) are plausible rather than necessarily erroneous — consistent with the project's rule against undocumented manual edits.</w:t>
      </w:r>
    </w:p>
    <w:p>
      <w:pPr>
        <w:pStyle w:val="Heading2"/>
        <w:spacing w:after="120" w:before="220"/>
      </w:pPr>
      <w:r>
        <w:t xml:space="preserve">4.6 Dropout Rate by Socioeconomic Indicators</w:t>
      </w:r>
    </w:p>
    <w:p>
      <w:pPr>
        <w:spacing w:after="120"/>
      </w:pPr>
      <w:r>
        <w:t xml:space="preserve">Dropout rate was visualised against Tuition-fee status, Debtor status, Scholarship-holder status, and Displaced status, showing clearly higher dropout rates among students with overdue tuition fees and debtor status, motivating their retention as predictors.</w:t>
      </w:r>
    </w:p>
    <w:p>
      <w:pPr>
        <w:pStyle w:val="Heading1"/>
        <w:spacing w:after="150" w:before="300"/>
      </w:pPr>
      <w:r>
        <w:t xml:space="preserve">5. Split Strategy, Preprocessing Decisions, and Leakage Controls</w:t>
      </w:r>
    </w:p>
    <w:p>
      <w:pPr>
        <w:pStyle w:val="Heading2"/>
        <w:spacing w:after="120" w:before="220"/>
      </w:pPr>
      <w:r>
        <w:t xml:space="preserve">5.1 Feature Selection</w:t>
      </w:r>
    </w:p>
    <w:p>
      <w:pPr>
        <w:spacing w:after="120"/>
      </w:pPr>
      <w:r>
        <w:t xml:space="preserve">After the audit, two documented groups of variables were removed: near-constant variables (Nacionality, International) and Portugal-specific macroeconomic variables (Unemployment rate, Inflation rate, GDP), the latter to reduce reliance on country/time-specific signals that would not generalise. A Discipline_Group feature was engineered from the sparse Course codes to reduce category sparsity in one-hot encoding. The final dataset contains 3,630 observations and 31 predictor variables.</w:t>
      </w:r>
    </w:p>
    <w:p>
      <w:pPr>
        <w:pStyle w:val="Heading2"/>
        <w:spacing w:after="120" w:before="220"/>
      </w:pPr>
      <w:r>
        <w:t xml:space="preserve">5.2 Train / Validation / Test Split</w:t>
      </w:r>
    </w:p>
    <w:p>
      <w:pPr>
        <w:spacing w:after="120"/>
      </w:pPr>
      <w:r>
        <w:t xml:space="preserve">A 70% / 15% / 15% stratified split (by Target) was used, so that Dropout/Graduate proportions remain consistent across all three 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79" w:val="clear"/>
            <w:tcMar>
              <w:top w:type="dxa" w:w="80"/>
              <w:left w:type="dxa" w:w="100"/>
              <w:bottom w:type="dxa" w:w="80"/>
              <w:right w:type="dxa" w:w="100"/>
            </w:tcMar>
          </w:tcPr>
          <w:p>
            <w:pPr>
              <w:jc w:val="center"/>
            </w:pPr>
            <w:r>
              <w:rPr>
                <w:b/>
                <w:bCs/>
                <w:color w:val="FFFFFF"/>
                <w:sz w:val="20"/>
                <w:szCs w:val="20"/>
              </w:rPr>
              <w:t xml:space="preserve">Set</w:t>
            </w:r>
          </w:p>
        </w:tc>
        <w:tc>
          <w:tcPr>
            <w:tcW w:type="dxa" w:w="2340"/>
            <w:shd w:fill="1F4E79" w:val="clear"/>
            <w:tcMar>
              <w:top w:type="dxa" w:w="80"/>
              <w:left w:type="dxa" w:w="100"/>
              <w:bottom w:type="dxa" w:w="80"/>
              <w:right w:type="dxa" w:w="100"/>
            </w:tcMar>
          </w:tcPr>
          <w:p>
            <w:pPr>
              <w:jc w:val="center"/>
            </w:pPr>
            <w:r>
              <w:rPr>
                <w:b/>
                <w:bCs/>
                <w:color w:val="FFFFFF"/>
                <w:sz w:val="20"/>
                <w:szCs w:val="20"/>
              </w:rPr>
              <w:t xml:space="preserve">Samples</w:t>
            </w:r>
          </w:p>
        </w:tc>
        <w:tc>
          <w:tcPr>
            <w:tcW w:type="dxa" w:w="2340"/>
            <w:shd w:fill="1F4E79" w:val="clear"/>
            <w:tcMar>
              <w:top w:type="dxa" w:w="80"/>
              <w:left w:type="dxa" w:w="100"/>
              <w:bottom w:type="dxa" w:w="80"/>
              <w:right w:type="dxa" w:w="100"/>
            </w:tcMar>
          </w:tcPr>
          <w:p>
            <w:pPr>
              <w:jc w:val="center"/>
            </w:pPr>
            <w:r>
              <w:rPr>
                <w:b/>
                <w:bCs/>
                <w:color w:val="FFFFFF"/>
                <w:sz w:val="20"/>
                <w:szCs w:val="20"/>
              </w:rPr>
              <w:t xml:space="preserve">Percentage</w:t>
            </w:r>
          </w:p>
        </w:tc>
        <w:tc>
          <w:tcPr>
            <w:tcW w:type="dxa" w:w="2340"/>
            <w:shd w:fill="1F4E79" w:val="clear"/>
            <w:tcMar>
              <w:top w:type="dxa" w:w="80"/>
              <w:left w:type="dxa" w:w="100"/>
              <w:bottom w:type="dxa" w:w="80"/>
              <w:right w:type="dxa" w:w="100"/>
            </w:tcMar>
          </w:tcPr>
          <w:p>
            <w:pPr>
              <w:jc w:val="center"/>
            </w:pPr>
            <w:r>
              <w:rPr>
                <w:b/>
                <w:bCs/>
                <w:color w:val="FFFFFF"/>
                <w:sz w:val="20"/>
                <w:szCs w:val="20"/>
              </w:rPr>
              <w:t xml:space="preserve">Dropout Rate</w:t>
            </w:r>
          </w:p>
        </w:tc>
      </w:tr>
      <w:tr>
        <w:tc>
          <w:tcPr>
            <w:tcW w:type="dxa" w:w="2340"/>
            <w:tcMar>
              <w:top w:type="dxa" w:w="80"/>
              <w:left w:type="dxa" w:w="100"/>
              <w:bottom w:type="dxa" w:w="80"/>
              <w:right w:type="dxa" w:w="100"/>
            </w:tcMar>
          </w:tcPr>
          <w:p>
            <w:pPr>
              <w:jc w:val="left"/>
            </w:pPr>
            <w:r>
              <w:rPr>
                <w:b w:val="false"/>
                <w:bCs w:val="false"/>
                <w:sz w:val="20"/>
                <w:szCs w:val="20"/>
              </w:rPr>
              <w:t xml:space="preserve">Training</w:t>
            </w:r>
          </w:p>
        </w:tc>
        <w:tc>
          <w:tcPr>
            <w:tcW w:type="dxa" w:w="2340"/>
            <w:tcMar>
              <w:top w:type="dxa" w:w="80"/>
              <w:left w:type="dxa" w:w="100"/>
              <w:bottom w:type="dxa" w:w="80"/>
              <w:right w:type="dxa" w:w="100"/>
            </w:tcMar>
          </w:tcPr>
          <w:p>
            <w:pPr>
              <w:jc w:val="center"/>
            </w:pPr>
            <w:r>
              <w:rPr>
                <w:b w:val="false"/>
                <w:bCs w:val="false"/>
                <w:sz w:val="20"/>
                <w:szCs w:val="20"/>
              </w:rPr>
              <w:t xml:space="preserve">2,541</w:t>
            </w:r>
          </w:p>
        </w:tc>
        <w:tc>
          <w:tcPr>
            <w:tcW w:type="dxa" w:w="2340"/>
            <w:tcMar>
              <w:top w:type="dxa" w:w="80"/>
              <w:left w:type="dxa" w:w="100"/>
              <w:bottom w:type="dxa" w:w="80"/>
              <w:right w:type="dxa" w:w="100"/>
            </w:tcMar>
          </w:tcPr>
          <w:p>
            <w:pPr>
              <w:jc w:val="center"/>
            </w:pPr>
            <w:r>
              <w:rPr>
                <w:b w:val="false"/>
                <w:bCs w:val="false"/>
                <w:sz w:val="20"/>
                <w:szCs w:val="20"/>
              </w:rPr>
              <w:t xml:space="preserve">70%</w:t>
            </w:r>
          </w:p>
        </w:tc>
        <w:tc>
          <w:tcPr>
            <w:tcW w:type="dxa" w:w="2340"/>
            <w:tcMar>
              <w:top w:type="dxa" w:w="80"/>
              <w:left w:type="dxa" w:w="100"/>
              <w:bottom w:type="dxa" w:w="80"/>
              <w:right w:type="dxa" w:w="100"/>
            </w:tcMar>
          </w:tcPr>
          <w:p>
            <w:pPr>
              <w:jc w:val="center"/>
            </w:pPr>
            <w:r>
              <w:rPr>
                <w:b w:val="false"/>
                <w:bCs w:val="false"/>
                <w:sz w:val="20"/>
                <w:szCs w:val="20"/>
              </w:rPr>
              <w:t xml:space="preserve">39.2%</w:t>
            </w:r>
          </w:p>
        </w:tc>
      </w:tr>
      <w:tr>
        <w:tc>
          <w:tcPr>
            <w:tcW w:type="dxa" w:w="2340"/>
            <w:tcMar>
              <w:top w:type="dxa" w:w="80"/>
              <w:left w:type="dxa" w:w="100"/>
              <w:bottom w:type="dxa" w:w="80"/>
              <w:right w:type="dxa" w:w="100"/>
            </w:tcMar>
          </w:tcPr>
          <w:p>
            <w:pPr>
              <w:jc w:val="left"/>
            </w:pPr>
            <w:r>
              <w:rPr>
                <w:b w:val="false"/>
                <w:bCs w:val="false"/>
                <w:sz w:val="20"/>
                <w:szCs w:val="20"/>
              </w:rPr>
              <w:t xml:space="preserve">Validation</w:t>
            </w:r>
          </w:p>
        </w:tc>
        <w:tc>
          <w:tcPr>
            <w:tcW w:type="dxa" w:w="2340"/>
            <w:tcMar>
              <w:top w:type="dxa" w:w="80"/>
              <w:left w:type="dxa" w:w="100"/>
              <w:bottom w:type="dxa" w:w="80"/>
              <w:right w:type="dxa" w:w="100"/>
            </w:tcMar>
          </w:tcPr>
          <w:p>
            <w:pPr>
              <w:jc w:val="center"/>
            </w:pPr>
            <w:r>
              <w:rPr>
                <w:b w:val="false"/>
                <w:bCs w:val="false"/>
                <w:sz w:val="20"/>
                <w:szCs w:val="20"/>
              </w:rPr>
              <w:t xml:space="preserve">544</w:t>
            </w:r>
          </w:p>
        </w:tc>
        <w:tc>
          <w:tcPr>
            <w:tcW w:type="dxa" w:w="2340"/>
            <w:tcMar>
              <w:top w:type="dxa" w:w="80"/>
              <w:left w:type="dxa" w:w="100"/>
              <w:bottom w:type="dxa" w:w="80"/>
              <w:right w:type="dxa" w:w="100"/>
            </w:tcMar>
          </w:tcPr>
          <w:p>
            <w:pPr>
              <w:jc w:val="center"/>
            </w:pPr>
            <w:r>
              <w:rPr>
                <w:b w:val="false"/>
                <w:bCs w:val="false"/>
                <w:sz w:val="20"/>
                <w:szCs w:val="20"/>
              </w:rPr>
              <w:t xml:space="preserve">15%</w:t>
            </w:r>
          </w:p>
        </w:tc>
        <w:tc>
          <w:tcPr>
            <w:tcW w:type="dxa" w:w="2340"/>
            <w:tcMar>
              <w:top w:type="dxa" w:w="80"/>
              <w:left w:type="dxa" w:w="100"/>
              <w:bottom w:type="dxa" w:w="80"/>
              <w:right w:type="dxa" w:w="100"/>
            </w:tcMar>
          </w:tcPr>
          <w:p>
            <w:pPr>
              <w:jc w:val="center"/>
            </w:pPr>
            <w:r>
              <w:rPr>
                <w:b w:val="false"/>
                <w:bCs w:val="false"/>
                <w:sz w:val="20"/>
                <w:szCs w:val="20"/>
              </w:rPr>
              <w:t xml:space="preserve">39.2%</w:t>
            </w:r>
          </w:p>
        </w:tc>
      </w:tr>
      <w:tr>
        <w:tc>
          <w:tcPr>
            <w:tcW w:type="dxa" w:w="2340"/>
            <w:tcMar>
              <w:top w:type="dxa" w:w="80"/>
              <w:left w:type="dxa" w:w="100"/>
              <w:bottom w:type="dxa" w:w="80"/>
              <w:right w:type="dxa" w:w="100"/>
            </w:tcMar>
          </w:tcPr>
          <w:p>
            <w:pPr>
              <w:jc w:val="left"/>
            </w:pPr>
            <w:r>
              <w:rPr>
                <w:b w:val="false"/>
                <w:bCs w:val="false"/>
                <w:sz w:val="20"/>
                <w:szCs w:val="20"/>
              </w:rPr>
              <w:t xml:space="preserve">Test</w:t>
            </w:r>
          </w:p>
        </w:tc>
        <w:tc>
          <w:tcPr>
            <w:tcW w:type="dxa" w:w="2340"/>
            <w:tcMar>
              <w:top w:type="dxa" w:w="80"/>
              <w:left w:type="dxa" w:w="100"/>
              <w:bottom w:type="dxa" w:w="80"/>
              <w:right w:type="dxa" w:w="100"/>
            </w:tcMar>
          </w:tcPr>
          <w:p>
            <w:pPr>
              <w:jc w:val="center"/>
            </w:pPr>
            <w:r>
              <w:rPr>
                <w:b w:val="false"/>
                <w:bCs w:val="false"/>
                <w:sz w:val="20"/>
                <w:szCs w:val="20"/>
              </w:rPr>
              <w:t xml:space="preserve">545</w:t>
            </w:r>
          </w:p>
        </w:tc>
        <w:tc>
          <w:tcPr>
            <w:tcW w:type="dxa" w:w="2340"/>
            <w:tcMar>
              <w:top w:type="dxa" w:w="80"/>
              <w:left w:type="dxa" w:w="100"/>
              <w:bottom w:type="dxa" w:w="80"/>
              <w:right w:type="dxa" w:w="100"/>
            </w:tcMar>
          </w:tcPr>
          <w:p>
            <w:pPr>
              <w:jc w:val="center"/>
            </w:pPr>
            <w:r>
              <w:rPr>
                <w:b w:val="false"/>
                <w:bCs w:val="false"/>
                <w:sz w:val="20"/>
                <w:szCs w:val="20"/>
              </w:rPr>
              <w:t xml:space="preserve">15%</w:t>
            </w:r>
          </w:p>
        </w:tc>
        <w:tc>
          <w:tcPr>
            <w:tcW w:type="dxa" w:w="2340"/>
            <w:tcMar>
              <w:top w:type="dxa" w:w="80"/>
              <w:left w:type="dxa" w:w="100"/>
              <w:bottom w:type="dxa" w:w="80"/>
              <w:right w:type="dxa" w:w="100"/>
            </w:tcMar>
          </w:tcPr>
          <w:p>
            <w:pPr>
              <w:jc w:val="center"/>
            </w:pPr>
            <w:r>
              <w:rPr>
                <w:b w:val="false"/>
                <w:bCs w:val="false"/>
                <w:sz w:val="20"/>
                <w:szCs w:val="20"/>
              </w:rPr>
              <w:t xml:space="preserve">39.1%</w:t>
            </w:r>
          </w:p>
        </w:tc>
      </w:tr>
      <w:tr>
        <w:tc>
          <w:tcPr>
            <w:tcW w:type="dxa" w:w="2340"/>
            <w:tcMar>
              <w:top w:type="dxa" w:w="80"/>
              <w:left w:type="dxa" w:w="100"/>
              <w:bottom w:type="dxa" w:w="80"/>
              <w:right w:type="dxa" w:w="100"/>
            </w:tcMar>
          </w:tcPr>
          <w:p>
            <w:pPr>
              <w:jc w:val="left"/>
            </w:pPr>
            <w:r>
              <w:rPr>
                <w:b w:val="false"/>
                <w:bCs w:val="false"/>
                <w:sz w:val="20"/>
                <w:szCs w:val="20"/>
              </w:rPr>
              <w:t xml:space="preserve">Total</w:t>
            </w:r>
          </w:p>
        </w:tc>
        <w:tc>
          <w:tcPr>
            <w:tcW w:type="dxa" w:w="2340"/>
            <w:tcMar>
              <w:top w:type="dxa" w:w="80"/>
              <w:left w:type="dxa" w:w="100"/>
              <w:bottom w:type="dxa" w:w="80"/>
              <w:right w:type="dxa" w:w="100"/>
            </w:tcMar>
          </w:tcPr>
          <w:p>
            <w:pPr>
              <w:jc w:val="center"/>
            </w:pPr>
            <w:r>
              <w:rPr>
                <w:b w:val="false"/>
                <w:bCs w:val="false"/>
                <w:sz w:val="20"/>
                <w:szCs w:val="20"/>
              </w:rPr>
              <w:t xml:space="preserve">3,630</w:t>
            </w:r>
          </w:p>
        </w:tc>
        <w:tc>
          <w:tcPr>
            <w:tcW w:type="dxa" w:w="2340"/>
            <w:tcMar>
              <w:top w:type="dxa" w:w="80"/>
              <w:left w:type="dxa" w:w="100"/>
              <w:bottom w:type="dxa" w:w="80"/>
              <w:right w:type="dxa" w:w="100"/>
            </w:tcMar>
          </w:tcPr>
          <w:p>
            <w:pPr>
              <w:jc w:val="center"/>
            </w:pPr>
            <w:r>
              <w:rPr>
                <w:b w:val="false"/>
                <w:bCs w:val="false"/>
                <w:sz w:val="20"/>
                <w:szCs w:val="20"/>
              </w:rPr>
              <w:t xml:space="preserve">100%</w:t>
            </w:r>
          </w:p>
        </w:tc>
        <w:tc>
          <w:tcPr>
            <w:tcW w:type="dxa" w:w="2340"/>
            <w:tcMar>
              <w:top w:type="dxa" w:w="80"/>
              <w:left w:type="dxa" w:w="100"/>
              <w:bottom w:type="dxa" w:w="80"/>
              <w:right w:type="dxa" w:w="100"/>
            </w:tcMar>
          </w:tcPr>
          <w:p>
            <w:pPr>
              <w:jc w:val="center"/>
            </w:pPr>
            <w:r>
              <w:rPr>
                <w:b w:val="false"/>
                <w:bCs w:val="false"/>
                <w:sz w:val="20"/>
                <w:szCs w:val="20"/>
              </w:rPr>
              <w:t xml:space="preserve">39.1%</w:t>
            </w:r>
          </w:p>
        </w:tc>
      </w:tr>
    </w:tbl>
    <w:p>
      <w:pPr>
        <w:pStyle w:val="Heading3"/>
        <w:spacing w:after="100" w:before="180"/>
      </w:pPr>
      <w:r>
        <w:t xml:space="preserve">Role of each split</w:t>
      </w:r>
    </w:p>
    <w:p>
      <w:pPr>
        <w:pStyle w:val="ListParagraph"/>
        <w:numPr>
          <w:ilvl w:val="0"/>
          <w:numId w:val="1"/>
        </w:numPr>
        <w:spacing w:after="60"/>
      </w:pPr>
      <w:r>
        <w:t xml:space="preserve">Training (70%) — fits preprocessing, trains models, and runs 5-fold cross-validation for hyperparameter tuning.</w:t>
      </w:r>
    </w:p>
    <w:p>
      <w:pPr>
        <w:pStyle w:val="ListParagraph"/>
        <w:numPr>
          <w:ilvl w:val="0"/>
          <w:numId w:val="1"/>
        </w:numPr>
        <w:spacing w:after="60"/>
      </w:pPr>
      <w:r>
        <w:t xml:space="preserve">Validation (15%) — compares candidate models and selects the final model; used for development-stage error analysis.</w:t>
      </w:r>
    </w:p>
    <w:p>
      <w:pPr>
        <w:pStyle w:val="ListParagraph"/>
        <w:numPr>
          <w:ilvl w:val="0"/>
          <w:numId w:val="1"/>
        </w:numPr>
        <w:spacing w:after="60"/>
      </w:pPr>
      <w:r>
        <w:t xml:space="preserve">Test (15%) — opened exactly once, only for final evaluation of the already-selected model.</w:t>
      </w:r>
    </w:p>
    <w:p>
      <w:pPr>
        <w:pStyle w:val="Heading2"/>
        <w:spacing w:after="120" w:before="220"/>
      </w:pPr>
      <w:r>
        <w:t xml:space="preserve">5.3 Preprocessing Pipeline</w:t>
      </w:r>
    </w:p>
    <w:p>
      <w:pPr>
        <w:spacing w:after="120"/>
      </w:pPr>
      <w:r>
        <w:t xml:space="preserve">Numeric and categorical features are processed separately inside a scikit-learn ColumnTransformer + Pipeline:</w:t>
      </w:r>
    </w:p>
    <w:p>
      <w:pPr>
        <w:pStyle w:val="ListParagraph"/>
        <w:numPr>
          <w:ilvl w:val="0"/>
          <w:numId w:val="1"/>
        </w:numPr>
        <w:spacing w:after="60"/>
      </w:pPr>
      <w:r>
        <w:t xml:space="preserve">Numeric features → SimpleImputer(median) → StandardScaler.</w:t>
      </w:r>
    </w:p>
    <w:p>
      <w:pPr>
        <w:pStyle w:val="ListParagraph"/>
        <w:numPr>
          <w:ilvl w:val="0"/>
          <w:numId w:val="1"/>
        </w:numPr>
        <w:spacing w:after="60"/>
      </w:pPr>
      <w:r>
        <w:t xml:space="preserve">Categorical (code-based) features → SimpleImputer(most_frequent) → OneHotEncoder(handle_unknown="ignore").</w:t>
      </w:r>
    </w:p>
    <w:p>
      <w:pPr>
        <w:spacing w:after="120"/>
      </w:pPr>
      <w:r>
        <w:t xml:space="preserve">SimpleImputer is included as a defensive step even though the audit found no missing values, so the pipeline does not silently break on future data changes. One-Hot Encoding prevents integer-coded categorical variables (e.g., application mode) from being misread as ordinal/continuous.</w:t>
      </w:r>
    </w:p>
    <w:p>
      <w:pPr>
        <w:pStyle w:val="Heading2"/>
        <w:spacing w:after="120" w:before="220"/>
      </w:pPr>
      <w:r>
        <w:t xml:space="preserve">5.4 Leakage Controls</w:t>
      </w:r>
    </w:p>
    <w:p>
      <w:pPr>
        <w:pStyle w:val="ListParagraph"/>
        <w:numPr>
          <w:ilvl w:val="0"/>
          <w:numId w:val="1"/>
        </w:numPr>
        <w:spacing w:after="60"/>
      </w:pPr>
      <w:r>
        <w:t xml:space="preserve">The dataset was split before any preprocessing was fitted.</w:t>
      </w:r>
    </w:p>
    <w:p>
      <w:pPr>
        <w:pStyle w:val="ListParagraph"/>
        <w:numPr>
          <w:ilvl w:val="0"/>
          <w:numId w:val="1"/>
        </w:numPr>
        <w:spacing w:after="60"/>
      </w:pPr>
      <w:r>
        <w:t xml:space="preserve">Preprocessing (imputer, scaler, encoder) was fit_transform()'d only on the training set; validation and test sets were transformed only with transform().</w:t>
      </w:r>
    </w:p>
    <w:p>
      <w:pPr>
        <w:pStyle w:val="ListParagraph"/>
        <w:numPr>
          <w:ilvl w:val="0"/>
          <w:numId w:val="1"/>
        </w:numPr>
        <w:spacing w:after="60"/>
      </w:pPr>
      <w:r>
        <w:t xml:space="preserve">Because preprocessing is embedded inside each model's Pipeline, every cross-validation fold during hyperparameter tuning learns its own preprocessing parameters from its training portion only.</w:t>
      </w:r>
    </w:p>
    <w:p>
      <w:pPr>
        <w:pStyle w:val="ListParagraph"/>
        <w:numPr>
          <w:ilvl w:val="0"/>
          <w:numId w:val="1"/>
        </w:numPr>
        <w:spacing w:after="60"/>
      </w:pPr>
      <w:r>
        <w:t xml:space="preserve">The test set was opened only once, after the final model was already selected from validation results — never used for tuning or model choice.</w:t>
      </w:r>
    </w:p>
    <w:p>
      <w:pPr>
        <w:pStyle w:val="Heading2"/>
        <w:spacing w:after="120" w:before="220"/>
      </w:pPr>
      <w:r>
        <w:t xml:space="preserve">5.5 Cross-Validation Strategy</w:t>
      </w:r>
    </w:p>
    <w:p>
      <w:pPr>
        <w:spacing w:after="120"/>
      </w:pPr>
      <w:r>
        <w:t xml:space="preserve">A 5-fold StratifiedKFold (preserving class ratio) was used on the training set for GridSearchCV hyperparameter tuning, with F1-score as the primary tuning metric, since correctly identifying dropout students is the project's practical priority.</w:t>
      </w:r>
    </w:p>
    <w:p>
      <w:pPr>
        <w:pStyle w:val="Heading1"/>
        <w:spacing w:after="150" w:before="300"/>
      </w:pPr>
      <w:r>
        <w:t xml:space="preserve">6. Baseline Definition and Result</w:t>
      </w:r>
    </w:p>
    <w:p>
      <w:pPr>
        <w:spacing w:after="120"/>
      </w:pPr>
      <w:r>
        <w:t xml:space="preserve">A DummyClassifier using the majority-class strategy (always predicting Graduate) was used as the reference floor that every real model must beat.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9" w:val="clear"/>
            <w:tcMar>
              <w:top w:type="dxa" w:w="80"/>
              <w:left w:type="dxa" w:w="100"/>
              <w:bottom w:type="dxa" w:w="80"/>
              <w:right w:type="dxa" w:w="100"/>
            </w:tcMar>
          </w:tcPr>
          <w:p>
            <w:pPr>
              <w:jc w:val="center"/>
            </w:pPr>
            <w:r>
              <w:rPr>
                <w:b/>
                <w:bCs/>
                <w:color w:val="FFFFFF"/>
                <w:sz w:val="20"/>
                <w:szCs w:val="20"/>
              </w:rPr>
              <w:t xml:space="preserve">Metric</w:t>
            </w:r>
          </w:p>
        </w:tc>
        <w:tc>
          <w:tcPr>
            <w:tcW w:type="dxa" w:w="4680"/>
            <w:shd w:fill="1F4E79" w:val="clear"/>
            <w:tcMar>
              <w:top w:type="dxa" w:w="80"/>
              <w:left w:type="dxa" w:w="100"/>
              <w:bottom w:type="dxa" w:w="80"/>
              <w:right w:type="dxa" w:w="100"/>
            </w:tcMar>
          </w:tcPr>
          <w:p>
            <w:pPr>
              <w:jc w:val="center"/>
            </w:pPr>
            <w:r>
              <w:rPr>
                <w:b/>
                <w:bCs/>
                <w:color w:val="FFFFFF"/>
                <w:sz w:val="20"/>
                <w:szCs w:val="20"/>
              </w:rPr>
              <w:t xml:space="preserve">Baseline (Validation)</w:t>
            </w:r>
          </w:p>
        </w:tc>
      </w:tr>
      <w:tr>
        <w:tc>
          <w:tcPr>
            <w:tcW w:type="dxa" w:w="4680"/>
            <w:tcMar>
              <w:top w:type="dxa" w:w="80"/>
              <w:left w:type="dxa" w:w="100"/>
              <w:bottom w:type="dxa" w:w="80"/>
              <w:right w:type="dxa" w:w="100"/>
            </w:tcMar>
          </w:tcPr>
          <w:p>
            <w:pPr>
              <w:jc w:val="left"/>
            </w:pPr>
            <w:r>
              <w:rPr>
                <w:b w:val="false"/>
                <w:bCs w:val="false"/>
                <w:sz w:val="20"/>
                <w:szCs w:val="20"/>
              </w:rPr>
              <w:t xml:space="preserve">Accuracy</w:t>
            </w:r>
          </w:p>
        </w:tc>
        <w:tc>
          <w:tcPr>
            <w:tcW w:type="dxa" w:w="4680"/>
            <w:tcMar>
              <w:top w:type="dxa" w:w="80"/>
              <w:left w:type="dxa" w:w="100"/>
              <w:bottom w:type="dxa" w:w="80"/>
              <w:right w:type="dxa" w:w="100"/>
            </w:tcMar>
          </w:tcPr>
          <w:p>
            <w:pPr>
              <w:jc w:val="center"/>
            </w:pPr>
            <w:r>
              <w:rPr>
                <w:b w:val="false"/>
                <w:bCs w:val="false"/>
                <w:sz w:val="20"/>
                <w:szCs w:val="20"/>
              </w:rPr>
              <w:t xml:space="preserve">60.8%</w:t>
            </w:r>
          </w:p>
        </w:tc>
      </w:tr>
      <w:tr>
        <w:tc>
          <w:tcPr>
            <w:tcW w:type="dxa" w:w="4680"/>
            <w:tcMar>
              <w:top w:type="dxa" w:w="80"/>
              <w:left w:type="dxa" w:w="100"/>
              <w:bottom w:type="dxa" w:w="80"/>
              <w:right w:type="dxa" w:w="100"/>
            </w:tcMar>
          </w:tcPr>
          <w:p>
            <w:pPr>
              <w:jc w:val="left"/>
            </w:pPr>
            <w:r>
              <w:rPr>
                <w:b w:val="false"/>
                <w:bCs w:val="false"/>
                <w:sz w:val="20"/>
                <w:szCs w:val="20"/>
              </w:rPr>
              <w:t xml:space="preserve">Precision</w:t>
            </w:r>
          </w:p>
        </w:tc>
        <w:tc>
          <w:tcPr>
            <w:tcW w:type="dxa" w:w="4680"/>
            <w:tcMar>
              <w:top w:type="dxa" w:w="80"/>
              <w:left w:type="dxa" w:w="100"/>
              <w:bottom w:type="dxa" w:w="80"/>
              <w:right w:type="dxa" w:w="100"/>
            </w:tcMar>
          </w:tcPr>
          <w:p>
            <w:pPr>
              <w:jc w:val="center"/>
            </w:pPr>
            <w:r>
              <w:rPr>
                <w:b w:val="false"/>
                <w:bCs w:val="false"/>
                <w:sz w:val="20"/>
                <w:szCs w:val="20"/>
              </w:rPr>
              <w:t xml:space="preserve">0.000</w:t>
            </w:r>
          </w:p>
        </w:tc>
      </w:tr>
      <w:tr>
        <w:tc>
          <w:tcPr>
            <w:tcW w:type="dxa" w:w="4680"/>
            <w:tcMar>
              <w:top w:type="dxa" w:w="80"/>
              <w:left w:type="dxa" w:w="100"/>
              <w:bottom w:type="dxa" w:w="80"/>
              <w:right w:type="dxa" w:w="100"/>
            </w:tcMar>
          </w:tcPr>
          <w:p>
            <w:pPr>
              <w:jc w:val="left"/>
            </w:pPr>
            <w:r>
              <w:rPr>
                <w:b w:val="false"/>
                <w:bCs w:val="false"/>
                <w:sz w:val="20"/>
                <w:szCs w:val="20"/>
              </w:rPr>
              <w:t xml:space="preserve">Recall</w:t>
            </w:r>
          </w:p>
        </w:tc>
        <w:tc>
          <w:tcPr>
            <w:tcW w:type="dxa" w:w="4680"/>
            <w:tcMar>
              <w:top w:type="dxa" w:w="80"/>
              <w:left w:type="dxa" w:w="100"/>
              <w:bottom w:type="dxa" w:w="80"/>
              <w:right w:type="dxa" w:w="100"/>
            </w:tcMar>
          </w:tcPr>
          <w:p>
            <w:pPr>
              <w:jc w:val="center"/>
            </w:pPr>
            <w:r>
              <w:rPr>
                <w:b w:val="false"/>
                <w:bCs w:val="false"/>
                <w:sz w:val="20"/>
                <w:szCs w:val="20"/>
              </w:rPr>
              <w:t xml:space="preserve">0.000</w:t>
            </w:r>
          </w:p>
        </w:tc>
      </w:tr>
      <w:tr>
        <w:tc>
          <w:tcPr>
            <w:tcW w:type="dxa" w:w="4680"/>
            <w:tcMar>
              <w:top w:type="dxa" w:w="80"/>
              <w:left w:type="dxa" w:w="100"/>
              <w:bottom w:type="dxa" w:w="80"/>
              <w:right w:type="dxa" w:w="100"/>
            </w:tcMar>
          </w:tcPr>
          <w:p>
            <w:pPr>
              <w:jc w:val="left"/>
            </w:pPr>
            <w:r>
              <w:rPr>
                <w:b w:val="false"/>
                <w:bCs w:val="false"/>
                <w:sz w:val="20"/>
                <w:szCs w:val="20"/>
              </w:rPr>
              <w:t xml:space="preserve">F1-score</w:t>
            </w:r>
          </w:p>
        </w:tc>
        <w:tc>
          <w:tcPr>
            <w:tcW w:type="dxa" w:w="4680"/>
            <w:tcMar>
              <w:top w:type="dxa" w:w="80"/>
              <w:left w:type="dxa" w:w="100"/>
              <w:bottom w:type="dxa" w:w="80"/>
              <w:right w:type="dxa" w:w="100"/>
            </w:tcMar>
          </w:tcPr>
          <w:p>
            <w:pPr>
              <w:jc w:val="center"/>
            </w:pPr>
            <w:r>
              <w:rPr>
                <w:b w:val="false"/>
                <w:bCs w:val="false"/>
                <w:sz w:val="20"/>
                <w:szCs w:val="20"/>
              </w:rPr>
              <w:t xml:space="preserve">0.000</w:t>
            </w:r>
          </w:p>
        </w:tc>
      </w:tr>
      <w:tr>
        <w:tc>
          <w:tcPr>
            <w:tcW w:type="dxa" w:w="4680"/>
            <w:tcMar>
              <w:top w:type="dxa" w:w="80"/>
              <w:left w:type="dxa" w:w="100"/>
              <w:bottom w:type="dxa" w:w="80"/>
              <w:right w:type="dxa" w:w="100"/>
            </w:tcMar>
          </w:tcPr>
          <w:p>
            <w:pPr>
              <w:jc w:val="left"/>
            </w:pPr>
            <w:r>
              <w:rPr>
                <w:b w:val="false"/>
                <w:bCs w:val="false"/>
                <w:sz w:val="20"/>
                <w:szCs w:val="20"/>
              </w:rPr>
              <w:t xml:space="preserve">ROC-AUC</w:t>
            </w:r>
          </w:p>
        </w:tc>
        <w:tc>
          <w:tcPr>
            <w:tcW w:type="dxa" w:w="4680"/>
            <w:tcMar>
              <w:top w:type="dxa" w:w="80"/>
              <w:left w:type="dxa" w:w="100"/>
              <w:bottom w:type="dxa" w:w="80"/>
              <w:right w:type="dxa" w:w="100"/>
            </w:tcMar>
          </w:tcPr>
          <w:p>
            <w:pPr>
              <w:jc w:val="center"/>
            </w:pPr>
            <w:r>
              <w:rPr>
                <w:b w:val="false"/>
                <w:bCs w:val="false"/>
                <w:sz w:val="20"/>
                <w:szCs w:val="20"/>
              </w:rPr>
              <w:t xml:space="preserve">0.500</w:t>
            </w:r>
          </w:p>
        </w:tc>
      </w:tr>
    </w:tbl>
    <w:p>
      <w:pPr>
        <w:spacing w:after="120"/>
      </w:pPr>
      <w:r>
        <w:t xml:space="preserve">Although the baseline reaches 60.8% accuracy purely from class imbalance, it completely fails to identify any dropout student (precision, recall, and F1 all = 0). This is the central reason the project does not use accuracy alone to judge or select models.</w:t>
      </w:r>
    </w:p>
    <w:p>
      <w:pPr>
        <w:pStyle w:val="Heading1"/>
        <w:spacing w:after="150" w:before="300"/>
      </w:pPr>
      <w:r>
        <w:t xml:space="preserve">7. Candidate Models, Model-Choice Reasoning, Hyperparameters, and Validation/Tuning Method</w:t>
      </w:r>
    </w:p>
    <w:p>
      <w:pPr>
        <w:spacing w:after="120"/>
      </w:pPr>
      <w:r>
        <w:t xml:space="preserve">Four algorithms were implemented, each in an untuned and a GridSearchCV-tuned version, all evaluated on the same 15% validation set using identical preprocessing and metrics.</w:t>
      </w:r>
    </w:p>
    <w:p>
      <w:pPr>
        <w:pStyle w:val="Heading2"/>
        <w:spacing w:after="120" w:before="220"/>
      </w:pPr>
      <w:r>
        <w:t xml:space="preserve">7.1 Logistic Regression</w:t>
      </w:r>
    </w:p>
    <w:p>
      <w:pPr>
        <w:spacing w:after="120"/>
      </w:pPr>
      <w:r>
        <w:t xml:space="preserve">Chosen as an interpretable linear baseline: the problem is binary, the dataset size is moderate, and coefficients directly explain which features push a prediction toward Dropout or Graduate.</w:t>
      </w:r>
    </w:p>
    <w:p>
      <w:pPr>
        <w:spacing w:after="120"/>
      </w:pPr>
      <w:r>
        <w:t xml:space="preserve">Tuned hyperparameters (GridSearchCV): C = 0.1, penalty = l1, solver = liblinear.</w:t>
      </w:r>
    </w:p>
    <w:p>
      <w:pPr>
        <w:pStyle w:val="Heading2"/>
        <w:spacing w:after="120" w:before="220"/>
      </w:pPr>
      <w:r>
        <w:t xml:space="preserve">7.2 K-Nearest Neighbors (KNN)</w:t>
      </w:r>
    </w:p>
    <w:p>
      <w:pPr>
        <w:spacing w:after="120"/>
      </w:pPr>
      <w:r>
        <w:t xml:space="preserve">Included as a distance-based comparison point. Flagged honestly as a risk area: after one-hot encoding the feature space has ~60–80 columns, and KNN's distance metric is known to degrade in high dimensions.</w:t>
      </w:r>
    </w:p>
    <w:p>
      <w:pPr>
        <w:spacing w:after="120"/>
      </w:pPr>
      <w:r>
        <w:t xml:space="preserve">Tuned hyperparameters: n_neighbors = 5, weights = uniform.</w:t>
      </w:r>
    </w:p>
    <w:p>
      <w:pPr>
        <w:pStyle w:val="Heading2"/>
        <w:spacing w:after="120" w:before="220"/>
      </w:pPr>
      <w:r>
        <w:t xml:space="preserve">7.3 Random Forest</w:t>
      </w:r>
    </w:p>
    <w:p>
      <w:pPr>
        <w:spacing w:after="120"/>
      </w:pPr>
      <w:r>
        <w:t xml:space="preserve">Chosen to capture nonlinear relationships and feature interactions (e.g., tuition-fee status may matter differently depending on scholarship status) that Logistic Regression cannot express without manual interaction terms. Also provides unsigned feature-importance scores.</w:t>
      </w:r>
    </w:p>
    <w:p>
      <w:pPr>
        <w:spacing w:after="120"/>
      </w:pPr>
      <w:r>
        <w:t xml:space="preserve">Tuned hyperparameters: n_estimators = 200, max_depth = 15, min_samples_leaf = 1.</w:t>
      </w:r>
    </w:p>
    <w:p>
      <w:pPr>
        <w:pStyle w:val="Heading2"/>
        <w:spacing w:after="120" w:before="220"/>
      </w:pPr>
      <w:r>
        <w:t xml:space="preserve">7.4 Gradient Boosting</w:t>
      </w:r>
    </w:p>
    <w:p>
      <w:pPr>
        <w:spacing w:after="120"/>
      </w:pPr>
      <w:r>
        <w:t xml:space="preserve">Included as a stronger sequential nonlinear ensemble than Random Forest for tabular data. Shallow trees were used deliberately during tuning because boosting overfits more easily than Random Forest with deep trees.</w:t>
      </w:r>
    </w:p>
    <w:p>
      <w:pPr>
        <w:spacing w:after="120"/>
      </w:pPr>
      <w:r>
        <w:t xml:space="preserve">Tuned hyperparameters: n_estimators = 200, learning_rate = 0.1, max_depth = 2.</w:t>
      </w:r>
    </w:p>
    <w:p>
      <w:pPr>
        <w:pStyle w:val="Heading2"/>
        <w:spacing w:after="120" w:before="220"/>
      </w:pPr>
      <w:r>
        <w:t xml:space="preserve">7.5 Validation/Tuning Method</w:t>
      </w:r>
    </w:p>
    <w:p>
      <w:pPr>
        <w:spacing w:after="120"/>
      </w:pPr>
      <w:r>
        <w:t xml:space="preserve">All hyperparameters were selected using GridSearchCV with 5-fold StratifiedKFold cross-validation on the training set only, optimising F1-score. The validation set (separate from all CV folds) was then used purely to compare the eight resulting candidates (4 models × untuned/tuned) and select the single best model — the test set played no role in this process.</w:t>
      </w:r>
    </w:p>
    <w:p>
      <w:pPr>
        <w:pStyle w:val="Heading1"/>
        <w:spacing w:after="150" w:before="300"/>
      </w:pPr>
      <w:r>
        <w:t xml:space="preserve">8. Final Metrics, Diagnostic Plots, Model Comparison, and Computational Cost</w:t>
      </w:r>
    </w:p>
    <w:p>
      <w:pPr>
        <w:pStyle w:val="Heading2"/>
        <w:spacing w:after="120" w:before="220"/>
      </w:pPr>
      <w:r>
        <w:t xml:space="preserve">8.1 Validation Model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tblHeader/>
        </w:trPr>
        <w:tc>
          <w:tcPr>
            <w:tcW w:type="dxa" w:w="2760"/>
            <w:shd w:fill="1F4E79" w:val="clear"/>
            <w:tcMar>
              <w:top w:type="dxa" w:w="80"/>
              <w:left w:type="dxa" w:w="100"/>
              <w:bottom w:type="dxa" w:w="80"/>
              <w:right w:type="dxa" w:w="100"/>
            </w:tcMar>
          </w:tcPr>
          <w:p>
            <w:pPr>
              <w:jc w:val="center"/>
            </w:pPr>
            <w:r>
              <w:rPr>
                <w:b/>
                <w:bCs/>
                <w:color w:val="FFFFFF"/>
                <w:sz w:val="20"/>
                <w:szCs w:val="20"/>
              </w:rPr>
              <w:t xml:space="preserve">Model</w:t>
            </w:r>
          </w:p>
        </w:tc>
        <w:tc>
          <w:tcPr>
            <w:tcW w:type="dxa" w:w="1320"/>
            <w:shd w:fill="1F4E79" w:val="clear"/>
            <w:tcMar>
              <w:top w:type="dxa" w:w="80"/>
              <w:left w:type="dxa" w:w="100"/>
              <w:bottom w:type="dxa" w:w="80"/>
              <w:right w:type="dxa" w:w="100"/>
            </w:tcMar>
          </w:tcPr>
          <w:p>
            <w:pPr>
              <w:jc w:val="center"/>
            </w:pPr>
            <w:r>
              <w:rPr>
                <w:b/>
                <w:bCs/>
                <w:color w:val="FFFFFF"/>
                <w:sz w:val="20"/>
                <w:szCs w:val="20"/>
              </w:rPr>
              <w:t xml:space="preserve">Accuracy</w:t>
            </w:r>
          </w:p>
        </w:tc>
        <w:tc>
          <w:tcPr>
            <w:tcW w:type="dxa" w:w="1320"/>
            <w:shd w:fill="1F4E79" w:val="clear"/>
            <w:tcMar>
              <w:top w:type="dxa" w:w="80"/>
              <w:left w:type="dxa" w:w="100"/>
              <w:bottom w:type="dxa" w:w="80"/>
              <w:right w:type="dxa" w:w="100"/>
            </w:tcMar>
          </w:tcPr>
          <w:p>
            <w:pPr>
              <w:jc w:val="center"/>
            </w:pPr>
            <w:r>
              <w:rPr>
                <w:b/>
                <w:bCs/>
                <w:color w:val="FFFFFF"/>
                <w:sz w:val="20"/>
                <w:szCs w:val="20"/>
              </w:rPr>
              <w:t xml:space="preserve">Precision</w:t>
            </w:r>
          </w:p>
        </w:tc>
        <w:tc>
          <w:tcPr>
            <w:tcW w:type="dxa" w:w="1320"/>
            <w:shd w:fill="1F4E79" w:val="clear"/>
            <w:tcMar>
              <w:top w:type="dxa" w:w="80"/>
              <w:left w:type="dxa" w:w="100"/>
              <w:bottom w:type="dxa" w:w="80"/>
              <w:right w:type="dxa" w:w="100"/>
            </w:tcMar>
          </w:tcPr>
          <w:p>
            <w:pPr>
              <w:jc w:val="center"/>
            </w:pPr>
            <w:r>
              <w:rPr>
                <w:b/>
                <w:bCs/>
                <w:color w:val="FFFFFF"/>
                <w:sz w:val="20"/>
                <w:szCs w:val="20"/>
              </w:rPr>
              <w:t xml:space="preserve">Recall</w:t>
            </w:r>
          </w:p>
        </w:tc>
        <w:tc>
          <w:tcPr>
            <w:tcW w:type="dxa" w:w="1320"/>
            <w:shd w:fill="1F4E79" w:val="clear"/>
            <w:tcMar>
              <w:top w:type="dxa" w:w="80"/>
              <w:left w:type="dxa" w:w="100"/>
              <w:bottom w:type="dxa" w:w="80"/>
              <w:right w:type="dxa" w:w="100"/>
            </w:tcMar>
          </w:tcPr>
          <w:p>
            <w:pPr>
              <w:jc w:val="center"/>
            </w:pPr>
            <w:r>
              <w:rPr>
                <w:b/>
                <w:bCs/>
                <w:color w:val="FFFFFF"/>
                <w:sz w:val="20"/>
                <w:szCs w:val="20"/>
              </w:rPr>
              <w:t xml:space="preserve">F1</w:t>
            </w:r>
          </w:p>
        </w:tc>
        <w:tc>
          <w:tcPr>
            <w:tcW w:type="dxa" w:w="1320"/>
            <w:shd w:fill="1F4E79" w:val="clear"/>
            <w:tcMar>
              <w:top w:type="dxa" w:w="80"/>
              <w:left w:type="dxa" w:w="100"/>
              <w:bottom w:type="dxa" w:w="80"/>
              <w:right w:type="dxa" w:w="100"/>
            </w:tcMar>
          </w:tcPr>
          <w:p>
            <w:pPr>
              <w:jc w:val="center"/>
            </w:pPr>
            <w:r>
              <w:rPr>
                <w:b/>
                <w:bCs/>
                <w:color w:val="FFFFFF"/>
                <w:sz w:val="20"/>
                <w:szCs w:val="20"/>
              </w:rPr>
              <w:t xml:space="preserve">ROC-AUC</w:t>
            </w:r>
          </w:p>
        </w:tc>
      </w:tr>
      <w:tr>
        <w:tc>
          <w:tcPr>
            <w:tcW w:type="dxa" w:w="2760"/>
            <w:tcMar>
              <w:top w:type="dxa" w:w="80"/>
              <w:left w:type="dxa" w:w="100"/>
              <w:bottom w:type="dxa" w:w="80"/>
              <w:right w:type="dxa" w:w="100"/>
            </w:tcMar>
          </w:tcPr>
          <w:p>
            <w:pPr>
              <w:jc w:val="left"/>
            </w:pPr>
            <w:r>
              <w:rPr>
                <w:b w:val="false"/>
                <w:bCs w:val="false"/>
                <w:sz w:val="20"/>
                <w:szCs w:val="20"/>
              </w:rPr>
              <w:t xml:space="preserve">Baseline (Majority Class)</w:t>
            </w:r>
          </w:p>
        </w:tc>
        <w:tc>
          <w:tcPr>
            <w:tcW w:type="dxa" w:w="1320"/>
            <w:tcMar>
              <w:top w:type="dxa" w:w="80"/>
              <w:left w:type="dxa" w:w="100"/>
              <w:bottom w:type="dxa" w:w="80"/>
              <w:right w:type="dxa" w:w="100"/>
            </w:tcMar>
          </w:tcPr>
          <w:p>
            <w:pPr>
              <w:jc w:val="center"/>
            </w:pPr>
            <w:r>
              <w:rPr>
                <w:b w:val="false"/>
                <w:bCs w:val="false"/>
                <w:sz w:val="20"/>
                <w:szCs w:val="20"/>
              </w:rPr>
              <w:t xml:space="preserve">0.608</w:t>
            </w:r>
          </w:p>
        </w:tc>
        <w:tc>
          <w:tcPr>
            <w:tcW w:type="dxa" w:w="1320"/>
            <w:tcMar>
              <w:top w:type="dxa" w:w="80"/>
              <w:left w:type="dxa" w:w="100"/>
              <w:bottom w:type="dxa" w:w="80"/>
              <w:right w:type="dxa" w:w="100"/>
            </w:tcMar>
          </w:tcPr>
          <w:p>
            <w:pPr>
              <w:jc w:val="center"/>
            </w:pPr>
            <w:r>
              <w:rPr>
                <w:b w:val="false"/>
                <w:bCs w:val="false"/>
                <w:sz w:val="20"/>
                <w:szCs w:val="20"/>
              </w:rPr>
              <w:t xml:space="preserve">0.000</w:t>
            </w:r>
          </w:p>
        </w:tc>
        <w:tc>
          <w:tcPr>
            <w:tcW w:type="dxa" w:w="1320"/>
            <w:tcMar>
              <w:top w:type="dxa" w:w="80"/>
              <w:left w:type="dxa" w:w="100"/>
              <w:bottom w:type="dxa" w:w="80"/>
              <w:right w:type="dxa" w:w="100"/>
            </w:tcMar>
          </w:tcPr>
          <w:p>
            <w:pPr>
              <w:jc w:val="center"/>
            </w:pPr>
            <w:r>
              <w:rPr>
                <w:b w:val="false"/>
                <w:bCs w:val="false"/>
                <w:sz w:val="20"/>
                <w:szCs w:val="20"/>
              </w:rPr>
              <w:t xml:space="preserve">0.000</w:t>
            </w:r>
          </w:p>
        </w:tc>
        <w:tc>
          <w:tcPr>
            <w:tcW w:type="dxa" w:w="1320"/>
            <w:tcMar>
              <w:top w:type="dxa" w:w="80"/>
              <w:left w:type="dxa" w:w="100"/>
              <w:bottom w:type="dxa" w:w="80"/>
              <w:right w:type="dxa" w:w="100"/>
            </w:tcMar>
          </w:tcPr>
          <w:p>
            <w:pPr>
              <w:jc w:val="center"/>
            </w:pPr>
            <w:r>
              <w:rPr>
                <w:b w:val="false"/>
                <w:bCs w:val="false"/>
                <w:sz w:val="20"/>
                <w:szCs w:val="20"/>
              </w:rPr>
              <w:t xml:space="preserve">0.000</w:t>
            </w:r>
          </w:p>
        </w:tc>
        <w:tc>
          <w:tcPr>
            <w:tcW w:type="dxa" w:w="1320"/>
            <w:tcMar>
              <w:top w:type="dxa" w:w="80"/>
              <w:left w:type="dxa" w:w="100"/>
              <w:bottom w:type="dxa" w:w="80"/>
              <w:right w:type="dxa" w:w="100"/>
            </w:tcMar>
          </w:tcPr>
          <w:p>
            <w:pPr>
              <w:jc w:val="center"/>
            </w:pPr>
            <w:r>
              <w:rPr>
                <w:b w:val="false"/>
                <w:bCs w:val="false"/>
                <w:sz w:val="20"/>
                <w:szCs w:val="20"/>
              </w:rPr>
              <w:t xml:space="preserve">0.500</w:t>
            </w:r>
          </w:p>
        </w:tc>
      </w:tr>
      <w:tr>
        <w:tc>
          <w:tcPr>
            <w:tcW w:type="dxa" w:w="2760"/>
            <w:tcMar>
              <w:top w:type="dxa" w:w="80"/>
              <w:left w:type="dxa" w:w="100"/>
              <w:bottom w:type="dxa" w:w="80"/>
              <w:right w:type="dxa" w:w="100"/>
            </w:tcMar>
          </w:tcPr>
          <w:p>
            <w:pPr>
              <w:jc w:val="left"/>
            </w:pPr>
            <w:r>
              <w:rPr>
                <w:b w:val="false"/>
                <w:bCs w:val="false"/>
                <w:sz w:val="20"/>
                <w:szCs w:val="20"/>
              </w:rPr>
              <w:t xml:space="preserve">Logistic Regression (Untuned)</w:t>
            </w:r>
          </w:p>
        </w:tc>
        <w:tc>
          <w:tcPr>
            <w:tcW w:type="dxa" w:w="1320"/>
            <w:tcMar>
              <w:top w:type="dxa" w:w="80"/>
              <w:left w:type="dxa" w:w="100"/>
              <w:bottom w:type="dxa" w:w="80"/>
              <w:right w:type="dxa" w:w="100"/>
            </w:tcMar>
          </w:tcPr>
          <w:p>
            <w:pPr>
              <w:jc w:val="center"/>
            </w:pPr>
            <w:r>
              <w:rPr>
                <w:b w:val="false"/>
                <w:bCs w:val="false"/>
                <w:sz w:val="20"/>
                <w:szCs w:val="20"/>
              </w:rPr>
              <w:t xml:space="preserve">0.928</w:t>
            </w:r>
          </w:p>
        </w:tc>
        <w:tc>
          <w:tcPr>
            <w:tcW w:type="dxa" w:w="1320"/>
            <w:tcMar>
              <w:top w:type="dxa" w:w="80"/>
              <w:left w:type="dxa" w:w="100"/>
              <w:bottom w:type="dxa" w:w="80"/>
              <w:right w:type="dxa" w:w="100"/>
            </w:tcMar>
          </w:tcPr>
          <w:p>
            <w:pPr>
              <w:jc w:val="center"/>
            </w:pPr>
            <w:r>
              <w:rPr>
                <w:b w:val="false"/>
                <w:bCs w:val="false"/>
                <w:sz w:val="20"/>
                <w:szCs w:val="20"/>
              </w:rPr>
              <w:t xml:space="preserve">0.910</w:t>
            </w:r>
          </w:p>
        </w:tc>
        <w:tc>
          <w:tcPr>
            <w:tcW w:type="dxa" w:w="1320"/>
            <w:tcMar>
              <w:top w:type="dxa" w:w="80"/>
              <w:left w:type="dxa" w:w="100"/>
              <w:bottom w:type="dxa" w:w="80"/>
              <w:right w:type="dxa" w:w="100"/>
            </w:tcMar>
          </w:tcPr>
          <w:p>
            <w:pPr>
              <w:jc w:val="center"/>
            </w:pPr>
            <w:r>
              <w:rPr>
                <w:b w:val="false"/>
                <w:bCs w:val="false"/>
                <w:sz w:val="20"/>
                <w:szCs w:val="20"/>
              </w:rPr>
              <w:t xml:space="preserve">0.906</w:t>
            </w:r>
          </w:p>
        </w:tc>
        <w:tc>
          <w:tcPr>
            <w:tcW w:type="dxa" w:w="1320"/>
            <w:tcMar>
              <w:top w:type="dxa" w:w="80"/>
              <w:left w:type="dxa" w:w="100"/>
              <w:bottom w:type="dxa" w:w="80"/>
              <w:right w:type="dxa" w:w="100"/>
            </w:tcMar>
          </w:tcPr>
          <w:p>
            <w:pPr>
              <w:jc w:val="center"/>
            </w:pPr>
            <w:r>
              <w:rPr>
                <w:b w:val="false"/>
                <w:bCs w:val="false"/>
                <w:sz w:val="20"/>
                <w:szCs w:val="20"/>
              </w:rPr>
              <w:t xml:space="preserve">0.908</w:t>
            </w:r>
          </w:p>
        </w:tc>
        <w:tc>
          <w:tcPr>
            <w:tcW w:type="dxa" w:w="1320"/>
            <w:tcMar>
              <w:top w:type="dxa" w:w="80"/>
              <w:left w:type="dxa" w:w="100"/>
              <w:bottom w:type="dxa" w:w="80"/>
              <w:right w:type="dxa" w:w="100"/>
            </w:tcMar>
          </w:tcPr>
          <w:p>
            <w:pPr>
              <w:jc w:val="center"/>
            </w:pPr>
            <w:r>
              <w:rPr>
                <w:b w:val="false"/>
                <w:bCs w:val="false"/>
                <w:sz w:val="20"/>
                <w:szCs w:val="20"/>
              </w:rPr>
              <w:t xml:space="preserve">0.968</w:t>
            </w:r>
          </w:p>
        </w:tc>
      </w:tr>
      <w:tr>
        <w:tc>
          <w:tcPr>
            <w:tcW w:type="dxa" w:w="2760"/>
            <w:tcMar>
              <w:top w:type="dxa" w:w="80"/>
              <w:left w:type="dxa" w:w="100"/>
              <w:bottom w:type="dxa" w:w="80"/>
              <w:right w:type="dxa" w:w="100"/>
            </w:tcMar>
          </w:tcPr>
          <w:p>
            <w:pPr>
              <w:jc w:val="left"/>
            </w:pPr>
            <w:r>
              <w:rPr>
                <w:b w:val="false"/>
                <w:bCs w:val="false"/>
                <w:sz w:val="20"/>
                <w:szCs w:val="20"/>
              </w:rPr>
              <w:t xml:space="preserve">Logistic Regression (Tuned)</w:t>
            </w:r>
          </w:p>
        </w:tc>
        <w:tc>
          <w:tcPr>
            <w:tcW w:type="dxa" w:w="1320"/>
            <w:tcMar>
              <w:top w:type="dxa" w:w="80"/>
              <w:left w:type="dxa" w:w="100"/>
              <w:bottom w:type="dxa" w:w="80"/>
              <w:right w:type="dxa" w:w="100"/>
            </w:tcMar>
          </w:tcPr>
          <w:p>
            <w:pPr>
              <w:jc w:val="center"/>
            </w:pPr>
            <w:r>
              <w:rPr>
                <w:b w:val="false"/>
                <w:bCs w:val="false"/>
                <w:sz w:val="20"/>
                <w:szCs w:val="20"/>
              </w:rPr>
              <w:t xml:space="preserve">0.943</w:t>
            </w:r>
          </w:p>
        </w:tc>
        <w:tc>
          <w:tcPr>
            <w:tcW w:type="dxa" w:w="1320"/>
            <w:tcMar>
              <w:top w:type="dxa" w:w="80"/>
              <w:left w:type="dxa" w:w="100"/>
              <w:bottom w:type="dxa" w:w="80"/>
              <w:right w:type="dxa" w:w="100"/>
            </w:tcMar>
          </w:tcPr>
          <w:p>
            <w:pPr>
              <w:jc w:val="center"/>
            </w:pPr>
            <w:r>
              <w:rPr>
                <w:b w:val="false"/>
                <w:bCs w:val="false"/>
                <w:sz w:val="20"/>
                <w:szCs w:val="20"/>
              </w:rPr>
              <w:t xml:space="preserve">0.938</w:t>
            </w:r>
          </w:p>
        </w:tc>
        <w:tc>
          <w:tcPr>
            <w:tcW w:type="dxa" w:w="1320"/>
            <w:tcMar>
              <w:top w:type="dxa" w:w="80"/>
              <w:left w:type="dxa" w:w="100"/>
              <w:bottom w:type="dxa" w:w="80"/>
              <w:right w:type="dxa" w:w="100"/>
            </w:tcMar>
          </w:tcPr>
          <w:p>
            <w:pPr>
              <w:jc w:val="center"/>
            </w:pPr>
            <w:r>
              <w:rPr>
                <w:b w:val="false"/>
                <w:bCs w:val="false"/>
                <w:sz w:val="20"/>
                <w:szCs w:val="20"/>
              </w:rPr>
              <w:t xml:space="preserve">0.915</w:t>
            </w:r>
          </w:p>
        </w:tc>
        <w:tc>
          <w:tcPr>
            <w:tcW w:type="dxa" w:w="1320"/>
            <w:tcMar>
              <w:top w:type="dxa" w:w="80"/>
              <w:left w:type="dxa" w:w="100"/>
              <w:bottom w:type="dxa" w:w="80"/>
              <w:right w:type="dxa" w:w="100"/>
            </w:tcMar>
          </w:tcPr>
          <w:p>
            <w:pPr>
              <w:jc w:val="center"/>
            </w:pPr>
            <w:r>
              <w:rPr>
                <w:b w:val="false"/>
                <w:bCs w:val="false"/>
                <w:sz w:val="20"/>
                <w:szCs w:val="20"/>
              </w:rPr>
              <w:t xml:space="preserve">0.926</w:t>
            </w:r>
          </w:p>
        </w:tc>
        <w:tc>
          <w:tcPr>
            <w:tcW w:type="dxa" w:w="1320"/>
            <w:tcMar>
              <w:top w:type="dxa" w:w="80"/>
              <w:left w:type="dxa" w:w="100"/>
              <w:bottom w:type="dxa" w:w="80"/>
              <w:right w:type="dxa" w:w="100"/>
            </w:tcMar>
          </w:tcPr>
          <w:p>
            <w:pPr>
              <w:jc w:val="center"/>
            </w:pPr>
            <w:r>
              <w:rPr>
                <w:b w:val="false"/>
                <w:bCs w:val="false"/>
                <w:sz w:val="20"/>
                <w:szCs w:val="20"/>
              </w:rPr>
              <w:t xml:space="preserve">0.973</w:t>
            </w:r>
          </w:p>
        </w:tc>
      </w:tr>
      <w:tr>
        <w:tc>
          <w:tcPr>
            <w:tcW w:type="dxa" w:w="2760"/>
            <w:tcMar>
              <w:top w:type="dxa" w:w="80"/>
              <w:left w:type="dxa" w:w="100"/>
              <w:bottom w:type="dxa" w:w="80"/>
              <w:right w:type="dxa" w:w="100"/>
            </w:tcMar>
          </w:tcPr>
          <w:p>
            <w:pPr>
              <w:jc w:val="left"/>
            </w:pPr>
            <w:r>
              <w:rPr>
                <w:b w:val="false"/>
                <w:bCs w:val="false"/>
                <w:sz w:val="20"/>
                <w:szCs w:val="20"/>
              </w:rPr>
              <w:t xml:space="preserve">KNN (Untuned)</w:t>
            </w:r>
          </w:p>
        </w:tc>
        <w:tc>
          <w:tcPr>
            <w:tcW w:type="dxa" w:w="1320"/>
            <w:tcMar>
              <w:top w:type="dxa" w:w="80"/>
              <w:left w:type="dxa" w:w="100"/>
              <w:bottom w:type="dxa" w:w="80"/>
              <w:right w:type="dxa" w:w="100"/>
            </w:tcMar>
          </w:tcPr>
          <w:p>
            <w:pPr>
              <w:jc w:val="center"/>
            </w:pPr>
            <w:r>
              <w:rPr>
                <w:b w:val="false"/>
                <w:bCs w:val="false"/>
                <w:sz w:val="20"/>
                <w:szCs w:val="20"/>
              </w:rPr>
              <w:t xml:space="preserve">0.879</w:t>
            </w:r>
          </w:p>
        </w:tc>
        <w:tc>
          <w:tcPr>
            <w:tcW w:type="dxa" w:w="1320"/>
            <w:tcMar>
              <w:top w:type="dxa" w:w="80"/>
              <w:left w:type="dxa" w:w="100"/>
              <w:bottom w:type="dxa" w:w="80"/>
              <w:right w:type="dxa" w:w="100"/>
            </w:tcMar>
          </w:tcPr>
          <w:p>
            <w:pPr>
              <w:jc w:val="center"/>
            </w:pPr>
            <w:r>
              <w:rPr>
                <w:b w:val="false"/>
                <w:bCs w:val="false"/>
                <w:sz w:val="20"/>
                <w:szCs w:val="20"/>
              </w:rPr>
              <w:t xml:space="preserve">0.920</w:t>
            </w:r>
          </w:p>
        </w:tc>
        <w:tc>
          <w:tcPr>
            <w:tcW w:type="dxa" w:w="1320"/>
            <w:tcMar>
              <w:top w:type="dxa" w:w="80"/>
              <w:left w:type="dxa" w:w="100"/>
              <w:bottom w:type="dxa" w:w="80"/>
              <w:right w:type="dxa" w:w="100"/>
            </w:tcMar>
          </w:tcPr>
          <w:p>
            <w:pPr>
              <w:jc w:val="center"/>
            </w:pPr>
            <w:r>
              <w:rPr>
                <w:b w:val="false"/>
                <w:bCs w:val="false"/>
                <w:sz w:val="20"/>
                <w:szCs w:val="20"/>
              </w:rPr>
              <w:t xml:space="preserve">0.756</w:t>
            </w:r>
          </w:p>
        </w:tc>
        <w:tc>
          <w:tcPr>
            <w:tcW w:type="dxa" w:w="1320"/>
            <w:tcMar>
              <w:top w:type="dxa" w:w="80"/>
              <w:left w:type="dxa" w:w="100"/>
              <w:bottom w:type="dxa" w:w="80"/>
              <w:right w:type="dxa" w:w="100"/>
            </w:tcMar>
          </w:tcPr>
          <w:p>
            <w:pPr>
              <w:jc w:val="center"/>
            </w:pPr>
            <w:r>
              <w:rPr>
                <w:b w:val="false"/>
                <w:bCs w:val="false"/>
                <w:sz w:val="20"/>
                <w:szCs w:val="20"/>
              </w:rPr>
              <w:t xml:space="preserve">0.830</w:t>
            </w:r>
          </w:p>
        </w:tc>
        <w:tc>
          <w:tcPr>
            <w:tcW w:type="dxa" w:w="1320"/>
            <w:tcMar>
              <w:top w:type="dxa" w:w="80"/>
              <w:left w:type="dxa" w:w="100"/>
              <w:bottom w:type="dxa" w:w="80"/>
              <w:right w:type="dxa" w:w="100"/>
            </w:tcMar>
          </w:tcPr>
          <w:p>
            <w:pPr>
              <w:jc w:val="center"/>
            </w:pPr>
            <w:r>
              <w:rPr>
                <w:b w:val="false"/>
                <w:bCs w:val="false"/>
                <w:sz w:val="20"/>
                <w:szCs w:val="20"/>
              </w:rPr>
              <w:t xml:space="preserve">0.923</w:t>
            </w:r>
          </w:p>
        </w:tc>
      </w:tr>
      <w:tr>
        <w:tc>
          <w:tcPr>
            <w:tcW w:type="dxa" w:w="2760"/>
            <w:tcMar>
              <w:top w:type="dxa" w:w="80"/>
              <w:left w:type="dxa" w:w="100"/>
              <w:bottom w:type="dxa" w:w="80"/>
              <w:right w:type="dxa" w:w="100"/>
            </w:tcMar>
          </w:tcPr>
          <w:p>
            <w:pPr>
              <w:jc w:val="left"/>
            </w:pPr>
            <w:r>
              <w:rPr>
                <w:b w:val="false"/>
                <w:bCs w:val="false"/>
                <w:sz w:val="20"/>
                <w:szCs w:val="20"/>
              </w:rPr>
              <w:t xml:space="preserve">KNN (Tuned)</w:t>
            </w:r>
          </w:p>
        </w:tc>
        <w:tc>
          <w:tcPr>
            <w:tcW w:type="dxa" w:w="1320"/>
            <w:tcMar>
              <w:top w:type="dxa" w:w="80"/>
              <w:left w:type="dxa" w:w="100"/>
              <w:bottom w:type="dxa" w:w="80"/>
              <w:right w:type="dxa" w:w="100"/>
            </w:tcMar>
          </w:tcPr>
          <w:p>
            <w:pPr>
              <w:jc w:val="center"/>
            </w:pPr>
            <w:r>
              <w:rPr>
                <w:b w:val="false"/>
                <w:bCs w:val="false"/>
                <w:sz w:val="20"/>
                <w:szCs w:val="20"/>
              </w:rPr>
              <w:t xml:space="preserve">0.879</w:t>
            </w:r>
          </w:p>
        </w:tc>
        <w:tc>
          <w:tcPr>
            <w:tcW w:type="dxa" w:w="1320"/>
            <w:tcMar>
              <w:top w:type="dxa" w:w="80"/>
              <w:left w:type="dxa" w:w="100"/>
              <w:bottom w:type="dxa" w:w="80"/>
              <w:right w:type="dxa" w:w="100"/>
            </w:tcMar>
          </w:tcPr>
          <w:p>
            <w:pPr>
              <w:jc w:val="center"/>
            </w:pPr>
            <w:r>
              <w:rPr>
                <w:b w:val="false"/>
                <w:bCs w:val="false"/>
                <w:sz w:val="20"/>
                <w:szCs w:val="20"/>
              </w:rPr>
              <w:t xml:space="preserve">0.920</w:t>
            </w:r>
          </w:p>
        </w:tc>
        <w:tc>
          <w:tcPr>
            <w:tcW w:type="dxa" w:w="1320"/>
            <w:tcMar>
              <w:top w:type="dxa" w:w="80"/>
              <w:left w:type="dxa" w:w="100"/>
              <w:bottom w:type="dxa" w:w="80"/>
              <w:right w:type="dxa" w:w="100"/>
            </w:tcMar>
          </w:tcPr>
          <w:p>
            <w:pPr>
              <w:jc w:val="center"/>
            </w:pPr>
            <w:r>
              <w:rPr>
                <w:b w:val="false"/>
                <w:bCs w:val="false"/>
                <w:sz w:val="20"/>
                <w:szCs w:val="20"/>
              </w:rPr>
              <w:t xml:space="preserve">0.756</w:t>
            </w:r>
          </w:p>
        </w:tc>
        <w:tc>
          <w:tcPr>
            <w:tcW w:type="dxa" w:w="1320"/>
            <w:tcMar>
              <w:top w:type="dxa" w:w="80"/>
              <w:left w:type="dxa" w:w="100"/>
              <w:bottom w:type="dxa" w:w="80"/>
              <w:right w:type="dxa" w:w="100"/>
            </w:tcMar>
          </w:tcPr>
          <w:p>
            <w:pPr>
              <w:jc w:val="center"/>
            </w:pPr>
            <w:r>
              <w:rPr>
                <w:b w:val="false"/>
                <w:bCs w:val="false"/>
                <w:sz w:val="20"/>
                <w:szCs w:val="20"/>
              </w:rPr>
              <w:t xml:space="preserve">0.830</w:t>
            </w:r>
          </w:p>
        </w:tc>
        <w:tc>
          <w:tcPr>
            <w:tcW w:type="dxa" w:w="1320"/>
            <w:tcMar>
              <w:top w:type="dxa" w:w="80"/>
              <w:left w:type="dxa" w:w="100"/>
              <w:bottom w:type="dxa" w:w="80"/>
              <w:right w:type="dxa" w:w="100"/>
            </w:tcMar>
          </w:tcPr>
          <w:p>
            <w:pPr>
              <w:jc w:val="center"/>
            </w:pPr>
            <w:r>
              <w:rPr>
                <w:b w:val="false"/>
                <w:bCs w:val="false"/>
                <w:sz w:val="20"/>
                <w:szCs w:val="20"/>
              </w:rPr>
              <w:t xml:space="preserve">0.923</w:t>
            </w:r>
          </w:p>
        </w:tc>
      </w:tr>
      <w:tr>
        <w:tc>
          <w:tcPr>
            <w:tcW w:type="dxa" w:w="2760"/>
            <w:tcMar>
              <w:top w:type="dxa" w:w="80"/>
              <w:left w:type="dxa" w:w="100"/>
              <w:bottom w:type="dxa" w:w="80"/>
              <w:right w:type="dxa" w:w="100"/>
            </w:tcMar>
          </w:tcPr>
          <w:p>
            <w:pPr>
              <w:jc w:val="left"/>
            </w:pPr>
            <w:r>
              <w:rPr>
                <w:b w:val="false"/>
                <w:bCs w:val="false"/>
                <w:sz w:val="20"/>
                <w:szCs w:val="20"/>
              </w:rPr>
              <w:t xml:space="preserve">Random Forest (Untuned)</w:t>
            </w:r>
          </w:p>
        </w:tc>
        <w:tc>
          <w:tcPr>
            <w:tcW w:type="dxa" w:w="1320"/>
            <w:tcMar>
              <w:top w:type="dxa" w:w="80"/>
              <w:left w:type="dxa" w:w="100"/>
              <w:bottom w:type="dxa" w:w="80"/>
              <w:right w:type="dxa" w:w="100"/>
            </w:tcMar>
          </w:tcPr>
          <w:p>
            <w:pPr>
              <w:jc w:val="center"/>
            </w:pPr>
            <w:r>
              <w:rPr>
                <w:b w:val="false"/>
                <w:bCs w:val="false"/>
                <w:sz w:val="20"/>
                <w:szCs w:val="20"/>
              </w:rPr>
              <w:t xml:space="preserve">0.926</w:t>
            </w:r>
          </w:p>
        </w:tc>
        <w:tc>
          <w:tcPr>
            <w:tcW w:type="dxa" w:w="1320"/>
            <w:tcMar>
              <w:top w:type="dxa" w:w="80"/>
              <w:left w:type="dxa" w:w="100"/>
              <w:bottom w:type="dxa" w:w="80"/>
              <w:right w:type="dxa" w:w="100"/>
            </w:tcMar>
          </w:tcPr>
          <w:p>
            <w:pPr>
              <w:jc w:val="center"/>
            </w:pPr>
            <w:r>
              <w:rPr>
                <w:b w:val="false"/>
                <w:bCs w:val="false"/>
                <w:sz w:val="20"/>
                <w:szCs w:val="20"/>
              </w:rPr>
              <w:t xml:space="preserve">0.935</w:t>
            </w:r>
          </w:p>
        </w:tc>
        <w:tc>
          <w:tcPr>
            <w:tcW w:type="dxa" w:w="1320"/>
            <w:tcMar>
              <w:top w:type="dxa" w:w="80"/>
              <w:left w:type="dxa" w:w="100"/>
              <w:bottom w:type="dxa" w:w="80"/>
              <w:right w:type="dxa" w:w="100"/>
            </w:tcMar>
          </w:tcPr>
          <w:p>
            <w:pPr>
              <w:jc w:val="center"/>
            </w:pPr>
            <w:r>
              <w:rPr>
                <w:b w:val="false"/>
                <w:bCs w:val="false"/>
                <w:sz w:val="20"/>
                <w:szCs w:val="20"/>
              </w:rPr>
              <w:t xml:space="preserve">0.873</w:t>
            </w:r>
          </w:p>
        </w:tc>
        <w:tc>
          <w:tcPr>
            <w:tcW w:type="dxa" w:w="1320"/>
            <w:tcMar>
              <w:top w:type="dxa" w:w="80"/>
              <w:left w:type="dxa" w:w="100"/>
              <w:bottom w:type="dxa" w:w="80"/>
              <w:right w:type="dxa" w:w="100"/>
            </w:tcMar>
          </w:tcPr>
          <w:p>
            <w:pPr>
              <w:jc w:val="center"/>
            </w:pPr>
            <w:r>
              <w:rPr>
                <w:b w:val="false"/>
                <w:bCs w:val="false"/>
                <w:sz w:val="20"/>
                <w:szCs w:val="20"/>
              </w:rPr>
              <w:t xml:space="preserve">0.903</w:t>
            </w:r>
          </w:p>
        </w:tc>
        <w:tc>
          <w:tcPr>
            <w:tcW w:type="dxa" w:w="1320"/>
            <w:tcMar>
              <w:top w:type="dxa" w:w="80"/>
              <w:left w:type="dxa" w:w="100"/>
              <w:bottom w:type="dxa" w:w="80"/>
              <w:right w:type="dxa" w:w="100"/>
            </w:tcMar>
          </w:tcPr>
          <w:p>
            <w:pPr>
              <w:jc w:val="center"/>
            </w:pPr>
            <w:r>
              <w:rPr>
                <w:b w:val="false"/>
                <w:bCs w:val="false"/>
                <w:sz w:val="20"/>
                <w:szCs w:val="20"/>
              </w:rPr>
              <w:t xml:space="preserve">0.963</w:t>
            </w:r>
          </w:p>
        </w:tc>
      </w:tr>
      <w:tr>
        <w:tc>
          <w:tcPr>
            <w:tcW w:type="dxa" w:w="2760"/>
            <w:tcMar>
              <w:top w:type="dxa" w:w="80"/>
              <w:left w:type="dxa" w:w="100"/>
              <w:bottom w:type="dxa" w:w="80"/>
              <w:right w:type="dxa" w:w="100"/>
            </w:tcMar>
          </w:tcPr>
          <w:p>
            <w:pPr>
              <w:jc w:val="left"/>
            </w:pPr>
            <w:r>
              <w:rPr>
                <w:b w:val="false"/>
                <w:bCs w:val="false"/>
                <w:sz w:val="20"/>
                <w:szCs w:val="20"/>
              </w:rPr>
              <w:t xml:space="preserve">Random Forest (Tuned)</w:t>
            </w:r>
          </w:p>
        </w:tc>
        <w:tc>
          <w:tcPr>
            <w:tcW w:type="dxa" w:w="1320"/>
            <w:tcMar>
              <w:top w:type="dxa" w:w="80"/>
              <w:left w:type="dxa" w:w="100"/>
              <w:bottom w:type="dxa" w:w="80"/>
              <w:right w:type="dxa" w:w="100"/>
            </w:tcMar>
          </w:tcPr>
          <w:p>
            <w:pPr>
              <w:jc w:val="center"/>
            </w:pPr>
            <w:r>
              <w:rPr>
                <w:b w:val="false"/>
                <w:bCs w:val="false"/>
                <w:sz w:val="20"/>
                <w:szCs w:val="20"/>
              </w:rPr>
              <w:t xml:space="preserve">0.928</w:t>
            </w:r>
          </w:p>
        </w:tc>
        <w:tc>
          <w:tcPr>
            <w:tcW w:type="dxa" w:w="1320"/>
            <w:tcMar>
              <w:top w:type="dxa" w:w="80"/>
              <w:left w:type="dxa" w:w="100"/>
              <w:bottom w:type="dxa" w:w="80"/>
              <w:right w:type="dxa" w:w="100"/>
            </w:tcMar>
          </w:tcPr>
          <w:p>
            <w:pPr>
              <w:jc w:val="center"/>
            </w:pPr>
            <w:r>
              <w:rPr>
                <w:b w:val="false"/>
                <w:bCs w:val="false"/>
                <w:sz w:val="20"/>
                <w:szCs w:val="20"/>
              </w:rPr>
              <w:t xml:space="preserve">0.944</w:t>
            </w:r>
          </w:p>
        </w:tc>
        <w:tc>
          <w:tcPr>
            <w:tcW w:type="dxa" w:w="1320"/>
            <w:tcMar>
              <w:top w:type="dxa" w:w="80"/>
              <w:left w:type="dxa" w:w="100"/>
              <w:bottom w:type="dxa" w:w="80"/>
              <w:right w:type="dxa" w:w="100"/>
            </w:tcMar>
          </w:tcPr>
          <w:p>
            <w:pPr>
              <w:jc w:val="center"/>
            </w:pPr>
            <w:r>
              <w:rPr>
                <w:b w:val="false"/>
                <w:bCs w:val="false"/>
                <w:sz w:val="20"/>
                <w:szCs w:val="20"/>
              </w:rPr>
              <w:t xml:space="preserve">0.869</w:t>
            </w:r>
          </w:p>
        </w:tc>
        <w:tc>
          <w:tcPr>
            <w:tcW w:type="dxa" w:w="1320"/>
            <w:tcMar>
              <w:top w:type="dxa" w:w="80"/>
              <w:left w:type="dxa" w:w="100"/>
              <w:bottom w:type="dxa" w:w="80"/>
              <w:right w:type="dxa" w:w="100"/>
            </w:tcMar>
          </w:tcPr>
          <w:p>
            <w:pPr>
              <w:jc w:val="center"/>
            </w:pPr>
            <w:r>
              <w:rPr>
                <w:b w:val="false"/>
                <w:bCs w:val="false"/>
                <w:sz w:val="20"/>
                <w:szCs w:val="20"/>
              </w:rPr>
              <w:t xml:space="preserve">0.905</w:t>
            </w:r>
          </w:p>
        </w:tc>
        <w:tc>
          <w:tcPr>
            <w:tcW w:type="dxa" w:w="1320"/>
            <w:tcMar>
              <w:top w:type="dxa" w:w="80"/>
              <w:left w:type="dxa" w:w="100"/>
              <w:bottom w:type="dxa" w:w="80"/>
              <w:right w:type="dxa" w:w="100"/>
            </w:tcMar>
          </w:tcPr>
          <w:p>
            <w:pPr>
              <w:jc w:val="center"/>
            </w:pPr>
            <w:r>
              <w:rPr>
                <w:b w:val="false"/>
                <w:bCs w:val="false"/>
                <w:sz w:val="20"/>
                <w:szCs w:val="20"/>
              </w:rPr>
              <w:t xml:space="preserve">0.965</w:t>
            </w:r>
          </w:p>
        </w:tc>
      </w:tr>
      <w:tr>
        <w:tc>
          <w:tcPr>
            <w:tcW w:type="dxa" w:w="2760"/>
            <w:tcMar>
              <w:top w:type="dxa" w:w="80"/>
              <w:left w:type="dxa" w:w="100"/>
              <w:bottom w:type="dxa" w:w="80"/>
              <w:right w:type="dxa" w:w="100"/>
            </w:tcMar>
          </w:tcPr>
          <w:p>
            <w:pPr>
              <w:jc w:val="left"/>
            </w:pPr>
            <w:r>
              <w:rPr>
                <w:b w:val="false"/>
                <w:bCs w:val="false"/>
                <w:sz w:val="20"/>
                <w:szCs w:val="20"/>
              </w:rPr>
              <w:t xml:space="preserve">Gradient Boosting (Untuned)</w:t>
            </w:r>
          </w:p>
        </w:tc>
        <w:tc>
          <w:tcPr>
            <w:tcW w:type="dxa" w:w="1320"/>
            <w:tcMar>
              <w:top w:type="dxa" w:w="80"/>
              <w:left w:type="dxa" w:w="100"/>
              <w:bottom w:type="dxa" w:w="80"/>
              <w:right w:type="dxa" w:w="100"/>
            </w:tcMar>
          </w:tcPr>
          <w:p>
            <w:pPr>
              <w:jc w:val="center"/>
            </w:pPr>
            <w:r>
              <w:rPr>
                <w:b w:val="false"/>
                <w:bCs w:val="false"/>
                <w:sz w:val="20"/>
                <w:szCs w:val="20"/>
              </w:rPr>
              <w:t xml:space="preserve">0.923</w:t>
            </w:r>
          </w:p>
        </w:tc>
        <w:tc>
          <w:tcPr>
            <w:tcW w:type="dxa" w:w="1320"/>
            <w:tcMar>
              <w:top w:type="dxa" w:w="80"/>
              <w:left w:type="dxa" w:w="100"/>
              <w:bottom w:type="dxa" w:w="80"/>
              <w:right w:type="dxa" w:w="100"/>
            </w:tcMar>
          </w:tcPr>
          <w:p>
            <w:pPr>
              <w:jc w:val="center"/>
            </w:pPr>
            <w:r>
              <w:rPr>
                <w:b w:val="false"/>
                <w:bCs w:val="false"/>
                <w:sz w:val="20"/>
                <w:szCs w:val="20"/>
              </w:rPr>
              <w:t xml:space="preserve">0.921</w:t>
            </w:r>
          </w:p>
        </w:tc>
        <w:tc>
          <w:tcPr>
            <w:tcW w:type="dxa" w:w="1320"/>
            <w:tcMar>
              <w:top w:type="dxa" w:w="80"/>
              <w:left w:type="dxa" w:w="100"/>
              <w:bottom w:type="dxa" w:w="80"/>
              <w:right w:type="dxa" w:w="100"/>
            </w:tcMar>
          </w:tcPr>
          <w:p>
            <w:pPr>
              <w:jc w:val="center"/>
            </w:pPr>
            <w:r>
              <w:rPr>
                <w:b w:val="false"/>
                <w:bCs w:val="false"/>
                <w:sz w:val="20"/>
                <w:szCs w:val="20"/>
              </w:rPr>
              <w:t xml:space="preserve">0.878</w:t>
            </w:r>
          </w:p>
        </w:tc>
        <w:tc>
          <w:tcPr>
            <w:tcW w:type="dxa" w:w="1320"/>
            <w:tcMar>
              <w:top w:type="dxa" w:w="80"/>
              <w:left w:type="dxa" w:w="100"/>
              <w:bottom w:type="dxa" w:w="80"/>
              <w:right w:type="dxa" w:w="100"/>
            </w:tcMar>
          </w:tcPr>
          <w:p>
            <w:pPr>
              <w:jc w:val="center"/>
            </w:pPr>
            <w:r>
              <w:rPr>
                <w:b w:val="false"/>
                <w:bCs w:val="false"/>
                <w:sz w:val="20"/>
                <w:szCs w:val="20"/>
              </w:rPr>
              <w:t xml:space="preserve">0.899</w:t>
            </w:r>
          </w:p>
        </w:tc>
        <w:tc>
          <w:tcPr>
            <w:tcW w:type="dxa" w:w="1320"/>
            <w:tcMar>
              <w:top w:type="dxa" w:w="80"/>
              <w:left w:type="dxa" w:w="100"/>
              <w:bottom w:type="dxa" w:w="80"/>
              <w:right w:type="dxa" w:w="100"/>
            </w:tcMar>
          </w:tcPr>
          <w:p>
            <w:pPr>
              <w:jc w:val="center"/>
            </w:pPr>
            <w:r>
              <w:rPr>
                <w:b w:val="false"/>
                <w:bCs w:val="false"/>
                <w:sz w:val="20"/>
                <w:szCs w:val="20"/>
              </w:rPr>
              <w:t xml:space="preserve">0.966</w:t>
            </w:r>
          </w:p>
        </w:tc>
      </w:tr>
      <w:tr>
        <w:tc>
          <w:tcPr>
            <w:tcW w:type="dxa" w:w="2760"/>
            <w:tcMar>
              <w:top w:type="dxa" w:w="80"/>
              <w:left w:type="dxa" w:w="100"/>
              <w:bottom w:type="dxa" w:w="80"/>
              <w:right w:type="dxa" w:w="100"/>
            </w:tcMar>
          </w:tcPr>
          <w:p>
            <w:pPr>
              <w:jc w:val="left"/>
            </w:pPr>
            <w:r>
              <w:rPr>
                <w:b w:val="false"/>
                <w:bCs w:val="false"/>
                <w:sz w:val="20"/>
                <w:szCs w:val="20"/>
              </w:rPr>
              <w:t xml:space="preserve">Gradient Boosting (Tuned)</w:t>
            </w:r>
          </w:p>
        </w:tc>
        <w:tc>
          <w:tcPr>
            <w:tcW w:type="dxa" w:w="1320"/>
            <w:tcMar>
              <w:top w:type="dxa" w:w="80"/>
              <w:left w:type="dxa" w:w="100"/>
              <w:bottom w:type="dxa" w:w="80"/>
              <w:right w:type="dxa" w:w="100"/>
            </w:tcMar>
          </w:tcPr>
          <w:p>
            <w:pPr>
              <w:jc w:val="center"/>
            </w:pPr>
            <w:r>
              <w:rPr>
                <w:b w:val="false"/>
                <w:bCs w:val="false"/>
                <w:sz w:val="20"/>
                <w:szCs w:val="20"/>
              </w:rPr>
              <w:t xml:space="preserve">0.925</w:t>
            </w:r>
          </w:p>
        </w:tc>
        <w:tc>
          <w:tcPr>
            <w:tcW w:type="dxa" w:w="1320"/>
            <w:tcMar>
              <w:top w:type="dxa" w:w="80"/>
              <w:left w:type="dxa" w:w="100"/>
              <w:bottom w:type="dxa" w:w="80"/>
              <w:right w:type="dxa" w:w="100"/>
            </w:tcMar>
          </w:tcPr>
          <w:p>
            <w:pPr>
              <w:jc w:val="center"/>
            </w:pPr>
            <w:r>
              <w:rPr>
                <w:b w:val="false"/>
                <w:bCs w:val="false"/>
                <w:sz w:val="20"/>
                <w:szCs w:val="20"/>
              </w:rPr>
              <w:t xml:space="preserve">0.922</w:t>
            </w:r>
          </w:p>
        </w:tc>
        <w:tc>
          <w:tcPr>
            <w:tcW w:type="dxa" w:w="1320"/>
            <w:tcMar>
              <w:top w:type="dxa" w:w="80"/>
              <w:left w:type="dxa" w:w="100"/>
              <w:bottom w:type="dxa" w:w="80"/>
              <w:right w:type="dxa" w:w="100"/>
            </w:tcMar>
          </w:tcPr>
          <w:p>
            <w:pPr>
              <w:jc w:val="center"/>
            </w:pPr>
            <w:r>
              <w:rPr>
                <w:b w:val="false"/>
                <w:bCs w:val="false"/>
                <w:sz w:val="20"/>
                <w:szCs w:val="20"/>
              </w:rPr>
              <w:t xml:space="preserve">0.883</w:t>
            </w:r>
          </w:p>
        </w:tc>
        <w:tc>
          <w:tcPr>
            <w:tcW w:type="dxa" w:w="1320"/>
            <w:tcMar>
              <w:top w:type="dxa" w:w="80"/>
              <w:left w:type="dxa" w:w="100"/>
              <w:bottom w:type="dxa" w:w="80"/>
              <w:right w:type="dxa" w:w="100"/>
            </w:tcMar>
          </w:tcPr>
          <w:p>
            <w:pPr>
              <w:jc w:val="center"/>
            </w:pPr>
            <w:r>
              <w:rPr>
                <w:b w:val="false"/>
                <w:bCs w:val="false"/>
                <w:sz w:val="20"/>
                <w:szCs w:val="20"/>
              </w:rPr>
              <w:t xml:space="preserve">0.902</w:t>
            </w:r>
          </w:p>
        </w:tc>
        <w:tc>
          <w:tcPr>
            <w:tcW w:type="dxa" w:w="1320"/>
            <w:tcMar>
              <w:top w:type="dxa" w:w="80"/>
              <w:left w:type="dxa" w:w="100"/>
              <w:bottom w:type="dxa" w:w="80"/>
              <w:right w:type="dxa" w:w="100"/>
            </w:tcMar>
          </w:tcPr>
          <w:p>
            <w:pPr>
              <w:jc w:val="center"/>
            </w:pPr>
            <w:r>
              <w:rPr>
                <w:b w:val="false"/>
                <w:bCs w:val="false"/>
                <w:sz w:val="20"/>
                <w:szCs w:val="20"/>
              </w:rPr>
              <w:t xml:space="preserve">0.968</w:t>
            </w:r>
          </w:p>
        </w:tc>
      </w:tr>
    </w:tbl>
    <w:p>
      <w:pPr>
        <w:spacing w:after="120"/>
      </w:pPr>
      <w:r>
        <w:t xml:space="preserve">Tuned Logistic Regression achieved the highest validation F1-score (0.926) and was therefore selected as the final model — the decision was made entirely on validation data.</w:t>
      </w:r>
    </w:p>
    <w:p>
      <w:pPr>
        <w:pStyle w:val="Heading2"/>
        <w:spacing w:after="120" w:before="220"/>
      </w:pPr>
      <w:r>
        <w:t xml:space="preserve">8.2 Final Test Evaluation (Selected Model: Tuned Logistic Regression)</w:t>
      </w:r>
    </w:p>
    <w:p>
      <w:pPr>
        <w:spacing w:after="120"/>
      </w:pPr>
      <w:r>
        <w:t xml:space="preserve">The frozen model was evaluated exactly once on the untouched 545-student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9" w:val="clear"/>
            <w:tcMar>
              <w:top w:type="dxa" w:w="80"/>
              <w:left w:type="dxa" w:w="100"/>
              <w:bottom w:type="dxa" w:w="80"/>
              <w:right w:type="dxa" w:w="100"/>
            </w:tcMar>
          </w:tcPr>
          <w:p>
            <w:pPr>
              <w:jc w:val="center"/>
            </w:pPr>
            <w:r>
              <w:rPr>
                <w:b/>
                <w:bCs/>
                <w:color w:val="FFFFFF"/>
                <w:sz w:val="20"/>
                <w:szCs w:val="20"/>
              </w:rPr>
              <w:t xml:space="preserve">Metric</w:t>
            </w:r>
          </w:p>
        </w:tc>
        <w:tc>
          <w:tcPr>
            <w:tcW w:type="dxa" w:w="4680"/>
            <w:shd w:fill="1F4E79" w:val="clear"/>
            <w:tcMar>
              <w:top w:type="dxa" w:w="80"/>
              <w:left w:type="dxa" w:w="100"/>
              <w:bottom w:type="dxa" w:w="80"/>
              <w:right w:type="dxa" w:w="100"/>
            </w:tcMar>
          </w:tcPr>
          <w:p>
            <w:pPr>
              <w:jc w:val="center"/>
            </w:pPr>
            <w:r>
              <w:rPr>
                <w:b/>
                <w:bCs/>
                <w:color w:val="FFFFFF"/>
                <w:sz w:val="20"/>
                <w:szCs w:val="20"/>
              </w:rPr>
              <w:t xml:space="preserve">Final Test Score</w:t>
            </w:r>
          </w:p>
        </w:tc>
      </w:tr>
      <w:tr>
        <w:tc>
          <w:tcPr>
            <w:tcW w:type="dxa" w:w="4680"/>
            <w:tcMar>
              <w:top w:type="dxa" w:w="80"/>
              <w:left w:type="dxa" w:w="100"/>
              <w:bottom w:type="dxa" w:w="80"/>
              <w:right w:type="dxa" w:w="100"/>
            </w:tcMar>
          </w:tcPr>
          <w:p>
            <w:pPr>
              <w:jc w:val="left"/>
            </w:pPr>
            <w:r>
              <w:rPr>
                <w:b w:val="false"/>
                <w:bCs w:val="false"/>
                <w:sz w:val="20"/>
                <w:szCs w:val="20"/>
              </w:rPr>
              <w:t xml:space="preserve">Accuracy</w:t>
            </w:r>
          </w:p>
        </w:tc>
        <w:tc>
          <w:tcPr>
            <w:tcW w:type="dxa" w:w="4680"/>
            <w:tcMar>
              <w:top w:type="dxa" w:w="80"/>
              <w:left w:type="dxa" w:w="100"/>
              <w:bottom w:type="dxa" w:w="80"/>
              <w:right w:type="dxa" w:w="100"/>
            </w:tcMar>
          </w:tcPr>
          <w:p>
            <w:pPr>
              <w:jc w:val="center"/>
            </w:pPr>
            <w:r>
              <w:rPr>
                <w:b w:val="false"/>
                <w:bCs w:val="false"/>
                <w:sz w:val="20"/>
                <w:szCs w:val="20"/>
              </w:rPr>
              <w:t xml:space="preserve">91.2%</w:t>
            </w:r>
          </w:p>
        </w:tc>
      </w:tr>
      <w:tr>
        <w:tc>
          <w:tcPr>
            <w:tcW w:type="dxa" w:w="4680"/>
            <w:tcMar>
              <w:top w:type="dxa" w:w="80"/>
              <w:left w:type="dxa" w:w="100"/>
              <w:bottom w:type="dxa" w:w="80"/>
              <w:right w:type="dxa" w:w="100"/>
            </w:tcMar>
          </w:tcPr>
          <w:p>
            <w:pPr>
              <w:jc w:val="left"/>
            </w:pPr>
            <w:r>
              <w:rPr>
                <w:b w:val="false"/>
                <w:bCs w:val="false"/>
                <w:sz w:val="20"/>
                <w:szCs w:val="20"/>
              </w:rPr>
              <w:t xml:space="preserve">Precision</w:t>
            </w:r>
          </w:p>
        </w:tc>
        <w:tc>
          <w:tcPr>
            <w:tcW w:type="dxa" w:w="4680"/>
            <w:tcMar>
              <w:top w:type="dxa" w:w="80"/>
              <w:left w:type="dxa" w:w="100"/>
              <w:bottom w:type="dxa" w:w="80"/>
              <w:right w:type="dxa" w:w="100"/>
            </w:tcMar>
          </w:tcPr>
          <w:p>
            <w:pPr>
              <w:jc w:val="center"/>
            </w:pPr>
            <w:r>
              <w:rPr>
                <w:b w:val="false"/>
                <w:bCs w:val="false"/>
                <w:sz w:val="20"/>
                <w:szCs w:val="20"/>
              </w:rPr>
              <w:t xml:space="preserve">91.9%</w:t>
            </w:r>
          </w:p>
        </w:tc>
      </w:tr>
      <w:tr>
        <w:tc>
          <w:tcPr>
            <w:tcW w:type="dxa" w:w="4680"/>
            <w:tcMar>
              <w:top w:type="dxa" w:w="80"/>
              <w:left w:type="dxa" w:w="100"/>
              <w:bottom w:type="dxa" w:w="80"/>
              <w:right w:type="dxa" w:w="100"/>
            </w:tcMar>
          </w:tcPr>
          <w:p>
            <w:pPr>
              <w:jc w:val="left"/>
            </w:pPr>
            <w:r>
              <w:rPr>
                <w:b w:val="false"/>
                <w:bCs w:val="false"/>
                <w:sz w:val="20"/>
                <w:szCs w:val="20"/>
              </w:rPr>
              <w:t xml:space="preserve">Recall</w:t>
            </w:r>
          </w:p>
        </w:tc>
        <w:tc>
          <w:tcPr>
            <w:tcW w:type="dxa" w:w="4680"/>
            <w:tcMar>
              <w:top w:type="dxa" w:w="80"/>
              <w:left w:type="dxa" w:w="100"/>
              <w:bottom w:type="dxa" w:w="80"/>
              <w:right w:type="dxa" w:w="100"/>
            </w:tcMar>
          </w:tcPr>
          <w:p>
            <w:pPr>
              <w:jc w:val="center"/>
            </w:pPr>
            <w:r>
              <w:rPr>
                <w:b w:val="false"/>
                <w:bCs w:val="false"/>
                <w:sz w:val="20"/>
                <w:szCs w:val="20"/>
              </w:rPr>
              <w:t xml:space="preserve">85.0%</w:t>
            </w:r>
          </w:p>
        </w:tc>
      </w:tr>
      <w:tr>
        <w:tc>
          <w:tcPr>
            <w:tcW w:type="dxa" w:w="4680"/>
            <w:tcMar>
              <w:top w:type="dxa" w:w="80"/>
              <w:left w:type="dxa" w:w="100"/>
              <w:bottom w:type="dxa" w:w="80"/>
              <w:right w:type="dxa" w:w="100"/>
            </w:tcMar>
          </w:tcPr>
          <w:p>
            <w:pPr>
              <w:jc w:val="left"/>
            </w:pPr>
            <w:r>
              <w:rPr>
                <w:b w:val="false"/>
                <w:bCs w:val="false"/>
                <w:sz w:val="20"/>
                <w:szCs w:val="20"/>
              </w:rPr>
              <w:t xml:space="preserve">F1-score</w:t>
            </w:r>
          </w:p>
        </w:tc>
        <w:tc>
          <w:tcPr>
            <w:tcW w:type="dxa" w:w="4680"/>
            <w:tcMar>
              <w:top w:type="dxa" w:w="80"/>
              <w:left w:type="dxa" w:w="100"/>
              <w:bottom w:type="dxa" w:w="80"/>
              <w:right w:type="dxa" w:w="100"/>
            </w:tcMar>
          </w:tcPr>
          <w:p>
            <w:pPr>
              <w:jc w:val="center"/>
            </w:pPr>
            <w:r>
              <w:rPr>
                <w:b w:val="false"/>
                <w:bCs w:val="false"/>
                <w:sz w:val="20"/>
                <w:szCs w:val="20"/>
              </w:rPr>
              <w:t xml:space="preserve">88.3%</w:t>
            </w:r>
          </w:p>
        </w:tc>
      </w:tr>
      <w:tr>
        <w:tc>
          <w:tcPr>
            <w:tcW w:type="dxa" w:w="4680"/>
            <w:tcMar>
              <w:top w:type="dxa" w:w="80"/>
              <w:left w:type="dxa" w:w="100"/>
              <w:bottom w:type="dxa" w:w="80"/>
              <w:right w:type="dxa" w:w="100"/>
            </w:tcMar>
          </w:tcPr>
          <w:p>
            <w:pPr>
              <w:jc w:val="left"/>
            </w:pPr>
            <w:r>
              <w:rPr>
                <w:b w:val="false"/>
                <w:bCs w:val="false"/>
                <w:sz w:val="20"/>
                <w:szCs w:val="20"/>
              </w:rPr>
              <w:t xml:space="preserve">ROC-AUC</w:t>
            </w:r>
          </w:p>
        </w:tc>
        <w:tc>
          <w:tcPr>
            <w:tcW w:type="dxa" w:w="4680"/>
            <w:tcMar>
              <w:top w:type="dxa" w:w="80"/>
              <w:left w:type="dxa" w:w="100"/>
              <w:bottom w:type="dxa" w:w="80"/>
              <w:right w:type="dxa" w:w="100"/>
            </w:tcMar>
          </w:tcPr>
          <w:p>
            <w:pPr>
              <w:jc w:val="center"/>
            </w:pPr>
            <w:r>
              <w:rPr>
                <w:b w:val="false"/>
                <w:bCs w:val="false"/>
                <w:sz w:val="20"/>
                <w:szCs w:val="20"/>
              </w:rPr>
              <w:t xml:space="preserve">95.7%</w:t>
            </w:r>
          </w:p>
        </w:tc>
      </w:tr>
    </w:tbl>
    <w:p>
      <w:pPr>
        <w:pStyle w:val="Heading2"/>
        <w:spacing w:after="120" w:before="220"/>
      </w:pPr>
      <w:r>
        <w:t xml:space="preserve">8.3 Final Test Confusion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79" w:val="clear"/>
            <w:tcMar>
              <w:top w:type="dxa" w:w="80"/>
              <w:left w:type="dxa" w:w="100"/>
              <w:bottom w:type="dxa" w:w="80"/>
              <w:right w:type="dxa" w:w="100"/>
            </w:tcMar>
          </w:tcPr>
          <w:p>
            <w:pPr>
              <w:jc w:val="center"/>
            </w:pPr>
            <w:r>
              <w:rPr>
                <w:b/>
                <w:bCs/>
                <w:color w:val="FFFFFF"/>
                <w:sz w:val="20"/>
                <w:szCs w:val="20"/>
              </w:rPr>
              <w:t xml:space="preserve">Actual \ Predicted</w:t>
            </w:r>
          </w:p>
        </w:tc>
        <w:tc>
          <w:tcPr>
            <w:tcW w:type="dxa" w:w="3120"/>
            <w:shd w:fill="1F4E79" w:val="clear"/>
            <w:tcMar>
              <w:top w:type="dxa" w:w="80"/>
              <w:left w:type="dxa" w:w="100"/>
              <w:bottom w:type="dxa" w:w="80"/>
              <w:right w:type="dxa" w:w="100"/>
            </w:tcMar>
          </w:tcPr>
          <w:p>
            <w:pPr>
              <w:jc w:val="center"/>
            </w:pPr>
            <w:r>
              <w:rPr>
                <w:b/>
                <w:bCs/>
                <w:color w:val="FFFFFF"/>
                <w:sz w:val="20"/>
                <w:szCs w:val="20"/>
              </w:rPr>
              <w:t xml:space="preserve">Predicted Graduate</w:t>
            </w:r>
          </w:p>
        </w:tc>
        <w:tc>
          <w:tcPr>
            <w:tcW w:type="dxa" w:w="3120"/>
            <w:shd w:fill="1F4E79" w:val="clear"/>
            <w:tcMar>
              <w:top w:type="dxa" w:w="80"/>
              <w:left w:type="dxa" w:w="100"/>
              <w:bottom w:type="dxa" w:w="80"/>
              <w:right w:type="dxa" w:w="100"/>
            </w:tcMar>
          </w:tcPr>
          <w:p>
            <w:pPr>
              <w:jc w:val="center"/>
            </w:pPr>
            <w:r>
              <w:rPr>
                <w:b/>
                <w:bCs/>
                <w:color w:val="FFFFFF"/>
                <w:sz w:val="20"/>
                <w:szCs w:val="20"/>
              </w:rPr>
              <w:t xml:space="preserve">Predicted Dropout</w:t>
            </w:r>
          </w:p>
        </w:tc>
      </w:tr>
      <w:tr>
        <w:tc>
          <w:tcPr>
            <w:tcW w:type="dxa" w:w="3120"/>
            <w:tcMar>
              <w:top w:type="dxa" w:w="80"/>
              <w:left w:type="dxa" w:w="100"/>
              <w:bottom w:type="dxa" w:w="80"/>
              <w:right w:type="dxa" w:w="100"/>
            </w:tcMar>
          </w:tcPr>
          <w:p>
            <w:pPr>
              <w:jc w:val="left"/>
            </w:pPr>
            <w:r>
              <w:rPr>
                <w:b w:val="false"/>
                <w:bCs w:val="false"/>
                <w:sz w:val="20"/>
                <w:szCs w:val="20"/>
              </w:rPr>
              <w:t xml:space="preserve">Actual Graduate</w:t>
            </w:r>
          </w:p>
        </w:tc>
        <w:tc>
          <w:tcPr>
            <w:tcW w:type="dxa" w:w="3120"/>
            <w:tcMar>
              <w:top w:type="dxa" w:w="80"/>
              <w:left w:type="dxa" w:w="100"/>
              <w:bottom w:type="dxa" w:w="80"/>
              <w:right w:type="dxa" w:w="100"/>
            </w:tcMar>
          </w:tcPr>
          <w:p>
            <w:pPr>
              <w:jc w:val="center"/>
            </w:pPr>
            <w:r>
              <w:rPr>
                <w:b w:val="false"/>
                <w:bCs w:val="false"/>
                <w:sz w:val="20"/>
                <w:szCs w:val="20"/>
              </w:rPr>
              <w:t xml:space="preserve">316 (TN)</w:t>
            </w:r>
          </w:p>
        </w:tc>
        <w:tc>
          <w:tcPr>
            <w:tcW w:type="dxa" w:w="3120"/>
            <w:tcMar>
              <w:top w:type="dxa" w:w="80"/>
              <w:left w:type="dxa" w:w="100"/>
              <w:bottom w:type="dxa" w:w="80"/>
              <w:right w:type="dxa" w:w="100"/>
            </w:tcMar>
          </w:tcPr>
          <w:p>
            <w:pPr>
              <w:jc w:val="center"/>
            </w:pPr>
            <w:r>
              <w:rPr>
                <w:b w:val="false"/>
                <w:bCs w:val="false"/>
                <w:sz w:val="20"/>
                <w:szCs w:val="20"/>
              </w:rPr>
              <w:t xml:space="preserve">16 (FP)</w:t>
            </w:r>
          </w:p>
        </w:tc>
      </w:tr>
      <w:tr>
        <w:tc>
          <w:tcPr>
            <w:tcW w:type="dxa" w:w="3120"/>
            <w:tcMar>
              <w:top w:type="dxa" w:w="80"/>
              <w:left w:type="dxa" w:w="100"/>
              <w:bottom w:type="dxa" w:w="80"/>
              <w:right w:type="dxa" w:w="100"/>
            </w:tcMar>
          </w:tcPr>
          <w:p>
            <w:pPr>
              <w:jc w:val="left"/>
            </w:pPr>
            <w:r>
              <w:rPr>
                <w:b w:val="false"/>
                <w:bCs w:val="false"/>
                <w:sz w:val="20"/>
                <w:szCs w:val="20"/>
              </w:rPr>
              <w:t xml:space="preserve">Actual Dropout</w:t>
            </w:r>
          </w:p>
        </w:tc>
        <w:tc>
          <w:tcPr>
            <w:tcW w:type="dxa" w:w="3120"/>
            <w:tcMar>
              <w:top w:type="dxa" w:w="80"/>
              <w:left w:type="dxa" w:w="100"/>
              <w:bottom w:type="dxa" w:w="80"/>
              <w:right w:type="dxa" w:w="100"/>
            </w:tcMar>
          </w:tcPr>
          <w:p>
            <w:pPr>
              <w:jc w:val="center"/>
            </w:pPr>
            <w:r>
              <w:rPr>
                <w:b w:val="false"/>
                <w:bCs w:val="false"/>
                <w:sz w:val="20"/>
                <w:szCs w:val="20"/>
              </w:rPr>
              <w:t xml:space="preserve">32 (FN)</w:t>
            </w:r>
          </w:p>
        </w:tc>
        <w:tc>
          <w:tcPr>
            <w:tcW w:type="dxa" w:w="3120"/>
            <w:tcMar>
              <w:top w:type="dxa" w:w="80"/>
              <w:left w:type="dxa" w:w="100"/>
              <w:bottom w:type="dxa" w:w="80"/>
              <w:right w:type="dxa" w:w="100"/>
            </w:tcMar>
          </w:tcPr>
          <w:p>
            <w:pPr>
              <w:jc w:val="center"/>
            </w:pPr>
            <w:r>
              <w:rPr>
                <w:b w:val="false"/>
                <w:bCs w:val="false"/>
                <w:sz w:val="20"/>
                <w:szCs w:val="20"/>
              </w:rPr>
              <w:t xml:space="preserve">181 (TP)</w:t>
            </w:r>
          </w:p>
        </w:tc>
      </w:tr>
    </w:tbl>
    <w:p>
      <w:pPr>
        <w:pStyle w:val="Heading2"/>
        <w:spacing w:after="120" w:before="220"/>
      </w:pPr>
      <w:r>
        <w:t xml:space="preserve">8.4 Diagnostic Plots Produced</w:t>
      </w:r>
    </w:p>
    <w:p>
      <w:pPr>
        <w:pStyle w:val="ListParagraph"/>
        <w:numPr>
          <w:ilvl w:val="0"/>
          <w:numId w:val="1"/>
        </w:numPr>
        <w:spacing w:after="60"/>
      </w:pPr>
      <w:r>
        <w:t xml:space="preserve">Target/outcome class distribution bar chart.</w:t>
      </w:r>
    </w:p>
    <w:p>
      <w:pPr>
        <w:pStyle w:val="ListParagraph"/>
        <w:numPr>
          <w:ilvl w:val="0"/>
          <w:numId w:val="1"/>
        </w:numPr>
        <w:spacing w:after="60"/>
      </w:pPr>
      <w:r>
        <w:t xml:space="preserve">Dropout rate by tuition-fee, debtor, scholarship, and displacement status.</w:t>
      </w:r>
    </w:p>
    <w:p>
      <w:pPr>
        <w:pStyle w:val="ListParagraph"/>
        <w:numPr>
          <w:ilvl w:val="0"/>
          <w:numId w:val="1"/>
        </w:numPr>
        <w:spacing w:after="60"/>
      </w:pPr>
      <w:r>
        <w:t xml:space="preserve">Second-semester approved-units boxplot (Dropout vs. Graduate).</w:t>
      </w:r>
    </w:p>
    <w:p>
      <w:pPr>
        <w:pStyle w:val="ListParagraph"/>
        <w:numPr>
          <w:ilvl w:val="0"/>
          <w:numId w:val="1"/>
        </w:numPr>
        <w:spacing w:after="60"/>
      </w:pPr>
      <w:r>
        <w:t xml:space="preserve">Correlation heatmap of numerical variables.</w:t>
      </w:r>
    </w:p>
    <w:p>
      <w:pPr>
        <w:pStyle w:val="ListParagraph"/>
        <w:numPr>
          <w:ilvl w:val="0"/>
          <w:numId w:val="1"/>
        </w:numPr>
        <w:spacing w:after="60"/>
      </w:pPr>
      <w:r>
        <w:t xml:space="preserve">Age and Admission-grade outlier plots.</w:t>
      </w:r>
    </w:p>
    <w:p>
      <w:pPr>
        <w:pStyle w:val="ListParagraph"/>
        <w:numPr>
          <w:ilvl w:val="0"/>
          <w:numId w:val="1"/>
        </w:numPr>
        <w:spacing w:after="60"/>
      </w:pPr>
      <w:r>
        <w:t xml:space="preserve">Confusion matrices for all four tuned models and all four untuned models on the test set.</w:t>
      </w:r>
    </w:p>
    <w:p>
      <w:pPr>
        <w:pStyle w:val="ListParagraph"/>
        <w:numPr>
          <w:ilvl w:val="0"/>
          <w:numId w:val="1"/>
        </w:numPr>
        <w:spacing w:after="60"/>
      </w:pPr>
      <w:r>
        <w:t xml:space="preserve">ROC curves for all tuned and untuned models on the validation set.</w:t>
      </w:r>
    </w:p>
    <w:p>
      <w:pPr>
        <w:pStyle w:val="ListParagraph"/>
        <w:numPr>
          <w:ilvl w:val="0"/>
          <w:numId w:val="1"/>
        </w:numPr>
        <w:spacing w:after="60"/>
      </w:pPr>
      <w:r>
        <w:t xml:space="preserve">F1 and ROC-AUC grouped bar-chart comparison across all candidates.</w:t>
      </w:r>
    </w:p>
    <w:p>
      <w:pPr>
        <w:pStyle w:val="ListParagraph"/>
        <w:numPr>
          <w:ilvl w:val="0"/>
          <w:numId w:val="1"/>
        </w:numPr>
        <w:spacing w:after="60"/>
      </w:pPr>
      <w:r>
        <w:t xml:space="preserve">Top-15 Logistic Regression coefficients (signed).</w:t>
      </w:r>
    </w:p>
    <w:p>
      <w:pPr>
        <w:pStyle w:val="ListParagraph"/>
        <w:numPr>
          <w:ilvl w:val="0"/>
          <w:numId w:val="1"/>
        </w:numPr>
        <w:spacing w:after="60"/>
      </w:pPr>
      <w:r>
        <w:t xml:space="preserve">Top-15 Random Forest feature importances.</w:t>
      </w:r>
    </w:p>
    <w:p>
      <w:pPr>
        <w:pStyle w:val="ListParagraph"/>
        <w:numPr>
          <w:ilvl w:val="0"/>
          <w:numId w:val="1"/>
        </w:numPr>
        <w:spacing w:after="60"/>
      </w:pPr>
      <w:r>
        <w:t xml:space="preserve">Top-15 Gradient Boosting feature importances.</w:t>
      </w:r>
    </w:p>
    <w:p>
      <w:pPr>
        <w:pStyle w:val="ListParagraph"/>
        <w:numPr>
          <w:ilvl w:val="0"/>
          <w:numId w:val="1"/>
        </w:numPr>
        <w:spacing w:after="60"/>
      </w:pPr>
      <w:r>
        <w:t xml:space="preserve">Precision/Recall vs. decision-threshold curve for the final selected model.</w:t>
      </w:r>
    </w:p>
    <w:p>
      <w:pPr>
        <w:pStyle w:val="Heading2"/>
        <w:spacing w:after="120" w:before="220"/>
      </w:pPr>
      <w:r>
        <w:t xml:space="preserve">8.5 Computational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79" w:val="clear"/>
            <w:tcMar>
              <w:top w:type="dxa" w:w="80"/>
              <w:left w:type="dxa" w:w="100"/>
              <w:bottom w:type="dxa" w:w="80"/>
              <w:right w:type="dxa" w:w="100"/>
            </w:tcMar>
          </w:tcPr>
          <w:p>
            <w:pPr>
              <w:jc w:val="center"/>
            </w:pPr>
            <w:r>
              <w:rPr>
                <w:b/>
                <w:bCs/>
                <w:color w:val="FFFFFF"/>
                <w:sz w:val="20"/>
                <w:szCs w:val="20"/>
              </w:rPr>
              <w:t xml:space="preserve">Model</w:t>
            </w:r>
          </w:p>
        </w:tc>
        <w:tc>
          <w:tcPr>
            <w:tcW w:type="dxa" w:w="4680"/>
            <w:shd w:fill="1F4E79" w:val="clear"/>
            <w:tcMar>
              <w:top w:type="dxa" w:w="80"/>
              <w:left w:type="dxa" w:w="100"/>
              <w:bottom w:type="dxa" w:w="80"/>
              <w:right w:type="dxa" w:w="100"/>
            </w:tcMar>
          </w:tcPr>
          <w:p>
            <w:pPr>
              <w:jc w:val="center"/>
            </w:pPr>
            <w:r>
              <w:rPr>
                <w:b/>
                <w:bCs/>
                <w:color w:val="FFFFFF"/>
                <w:sz w:val="20"/>
                <w:szCs w:val="20"/>
              </w:rPr>
              <w:t xml:space="preserve">Tuned Training Time</w:t>
            </w:r>
          </w:p>
        </w:tc>
      </w:tr>
      <w:tr>
        <w:tc>
          <w:tcPr>
            <w:tcW w:type="dxa" w:w="4680"/>
            <w:tcMar>
              <w:top w:type="dxa" w:w="80"/>
              <w:left w:type="dxa" w:w="100"/>
              <w:bottom w:type="dxa" w:w="80"/>
              <w:right w:type="dxa" w:w="100"/>
            </w:tcMar>
          </w:tcPr>
          <w:p>
            <w:pPr>
              <w:jc w:val="left"/>
            </w:pPr>
            <w:r>
              <w:rPr>
                <w:b w:val="false"/>
                <w:bCs w:val="false"/>
                <w:sz w:val="20"/>
                <w:szCs w:val="20"/>
              </w:rPr>
              <w:t xml:space="preserve">Logistic Regression</w:t>
            </w:r>
          </w:p>
        </w:tc>
        <w:tc>
          <w:tcPr>
            <w:tcW w:type="dxa" w:w="4680"/>
            <w:tcMar>
              <w:top w:type="dxa" w:w="80"/>
              <w:left w:type="dxa" w:w="100"/>
              <w:bottom w:type="dxa" w:w="80"/>
              <w:right w:type="dxa" w:w="100"/>
            </w:tcMar>
          </w:tcPr>
          <w:p>
            <w:pPr>
              <w:jc w:val="center"/>
            </w:pPr>
            <w:r>
              <w:rPr>
                <w:b w:val="false"/>
                <w:bCs w:val="false"/>
                <w:sz w:val="20"/>
                <w:szCs w:val="20"/>
              </w:rPr>
              <w:t xml:space="preserve">4.97 seconds</w:t>
            </w:r>
          </w:p>
        </w:tc>
      </w:tr>
      <w:tr>
        <w:tc>
          <w:tcPr>
            <w:tcW w:type="dxa" w:w="4680"/>
            <w:tcMar>
              <w:top w:type="dxa" w:w="80"/>
              <w:left w:type="dxa" w:w="100"/>
              <w:bottom w:type="dxa" w:w="80"/>
              <w:right w:type="dxa" w:w="100"/>
            </w:tcMar>
          </w:tcPr>
          <w:p>
            <w:pPr>
              <w:jc w:val="left"/>
            </w:pPr>
            <w:r>
              <w:rPr>
                <w:b w:val="false"/>
                <w:bCs w:val="false"/>
                <w:sz w:val="20"/>
                <w:szCs w:val="20"/>
              </w:rPr>
              <w:t xml:space="preserve">KNN</w:t>
            </w:r>
          </w:p>
        </w:tc>
        <w:tc>
          <w:tcPr>
            <w:tcW w:type="dxa" w:w="4680"/>
            <w:tcMar>
              <w:top w:type="dxa" w:w="80"/>
              <w:left w:type="dxa" w:w="100"/>
              <w:bottom w:type="dxa" w:w="80"/>
              <w:right w:type="dxa" w:w="100"/>
            </w:tcMar>
          </w:tcPr>
          <w:p>
            <w:pPr>
              <w:jc w:val="center"/>
            </w:pPr>
            <w:r>
              <w:rPr>
                <w:b w:val="false"/>
                <w:bCs w:val="false"/>
                <w:sz w:val="20"/>
                <w:szCs w:val="20"/>
              </w:rPr>
              <w:t xml:space="preserve">5.28 seconds</w:t>
            </w:r>
          </w:p>
        </w:tc>
      </w:tr>
      <w:tr>
        <w:tc>
          <w:tcPr>
            <w:tcW w:type="dxa" w:w="4680"/>
            <w:tcMar>
              <w:top w:type="dxa" w:w="80"/>
              <w:left w:type="dxa" w:w="100"/>
              <w:bottom w:type="dxa" w:w="80"/>
              <w:right w:type="dxa" w:w="100"/>
            </w:tcMar>
          </w:tcPr>
          <w:p>
            <w:pPr>
              <w:jc w:val="left"/>
            </w:pPr>
            <w:r>
              <w:rPr>
                <w:b w:val="false"/>
                <w:bCs w:val="false"/>
                <w:sz w:val="20"/>
                <w:szCs w:val="20"/>
              </w:rPr>
              <w:t xml:space="preserve">Random Forest</w:t>
            </w:r>
          </w:p>
        </w:tc>
        <w:tc>
          <w:tcPr>
            <w:tcW w:type="dxa" w:w="4680"/>
            <w:tcMar>
              <w:top w:type="dxa" w:w="80"/>
              <w:left w:type="dxa" w:w="100"/>
              <w:bottom w:type="dxa" w:w="80"/>
              <w:right w:type="dxa" w:w="100"/>
            </w:tcMar>
          </w:tcPr>
          <w:p>
            <w:pPr>
              <w:jc w:val="center"/>
            </w:pPr>
            <w:r>
              <w:rPr>
                <w:b w:val="false"/>
                <w:bCs w:val="false"/>
                <w:sz w:val="20"/>
                <w:szCs w:val="20"/>
              </w:rPr>
              <w:t xml:space="preserve">31.12 seconds</w:t>
            </w:r>
          </w:p>
        </w:tc>
      </w:tr>
      <w:tr>
        <w:tc>
          <w:tcPr>
            <w:tcW w:type="dxa" w:w="4680"/>
            <w:tcMar>
              <w:top w:type="dxa" w:w="80"/>
              <w:left w:type="dxa" w:w="100"/>
              <w:bottom w:type="dxa" w:w="80"/>
              <w:right w:type="dxa" w:w="100"/>
            </w:tcMar>
          </w:tcPr>
          <w:p>
            <w:pPr>
              <w:jc w:val="left"/>
            </w:pPr>
            <w:r>
              <w:rPr>
                <w:b w:val="false"/>
                <w:bCs w:val="false"/>
                <w:sz w:val="20"/>
                <w:szCs w:val="20"/>
              </w:rPr>
              <w:t xml:space="preserve">Gradient Boosting</w:t>
            </w:r>
          </w:p>
        </w:tc>
        <w:tc>
          <w:tcPr>
            <w:tcW w:type="dxa" w:w="4680"/>
            <w:tcMar>
              <w:top w:type="dxa" w:w="80"/>
              <w:left w:type="dxa" w:w="100"/>
              <w:bottom w:type="dxa" w:w="80"/>
              <w:right w:type="dxa" w:w="100"/>
            </w:tcMar>
          </w:tcPr>
          <w:p>
            <w:pPr>
              <w:jc w:val="center"/>
            </w:pPr>
            <w:r>
              <w:rPr>
                <w:b w:val="false"/>
                <w:bCs w:val="false"/>
                <w:sz w:val="20"/>
                <w:szCs w:val="20"/>
              </w:rPr>
              <w:t xml:space="preserve">73.76 seconds</w:t>
            </w:r>
          </w:p>
        </w:tc>
      </w:tr>
    </w:tbl>
    <w:p>
      <w:pPr>
        <w:spacing w:after="120"/>
      </w:pPr>
      <w:r>
        <w:t xml:space="preserve">Logistic Regression achieved the best validation F1-score while requiring far less training time than the tuned tree ensembles — an additional practical reason (beyond raw performance) for selecting it as the final model.</w:t>
      </w:r>
    </w:p>
    <w:p>
      <w:pPr>
        <w:pStyle w:val="Heading1"/>
        <w:spacing w:after="150" w:before="300"/>
      </w:pPr>
      <w:r>
        <w:t xml:space="preserve">9. Error Analysis, Imbalance, Assumptions, Bias, Uncertainty, and Generalization Limitations</w:t>
      </w:r>
    </w:p>
    <w:p>
      <w:pPr>
        <w:pStyle w:val="Heading2"/>
        <w:spacing w:after="120" w:before="220"/>
      </w:pPr>
      <w:r>
        <w:t xml:space="preserve">9.1 Error Analysis</w:t>
      </w:r>
    </w:p>
    <w:p>
      <w:pPr>
        <w:spacing w:after="120"/>
      </w:pPr>
      <w:r>
        <w:t xml:space="preserve">On the final test set: 16 false positives (Graduate students predicted Dropout — leads to unnecessary but low-cost advising outreach) and 32 false negatives (Dropout students predicted Graduate — the more concerning error, since an at-risk student is not flagged for support). The project treats these two error types as having different real-world costs rather than weighting them equally.</w:t>
      </w:r>
    </w:p>
    <w:p>
      <w:pPr>
        <w:pStyle w:val="Heading2"/>
        <w:spacing w:after="120" w:before="220"/>
      </w:pPr>
      <w:r>
        <w:t xml:space="preserve">9.2 Class Imbalance</w:t>
      </w:r>
    </w:p>
    <w:p>
      <w:pPr>
        <w:spacing w:after="120"/>
      </w:pPr>
      <w:r>
        <w:t xml:space="preserve">The dataset is moderately imbalanced (39.1% Dropout). This is why F1-score (not accuracy) was used as the primary model-selection metric, and why the majority-class baseline (60.8% accuracy, 0.000 F1) was included to expose the danger of trusting accuracy alone.</w:t>
      </w:r>
    </w:p>
    <w:p>
      <w:pPr>
        <w:pStyle w:val="Heading2"/>
        <w:spacing w:after="120" w:before="220"/>
      </w:pPr>
      <w:r>
        <w:t xml:space="preserve">9.3 Threshold Sensitivity</w:t>
      </w:r>
    </w:p>
    <w:p>
      <w:pPr>
        <w:spacing w:after="120"/>
      </w:pPr>
      <w:r>
        <w:t xml:space="preserve">The default 0.5 threshold is not necessarily optimal. Lowering it would increase recall (catch more at-risk students) at the cost of more false positives; raising it would reduce false positives but risk missing more actual dropouts. The Precision/Recall-vs-threshold plot was generated for this diagnostic purpose; the project's reported metrics use the default 0.5 threshold, and any change should be driven by institutional policy on intervention cost, not statistical optimisation alone.</w:t>
      </w:r>
    </w:p>
    <w:p>
      <w:pPr>
        <w:pStyle w:val="Heading2"/>
        <w:spacing w:after="120" w:before="220"/>
      </w:pPr>
      <w:r>
        <w:t xml:space="preserve">9.4 Cross-Validation Uncertainty</w:t>
      </w:r>
    </w:p>
    <w:p>
      <w:pPr>
        <w:spacing w:after="120"/>
      </w:pPr>
      <w:r>
        <w:t xml:space="preserve">5-fold cross-validation of the final selected model on the training data gave F1 = 0.869 ± 0.025 (fold scores: 0.859, 0.863, 0.911, 0.835, 0.878), showing that performance is not a single fixed number and varies somewhat with the training subset used.</w:t>
      </w:r>
    </w:p>
    <w:p>
      <w:pPr>
        <w:pStyle w:val="Heading2"/>
        <w:spacing w:after="120" w:before="220"/>
      </w:pPr>
      <w:r>
        <w:t xml:space="preserve">9.5 Assumptions and Bias</w:t>
      </w:r>
    </w:p>
    <w:p>
      <w:pPr>
        <w:pStyle w:val="ListParagraph"/>
        <w:numPr>
          <w:ilvl w:val="0"/>
          <w:numId w:val="1"/>
        </w:numPr>
        <w:spacing w:after="60"/>
      </w:pPr>
      <w:r>
        <w:t xml:space="preserve">The dataset originates from one Portuguese institution; learned relationships may reflect local admissions/grading policy and are not guaranteed to transfer to Bangladeshi or other universities without local validation.</w:t>
      </w:r>
    </w:p>
    <w:p>
      <w:pPr>
        <w:pStyle w:val="ListParagraph"/>
        <w:numPr>
          <w:ilvl w:val="0"/>
          <w:numId w:val="1"/>
        </w:numPr>
        <w:spacing w:after="60"/>
      </w:pPr>
      <w:r>
        <w:t xml:space="preserve">Country-specific macroeconomic variables (Unemployment rate, Inflation rate, GDP) were deliberately removed to reduce dependence on Portugal-specific signals, but other institutional and demographic biases in the source data may remain.</w:t>
      </w:r>
    </w:p>
    <w:p>
      <w:pPr>
        <w:pStyle w:val="ListParagraph"/>
        <w:numPr>
          <w:ilvl w:val="0"/>
          <w:numId w:val="1"/>
        </w:numPr>
        <w:spacing w:after="60"/>
      </w:pPr>
      <w:r>
        <w:t xml:space="preserve">A predictive feature is a statistical association, not a causal driver of dropout.</w:t>
      </w:r>
    </w:p>
    <w:p>
      <w:pPr>
        <w:pStyle w:val="ListParagraph"/>
        <w:numPr>
          <w:ilvl w:val="0"/>
          <w:numId w:val="1"/>
        </w:numPr>
        <w:spacing w:after="60"/>
      </w:pPr>
      <w:r>
        <w:t xml:space="preserve">The model is trained on historical data; changes in policy, teaching methods, or student behaviour over time may reduce its future accuracy.</w:t>
      </w:r>
    </w:p>
    <w:p>
      <w:pPr>
        <w:pStyle w:val="Heading2"/>
        <w:spacing w:after="120" w:before="220"/>
      </w:pPr>
      <w:r>
        <w:t xml:space="preserve">9.6 Generalization Limits</w:t>
      </w:r>
    </w:p>
    <w:p>
      <w:pPr>
        <w:spacing w:after="120"/>
      </w:pPr>
      <w:r>
        <w:t xml:space="preserve">Because the Enrolled class was removed, the model only answers a terminal Dropout-vs-Graduate question and does not predict outcomes for currently enrolled, in-progress students. The model should not be deployed on a different institution's population without re-validation on local data.</w:t>
      </w:r>
    </w:p>
    <w:p>
      <w:pPr>
        <w:pStyle w:val="Heading1"/>
        <w:spacing w:after="150" w:before="300"/>
      </w:pPr>
      <w:r>
        <w:t xml:space="preserve">10. Reproducibility Information: Seeds, Versions, Run Instructions, and File Structure</w:t>
      </w:r>
    </w:p>
    <w:p>
      <w:pPr>
        <w:pStyle w:val="Heading2"/>
        <w:spacing w:after="120" w:before="220"/>
      </w:pPr>
      <w:r>
        <w:t xml:space="preserve">10.1 Random Seed</w:t>
      </w:r>
    </w:p>
    <w:p>
      <w:pPr>
        <w:spacing w:after="120"/>
      </w:pPr>
      <w:r>
        <w:t xml:space="preserve">A single fixed RANDOM_SEED is used consistently for the train/validation/test split, StratifiedKFold cross-validation, and every stochastic model (Logistic Regression, KNN, Random Forest, Gradient Boosting, DummyClassifier), so results can be reproduced exactly on re-run.</w:t>
      </w:r>
    </w:p>
    <w:p>
      <w:pPr>
        <w:pStyle w:val="Heading2"/>
        <w:spacing w:after="120" w:before="220"/>
      </w:pPr>
      <w:r>
        <w:t xml:space="preserve">10.2 Environment</w:t>
      </w:r>
    </w:p>
    <w:p>
      <w:pPr>
        <w:spacing w:after="120"/>
      </w:pPr>
      <w:r>
        <w:t xml:space="preserve">Core packages: pandas, numpy, scikit-learn, matplotlib, seaborn, joblib. Exact package versions should be recorded in requirements.txt (or environment.yml) submitted alongside the notebook, per the project's environment-file requirement.</w:t>
      </w:r>
    </w:p>
    <w:p>
      <w:pPr>
        <w:pStyle w:val="Heading2"/>
        <w:spacing w:after="120" w:before="220"/>
      </w:pPr>
      <w:r>
        <w:t xml:space="preserve">10.3 Run Order</w:t>
      </w:r>
    </w:p>
    <w:p>
      <w:pPr>
        <w:spacing w:after="60"/>
      </w:pPr>
      <w:r>
        <w:t xml:space="preserve">1. Load raw data (data.csv, semicolon-delimited) and perform the initial audit.</w:t>
      </w:r>
    </w:p>
    <w:p>
      <w:pPr>
        <w:spacing w:after="60"/>
      </w:pPr>
      <w:r>
        <w:t xml:space="preserve">2. Define the binary target and remove the Enrolled class.</w:t>
      </w:r>
    </w:p>
    <w:p>
      <w:pPr>
        <w:spacing w:after="60"/>
      </w:pPr>
      <w:r>
        <w:t xml:space="preserve">3. Run EDA (target distribution, socioeconomic dropout-rate plots, approved-units boxplot, correlation heatmap, outlier plots).</w:t>
      </w:r>
    </w:p>
    <w:p>
      <w:pPr>
        <w:spacing w:after="60"/>
      </w:pPr>
      <w:r>
        <w:t xml:space="preserve">4. Perform feature selection (drop near-constant + macroeconomic columns) and engineer Discipline_Group.</w:t>
      </w:r>
    </w:p>
    <w:p>
      <w:pPr>
        <w:spacing w:after="60"/>
      </w:pPr>
      <w:r>
        <w:t xml:space="preserve">5. Create the 70/15/15 stratified split.</w:t>
      </w:r>
    </w:p>
    <w:p>
      <w:pPr>
        <w:spacing w:after="60"/>
      </w:pPr>
      <w:r>
        <w:t xml:space="preserve">6. Build and fit the ColumnTransformer preprocessing pipeline on training data only.</w:t>
      </w:r>
    </w:p>
    <w:p>
      <w:pPr>
        <w:spacing w:after="60"/>
      </w:pPr>
      <w:r>
        <w:t xml:space="preserve">7. Train baseline, then untuned and GridSearchCV-tuned Logistic Regression, KNN, Random Forest, and Gradient Boosting.</w:t>
      </w:r>
    </w:p>
    <w:p>
      <w:pPr>
        <w:spacing w:after="60"/>
      </w:pPr>
      <w:r>
        <w:t xml:space="preserve">8. Compare all candidates on the validation set and select the best model by F1-score.</w:t>
      </w:r>
    </w:p>
    <w:p>
      <w:pPr>
        <w:spacing w:after="60"/>
      </w:pPr>
      <w:r>
        <w:t xml:space="preserve">9. Generate diagnostic plots (confusion matrices, ROC curves, comparison charts, feature importance, threshold plot).</w:t>
      </w:r>
    </w:p>
    <w:p>
      <w:pPr>
        <w:spacing w:after="60"/>
      </w:pPr>
      <w:r>
        <w:t xml:space="preserve">10. Evaluate the selected model once on the test set and run 5-fold CV uncertainty analysis.</w:t>
      </w:r>
    </w:p>
    <w:p>
      <w:pPr>
        <w:spacing w:after="60"/>
      </w:pPr>
      <w:r>
        <w:t xml:space="preserve">11. Save final_model.joblib, validation_model_comparison_results.csv, and final_test_results.csv.</w:t>
      </w:r>
    </w:p>
    <w:p>
      <w:pPr>
        <w:pStyle w:val="Heading2"/>
        <w:spacing w:after="120" w:before="220"/>
      </w:pPr>
      <w:r>
        <w:t xml:space="preserve">10.4 Output Artifacts</w:t>
      </w:r>
    </w:p>
    <w:p>
      <w:pPr>
        <w:pStyle w:val="ListParagraph"/>
        <w:numPr>
          <w:ilvl w:val="0"/>
          <w:numId w:val="1"/>
        </w:numPr>
        <w:spacing w:after="60"/>
      </w:pPr>
      <w:r>
        <w:t xml:space="preserve">final_model.joblib — the frozen, selected Tuned Logistic Regression pipeline (preprocessing + classifier).</w:t>
      </w:r>
    </w:p>
    <w:p>
      <w:pPr>
        <w:pStyle w:val="ListParagraph"/>
        <w:numPr>
          <w:ilvl w:val="0"/>
          <w:numId w:val="1"/>
        </w:numPr>
        <w:spacing w:after="60"/>
      </w:pPr>
      <w:r>
        <w:t xml:space="preserve">validation_model_comparison_results.csv — the full 8-model validation comparison table.</w:t>
      </w:r>
    </w:p>
    <w:p>
      <w:pPr>
        <w:pStyle w:val="ListParagraph"/>
        <w:numPr>
          <w:ilvl w:val="0"/>
          <w:numId w:val="1"/>
        </w:numPr>
        <w:spacing w:after="60"/>
      </w:pPr>
      <w:r>
        <w:t xml:space="preserve">final_test_results.csv — the one-time final test-set metrics for the selected model.</w:t>
      </w:r>
    </w:p>
    <w:p>
      <w:pPr>
        <w:pStyle w:val="Heading1"/>
        <w:spacing w:after="150" w:before="300"/>
      </w:pPr>
      <w:r>
        <w:t xml:space="preserve">11. Conclusion, Practical Interpretation, Responsible-Use Boundary, and Future Improvement</w:t>
      </w:r>
    </w:p>
    <w:p>
      <w:pPr>
        <w:pStyle w:val="Heading2"/>
        <w:spacing w:after="120" w:before="220"/>
      </w:pPr>
      <w:r>
        <w:t xml:space="preserve">11.1 Conclusion</w:t>
      </w:r>
    </w:p>
    <w:p>
      <w:pPr>
        <w:spacing w:after="120"/>
      </w:pPr>
      <w:r>
        <w:t xml:space="preserve">This project built and evaluated a leakage-safe machine learning pipeline for predicting university student dropout, comparing four algorithms in both untuned and tuned form against a majority-class baseline. Tuned Logistic Regression achieved the best validation F1-score (0.926) and, when evaluated once on the untouched test set, reached 91.2% accuracy, 91.9% precision, 85.0% recall, 88.3% F1-score, and 95.7% ROC-AUC, with a 5-fold CV F1 of 0.869 ± 0.025. These results show that a simple, interpretable linear model can perform strongly on this task while remaining fully defensible on methodology grounds.</w:t>
      </w:r>
    </w:p>
    <w:p>
      <w:pPr>
        <w:pStyle w:val="Heading2"/>
        <w:spacing w:after="120" w:before="220"/>
      </w:pPr>
      <w:r>
        <w:t xml:space="preserve">11.2 Practical Interpretation</w:t>
      </w:r>
    </w:p>
    <w:p>
      <w:pPr>
        <w:spacing w:after="120"/>
      </w:pPr>
      <w:r>
        <w:t xml:space="preserve">For a university, a false positive means an at-risk-labelled student who was actually going to graduate receives some extra, low-cost advising contact. A false negative means a student who does drop out is never flagged. Given this asymmetry, an institution may reasonably prefer a lower decision threshold that favours recall over precision, depending on how much support capacity it has available.</w:t>
      </w:r>
    </w:p>
    <w:p>
      <w:pPr>
        <w:pStyle w:val="Heading2"/>
        <w:spacing w:after="120" w:before="220"/>
      </w:pPr>
      <w:r>
        <w:t xml:space="preserve">11.3 Responsible-Use Boundary</w:t>
      </w:r>
    </w:p>
    <w:p>
      <w:pPr>
        <w:spacing w:after="120"/>
      </w:pPr>
      <w:r>
        <w:t xml:space="preserve">The model must be used only as an early-warning support tool, never as an automated basis for punitive or exclusionary decisions. It should not be treated as proof that a specific student will drop out, and it should not be deployed at another institution or in another country without first validating it on local data, since it was trained on a single Portuguese institution's historical records.</w:t>
      </w:r>
    </w:p>
    <w:p>
      <w:pPr>
        <w:pStyle w:val="Heading2"/>
        <w:spacing w:after="120" w:before="220"/>
      </w:pPr>
      <w:r>
        <w:t xml:space="preserve">11.4 Future Improvement</w:t>
      </w:r>
    </w:p>
    <w:p>
      <w:pPr>
        <w:pStyle w:val="ListParagraph"/>
        <w:numPr>
          <w:ilvl w:val="0"/>
          <w:numId w:val="1"/>
        </w:numPr>
        <w:spacing w:after="60"/>
      </w:pPr>
      <w:r>
        <w:t xml:space="preserve">Validate the model using data from Bangladeshi universities before any local deployment.</w:t>
      </w:r>
    </w:p>
    <w:p>
      <w:pPr>
        <w:pStyle w:val="ListParagraph"/>
        <w:numPr>
          <w:ilvl w:val="0"/>
          <w:numId w:val="1"/>
        </w:numPr>
        <w:spacing w:after="60"/>
      </w:pPr>
      <w:r>
        <w:t xml:space="preserve">Incorporate attendance and behavioural data where available.</w:t>
      </w:r>
    </w:p>
    <w:p>
      <w:pPr>
        <w:pStyle w:val="ListParagraph"/>
        <w:numPr>
          <w:ilvl w:val="0"/>
          <w:numId w:val="1"/>
        </w:numPr>
        <w:spacing w:after="60"/>
      </w:pPr>
      <w:r>
        <w:t xml:space="preserve">Add longitudinal, multi-year academic records.</w:t>
      </w:r>
    </w:p>
    <w:p>
      <w:pPr>
        <w:pStyle w:val="ListParagraph"/>
        <w:numPr>
          <w:ilvl w:val="0"/>
          <w:numId w:val="1"/>
        </w:numPr>
        <w:spacing w:after="60"/>
      </w:pPr>
      <w:r>
        <w:t xml:space="preserve">Test additional algorithms (e.g., SVM, XGBoost/LightGBM) under the same leakage-safe protocol.</w:t>
      </w:r>
    </w:p>
    <w:p>
      <w:pPr>
        <w:pStyle w:val="ListParagraph"/>
        <w:numPr>
          <w:ilvl w:val="0"/>
          <w:numId w:val="1"/>
        </w:numPr>
        <w:spacing w:after="60"/>
      </w:pPr>
      <w:r>
        <w:t xml:space="preserve">Investigate probability calibration for more reliable risk scores.</w:t>
      </w:r>
    </w:p>
    <w:p>
      <w:pPr>
        <w:pStyle w:val="ListParagraph"/>
        <w:numPr>
          <w:ilvl w:val="0"/>
          <w:numId w:val="1"/>
        </w:numPr>
        <w:spacing w:after="60"/>
      </w:pPr>
      <w:r>
        <w:t xml:space="preserve">Perform a formal fairness analysis across demographic subgroups.</w:t>
      </w:r>
    </w:p>
    <w:p>
      <w:pPr>
        <w:pStyle w:val="ListParagraph"/>
        <w:numPr>
          <w:ilvl w:val="0"/>
          <w:numId w:val="1"/>
        </w:numPr>
        <w:spacing w:after="60"/>
      </w:pPr>
      <w:r>
        <w:t xml:space="preserve">Build an interactive early-warning dashboard for advisors.</w:t>
      </w:r>
    </w:p>
    <w:p>
      <w:pPr>
        <w:pStyle w:val="ListParagraph"/>
        <w:numPr>
          <w:ilvl w:val="0"/>
          <w:numId w:val="1"/>
        </w:numPr>
        <w:spacing w:after="60"/>
      </w:pPr>
      <w:r>
        <w:t xml:space="preserve">Explore explainable-AI methods such as SHAP for richer, case-level interpretation.</w:t>
      </w:r>
    </w:p>
    <w:p>
      <w:pPr>
        <w:pStyle w:val="ListParagraph"/>
        <w:numPr>
          <w:ilvl w:val="0"/>
          <w:numId w:val="1"/>
        </w:numPr>
        <w:spacing w:after="60"/>
      </w:pPr>
      <w:r>
        <w:t xml:space="preserve">Select the operating threshold based on the institution's real intervention capacity and cost, rather than the default 0.5.</w:t>
      </w:r>
    </w:p>
    <w:p>
      <w:pPr>
        <w:pStyle w:val="Heading1"/>
        <w:spacing w:after="150" w:before="300"/>
      </w:pPr>
      <w:r>
        <w:t xml:space="preserve">12. References and Contribution Statement</w:t>
      </w:r>
    </w:p>
    <w:p>
      <w:pPr>
        <w:pStyle w:val="Heading2"/>
        <w:spacing w:after="120" w:before="220"/>
      </w:pPr>
      <w:r>
        <w:t xml:space="preserve">12.1 References</w:t>
      </w:r>
    </w:p>
    <w:p>
      <w:pPr>
        <w:spacing w:after="120"/>
      </w:pPr>
      <w:r>
        <w:t xml:space="preserve">[1] V. Realinho, M. Vieira Martins, J. Machado, and L. Baptista, “Predict Students’ Dropout and Academic Success,” UCI Machine Learning Repository, 2021.</w:t>
      </w:r>
    </w:p>
    <w:p>
      <w:pPr>
        <w:spacing w:after="120"/>
      </w:pPr>
      <w:r>
        <w:t xml:space="preserve">[2] UCI Machine Learning Repository, “Predict Students’ Dropout and Academic Success Dataset.”</w:t>
      </w:r>
    </w:p>
    <w:p>
      <w:pPr>
        <w:spacing w:after="120"/>
      </w:pPr>
      <w:r>
        <w:t xml:space="preserve">[3] F. Pedregosa et al., “Scikit-learn: Machine Learning in Python,” Journal of Machine Learning Research, vol. 12, pp. 2825–2830, 2011.</w:t>
      </w:r>
    </w:p>
    <w:p>
      <w:pPr>
        <w:spacing w:after="120"/>
      </w:pPr>
      <w:r>
        <w:t xml:space="preserve">[4] T. Hastie, R. Tibshirani, and J. Friedman, The Elements of Statistical Learning, Springer.</w:t>
      </w:r>
    </w:p>
    <w:p>
      <w:pPr>
        <w:spacing w:after="120"/>
      </w:pPr>
      <w:r>
        <w:t xml:space="preserve">[5] C. M. Bishop, Pattern Recognition and Machine Learning, Springer.</w:t>
      </w:r>
    </w:p>
    <w:p>
      <w:pPr>
        <w:pStyle w:val="Heading2"/>
        <w:spacing w:after="120" w:before="220"/>
      </w:pPr>
      <w:r>
        <w:t xml:space="preserve">12.2 Contribution Statement</w:t>
      </w:r>
    </w:p>
    <w:p>
      <w:pPr>
        <w:spacing w:after="120"/>
      </w:pPr>
      <w:r>
        <w:t xml:space="preserve">Both group members contributed to this project; however, Sadiya Mohon Auti served as the lead technical contributor, taking on the larger share of the implementation, evaluation, interpretation, and finalisation work, as detailed below.</w:t>
      </w:r>
    </w:p>
    <w:p>
      <w:pPr>
        <w:pStyle w:val="Heading3"/>
        <w:spacing w:after="100" w:before="180"/>
      </w:pPr>
      <w:r>
        <w:t xml:space="preserve">Sadiya Mohon Auti — 23-52092-2 (Lead Technical Contributor)</w:t>
      </w:r>
    </w:p>
    <w:p>
      <w:pPr>
        <w:spacing w:after="120"/>
      </w:pPr>
      <w:r>
        <w:rPr>
          <w:b/>
          <w:bCs/>
        </w:rPr>
        <w:t xml:space="preserve">Exploratory Data Analysis: </w:t>
      </w:r>
    </w:p>
    <w:p>
      <w:pPr>
        <w:spacing w:after="120"/>
      </w:pPr>
      <w:r>
        <w:t xml:space="preserve">Detailed analysis of second-semester approved curricular units (including the approved-units boxplot); correlation heatmap and multicollinearity investigation; outlier analysis for Age at enrollment and Admission grade; interpretation of the link between academic performance and dropout.</w:t>
      </w:r>
    </w:p>
    <w:p>
      <w:pPr>
        <w:spacing w:after="120"/>
      </w:pPr>
      <w:r>
        <w:rPr>
          <w:b/>
          <w:bCs/>
        </w:rPr>
        <w:t xml:space="preserve">Data Preprocessing: </w:t>
      </w:r>
    </w:p>
    <w:p>
      <w:pPr>
        <w:spacing w:after="120"/>
      </w:pPr>
      <w:r>
        <w:t xml:space="preserve">Designed and implemented the complete preprocessing pipeline — numerical imputation and standard scaling; categorical imputation and One-Hot Encoding; built the ColumnTransformer and Pipeline; implemented handle_unknown="ignore"; implemented the full leakage-safe procedure, ensuring fit_transform() was applied to training data only and transform() to validation/test data.</w:t>
      </w:r>
    </w:p>
    <w:p>
      <w:pPr>
        <w:spacing w:after="120"/>
      </w:pPr>
      <w:r>
        <w:rPr>
          <w:b/>
          <w:bCs/>
        </w:rPr>
        <w:t xml:space="preserve">Train/Validation/Test Methodology: </w:t>
      </w:r>
    </w:p>
    <w:p>
      <w:pPr>
        <w:spacing w:after="120"/>
      </w:pPr>
      <w:r>
        <w:t xml:space="preserve">Implemented the final 70% / 15% / 15% stratified split, and ensured the test set remained untouched during tuning and model selection.</w:t>
      </w:r>
    </w:p>
    <w:p>
      <w:pPr>
        <w:spacing w:after="120"/>
      </w:pPr>
      <w:r>
        <w:rPr>
          <w:b/>
          <w:bCs/>
        </w:rPr>
        <w:t xml:space="preserve">Advanced Model Development: </w:t>
      </w:r>
    </w:p>
    <w:p>
      <w:pPr>
        <w:spacing w:after="120"/>
      </w:pPr>
      <w:r>
        <w:t xml:space="preserve">Implemented and tuned Random Forest and Gradient Boosting — both untuned and tuned versions, including hyperparameter search via GridSearchCV, performance comparison, and interpretation.</w:t>
      </w:r>
    </w:p>
    <w:p>
      <w:pPr>
        <w:spacing w:after="120"/>
      </w:pPr>
      <w:r>
        <w:rPr>
          <w:b/>
          <w:bCs/>
        </w:rPr>
        <w:t xml:space="preserve">Evaluation and Interpretation: </w:t>
      </w:r>
    </w:p>
    <w:p>
      <w:pPr>
        <w:spacing w:after="120"/>
      </w:pPr>
      <w:r>
        <w:t xml:space="preserve">Feature-importance analysis across all three interpretable models (Logistic Regression coefficients, Random Forest importances, Gradient Boosting importances); confusion-matrix and false-positive/false-negative error analysis; precision/recall interpretation; threshold sensitivity analysis; ROC-AUC interpretation; cross-validation uncertainty analysis.</w:t>
      </w:r>
    </w:p>
    <w:p>
      <w:pPr>
        <w:spacing w:after="120"/>
      </w:pPr>
      <w:r>
        <w:rPr>
          <w:b/>
          <w:bCs/>
        </w:rPr>
        <w:t xml:space="preserve">Final Model Selection: </w:t>
      </w:r>
    </w:p>
    <w:p>
      <w:pPr>
        <w:spacing w:after="120"/>
      </w:pPr>
      <w:r>
        <w:t xml:space="preserve">Compared validation performance across all candidate models, prioritised F1-score for the Dropout class, ensured the test set was not used for model selection, and finalised the selected model before running the one-time test evaluation.</w:t>
      </w:r>
    </w:p>
    <w:p>
      <w:pPr>
        <w:spacing w:after="120"/>
      </w:pPr>
      <w:r>
        <w:rPr>
          <w:b/>
          <w:bCs/>
        </w:rPr>
        <w:t xml:space="preserve">Reproducibility and Finalisation: </w:t>
      </w:r>
    </w:p>
    <w:p>
      <w:pPr>
        <w:spacing w:after="120"/>
      </w:pPr>
      <w:r>
        <w:t xml:space="preserve">Saved the final trained model as final_model.joblib, saved the validation comparison and final test result files, maintained a fixed random seed throughout, and verified the notebook runs end-to-end from a clean kernel.</w:t>
      </w:r>
    </w:p>
    <w:p>
      <w:pPr>
        <w:spacing w:after="120"/>
      </w:pPr>
      <w:r>
        <w:rPr>
          <w:b/>
          <w:bCs/>
        </w:rPr>
        <w:t xml:space="preserve">Report Writing: </w:t>
      </w:r>
    </w:p>
    <w:p>
      <w:pPr>
        <w:spacing w:after="120"/>
      </w:pPr>
      <w:r>
        <w:t xml:space="preserve">Wrote the majority of the technical report, including preprocessing methodology, leakage prevention, train/validation/test methodology, baseline interpretation, Random Forest and Gradient Boosting methodology, hyperparameter tuning, model comparison, feature interpretation, error analysis, threshold sensitivity, cross-validation uncertainty, reproducibility, limitations and responsible-use discussion, and the final conclusion.</w:t>
      </w:r>
    </w:p>
    <w:p>
      <w:pPr>
        <w:pStyle w:val="Heading3"/>
        <w:spacing w:after="100" w:before="180"/>
      </w:pPr>
      <w:r>
        <w:t xml:space="preserve">Tasmia Amin — 23-53122-3</w:t>
      </w:r>
    </w:p>
    <w:p>
      <w:pPr>
        <w:spacing w:after="120"/>
      </w:pPr>
      <w:r>
        <w:rPr>
          <w:b/>
          <w:bCs/>
        </w:rPr>
        <w:t xml:space="preserve">Exploratory Data Analysis: </w:t>
      </w:r>
    </w:p>
    <w:p>
      <w:pPr>
        <w:spacing w:after="120"/>
      </w:pPr>
      <w:r>
        <w:t xml:space="preserve">Performed the initial data audit (duplicate and missing-value checks), investigated near-constant features, analysed the target-class distribution, and created dropout-rate visualisations by tuition-fee, debtor, scholarship, and displacement status.</w:t>
      </w:r>
    </w:p>
    <w:p>
      <w:pPr>
        <w:spacing w:after="120"/>
      </w:pPr>
      <w:r>
        <w:rPr>
          <w:b/>
          <w:bCs/>
        </w:rPr>
        <w:t xml:space="preserve">Target and Feature Preparation: </w:t>
      </w:r>
    </w:p>
    <w:p>
      <w:pPr>
        <w:spacing w:after="120"/>
      </w:pPr>
      <w:r>
        <w:t xml:space="preserve">Defined the binary classification target, contributed to the decision to remove the Enrolled class, justified the removal of Nacionality, International, Unemployment rate, Inflation rate, and GDP, contributed to the Discipline_Group feature, and contributed to the train/validation/test split design.</w:t>
      </w:r>
    </w:p>
    <w:p>
      <w:pPr>
        <w:spacing w:after="120"/>
      </w:pPr>
      <w:r>
        <w:rPr>
          <w:b/>
          <w:bCs/>
        </w:rPr>
        <w:t xml:space="preserve">Model Development: </w:t>
      </w:r>
    </w:p>
    <w:p>
      <w:pPr>
        <w:spacing w:after="120"/>
      </w:pPr>
      <w:r>
        <w:t xml:space="preserve">Implemented Logistic Regression and K-Nearest Neighbors, in both untuned and tuned form, designed the hyperparameter search spaces, and used GridSearchCV for tuning.</w:t>
      </w:r>
    </w:p>
    <w:p>
      <w:pPr>
        <w:spacing w:after="120"/>
      </w:pPr>
      <w:r>
        <w:rPr>
          <w:b/>
          <w:bCs/>
        </w:rPr>
        <w:t xml:space="preserve">Model Evaluation: </w:t>
      </w:r>
    </w:p>
    <w:p>
      <w:pPr>
        <w:spacing w:after="120"/>
      </w:pPr>
      <w:r>
        <w:t xml:space="preserve">Contributed to the final model comparison table, generated and analysed confusion matrices and ROC-curve diagnostics for the candidate models, and contributed to performance interpretation.</w:t>
      </w:r>
    </w:p>
    <w:p>
      <w:pPr>
        <w:spacing w:after="120"/>
      </w:pPr>
      <w:r>
        <w:rPr>
          <w:b/>
          <w:bCs/>
        </w:rPr>
        <w:t xml:space="preserve">Report Writing: </w:t>
      </w:r>
    </w:p>
    <w:p>
      <w:pPr>
        <w:spacing w:after="120"/>
      </w:pPr>
      <w:r>
        <w:t xml:space="preserve">Contributed the project title and group information, problem statement, dataset source and initial ethical considerations, data audit, initial EDA, target definition, feature selection, and the Logistic Regression/KNN methodology and comparison sections.</w:t>
      </w:r>
    </w:p>
    <w:p>
      <w:pPr>
        <w:pStyle w:val="Heading3"/>
        <w:spacing w:after="100" w:before="180"/>
      </w:pPr>
      <w:r>
        <w:t xml:space="preserve">Overall</w:t>
      </w:r>
    </w:p>
    <w:p>
      <w:pPr>
        <w:spacing w:after="120"/>
      </w:pPr>
      <w:r>
        <w:t xml:space="preserve">The contribution division reflects the actual division of responsibility on the project: Sadiya Mohon Auti led the technical implementation, the full preprocessing and leakage-safe pipeline, the advanced ensemble models, the complete evaluation/interpretation/error-analysis workflow, final model selection, reproducibility, and the bulk of the report writing, while Tasmia Amin contributed the initial data understanding, target/feature formulation, Logistic Regression/KNN development, and the corresponding report sections, collaboratively completing the project.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Student Dropout Prediction — Final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4E79"/>
      <w:sz w:val="30"/>
      <w:szCs w:val="30"/>
    </w:rPr>
  </w:style>
  <w:style w:type="paragraph" w:styleId="Heading2">
    <w:name w:val="Heading 2"/>
    <w:basedOn w:val="Normal"/>
    <w:next w:val="Normal"/>
    <w:qFormat/>
    <w:rPr>
      <w:b/>
      <w:bCs/>
      <w:color w:val="1F4E79"/>
      <w:sz w:val="25"/>
      <w:szCs w:val="25"/>
    </w:rPr>
  </w:style>
  <w:style w:type="paragraph" w:styleId="Heading3">
    <w:name w:val="Heading 3"/>
    <w:basedOn w:val="Normal"/>
    <w:next w:val="Normal"/>
    <w:qFormat/>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2026-09-07T11:57:35.018Z</dcterms:created>
  <dcterms:modified xsi:type="dcterms:W3CDTF">2026-09-07T11:57:35.031Z</dcterms:modified>
</cp:coreProperties>
</file>

<file path=docProps/custom.xml><?xml version="1.0" encoding="utf-8"?>
<Properties xmlns="http://schemas.openxmlformats.org/officeDocument/2006/custom-properties" xmlns:vt="http://schemas.openxmlformats.org/officeDocument/2006/docPropsVTypes"/>
</file>