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9935EDA">
      <w:pPr>
        <w:pStyle w:val="style0"/>
        <w:spacing w:lineRule="exact" w:line="440"/>
        <w:rPr>
          <w:rFonts w:eastAsia="汉仪劲楷简" w:hAnsi="汉仪劲楷简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eastAsia="汉仪劲楷简" w:hAnsi="汉仪劲楷简"/>
          <w:b/>
          <w:bCs/>
          <w:sz w:val="36"/>
          <w:szCs w:val="36"/>
          <w:lang w:val="en-US"/>
        </w:rPr>
        <w:t>《神界纠纷处理办法》</w:t>
      </w:r>
    </w:p>
    <w:p w14:paraId="56906665">
      <w:pPr>
        <w:pStyle w:val="style0"/>
        <w:spacing w:lineRule="exact" w:line="440"/>
        <w:rPr>
          <w:rFonts w:eastAsia="汉仪劲楷简" w:hAnsi="汉仪劲楷简"/>
          <w:b/>
          <w:bCs/>
          <w:sz w:val="36"/>
          <w:szCs w:val="36"/>
          <w:lang w:val="en-US"/>
        </w:rPr>
      </w:pPr>
    </w:p>
    <w:p w14:paraId="7C909AE5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修改日期/生效日期：2025年4月26日</w:t>
      </w:r>
    </w:p>
    <w:p w14:paraId="C838CBE2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出版：秋风Auting</w:t>
      </w:r>
    </w:p>
    <w:p w14:paraId="92E3E5AA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审核：神界内阁</w:t>
      </w:r>
    </w:p>
    <w:p w14:paraId="06CACF0D">
      <w:pPr>
        <w:pStyle w:val="style0"/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本案根据2501号议案审核通过准许发布使用。</w:t>
      </w:r>
    </w:p>
    <w:p w14:paraId="5D383192">
      <w:pPr>
        <w:pStyle w:val="style0"/>
        <w:spacing w:lineRule="exact" w:line="440"/>
        <w:rPr>
          <w:rFonts w:eastAsia="汉仪劲楷简" w:hAnsi="汉仪劲楷简"/>
          <w:b/>
          <w:bCs/>
          <w:sz w:val="30"/>
          <w:szCs w:val="30"/>
        </w:rPr>
      </w:pPr>
    </w:p>
    <w:p w14:paraId="BB4AB82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第一章 总则</w:t>
      </w:r>
    </w:p>
    <w:p w14:paraId="17B6E80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1.1本办法依据《神界宪章》及神界推崇的相关精神制定，属于神界规约体系，旨在保护下述主体：</w:t>
      </w:r>
    </w:p>
    <w:p w14:paraId="4F7348D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（一）神界圈的正式与观察期成员；</w:t>
      </w:r>
    </w:p>
    <w:p w14:paraId="4AF1B94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（二）与神界圈有直接利害关系的法律主体；</w:t>
      </w:r>
    </w:p>
    <w:p w14:paraId="50B5EA6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（三）神界内阁声明的其他主体。</w:t>
      </w:r>
    </w:p>
    <w:p w14:paraId="B291655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1.2本办法仅适用于受《神界宪章》管辖区域中的自然人和团体，并在神界圈内具有强制力和执行力。</w:t>
      </w:r>
    </w:p>
    <w:p w14:paraId="4AD3077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1.3 经神界临时调解委员组的判决结果仅代表神界内阁的综合观点，不能作为法律实质性依据。</w:t>
      </w:r>
    </w:p>
    <w:p w14:paraId="A4253ED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1.4 涉及下列事项的纠纷，神界内阁不予受理调解启动程序。根据情节严重程度，应根据《中华人民共和国 民事诉讼法》《中华人民共和国 刑事诉讼法》与《中华人民共和国 行政诉讼法》的有关规定，向纠纷方所在人民法院辖区起诉：</w:t>
      </w:r>
    </w:p>
    <w:p w14:paraId="9D5D055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（一）涉及违法的；</w:t>
      </w:r>
    </w:p>
    <w:p w14:paraId="66B13A2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（二）神界内阁认为不便调解的事项；</w:t>
      </w:r>
    </w:p>
    <w:p w14:paraId="6E01EAC6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（三）神界内阁声明的其他情形。</w:t>
      </w:r>
    </w:p>
    <w:p w14:paraId="35F9F05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1.5 不服神界临时调解委员组判决的，神界内阁不再受理不服判决的自然人或团体的调解申请。</w:t>
      </w:r>
    </w:p>
    <w:p w14:paraId="1B64EEC2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055100F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第二章 判定与组建事项</w:t>
      </w:r>
    </w:p>
    <w:p w14:paraId="50E2176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2.1 下述情况，应当由秋风与神界内阁组建神界临时调解委员组，进入调解程序：</w:t>
      </w:r>
    </w:p>
    <w:p w14:paraId="FA40F90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（一）受《神界宪章》管辖的自然人或团体向神界内阁提出调解申请的；</w:t>
      </w:r>
    </w:p>
    <w:p w14:paraId="3721D86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（二）出现违反神界规约的神界圈成员或团体；</w:t>
      </w:r>
    </w:p>
    <w:p w14:paraId="7488AF3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（三）神界内阁经审理认为应当组建的。</w:t>
      </w:r>
    </w:p>
    <w:p w14:paraId="43CACA0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2.2 具有2.1所述情形，并进入调解程序的自然人或团体被称为纠纷人。纠纷方享有同等权利。</w:t>
      </w:r>
    </w:p>
    <w:p w14:paraId="8245BC0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2.3 组建神界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临时调解委员组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时，其组成人员应按如下设置：</w:t>
      </w:r>
    </w:p>
    <w:p w14:paraId="E380B43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（一）适用简单调解的，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神界临时调解委员组可以仅含调解员；</w:t>
      </w:r>
    </w:p>
    <w:p w14:paraId="A5979CC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（二）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不适用的，委员组必须包含调解员、公保员（见证人），可以包含书记员。</w:t>
      </w:r>
    </w:p>
    <w:p w14:paraId="68FF66D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2.4 简单调解指因纠纷事件较小或神界内阁无法满足2.3（二）所要求的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神界临时调解委员组成员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时，适用简单调解程序。</w:t>
      </w:r>
    </w:p>
    <w:p w14:paraId="9B935B0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2.5 单次调解程序应在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神界临时调解委员组组建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的，能够方便纠纷人调解的线上即时通讯平台进行。</w:t>
      </w:r>
    </w:p>
    <w:p w14:paraId="CA10497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2.6 在调解开始前，申请纠纷调解的一方，应向调解员提供如下信息：</w:t>
      </w:r>
    </w:p>
    <w:p w14:paraId="02B958D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（一）需要调解的事项；</w:t>
      </w:r>
    </w:p>
    <w:p w14:paraId="DC946B6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（二）其他纠纷人；</w:t>
      </w:r>
    </w:p>
    <w:p w14:paraId="BF2FF5C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（三）存在纠纷的客观证明材料。</w:t>
      </w:r>
    </w:p>
    <w:p w14:paraId="76A0F11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2.7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神界临时调解委员组成员职责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如下：</w:t>
      </w:r>
    </w:p>
    <w:p w14:paraId="BCA1F79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（一）调解员主要负责判断纠纷的客观正误事实，并促成或给出处理结果；</w:t>
      </w:r>
    </w:p>
    <w:p w14:paraId="D843C4F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（二）公保员（见证人）负责纠纷人在促进处理结果形成中的行为担保。在简单程序中，由调解员与调解记录共同形成担保；</w:t>
      </w:r>
    </w:p>
    <w:p w14:paraId="D7C5E28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（三）书记员负责记录调解过程，并在判决阶段给予判决意见。在简单程序中，调解员需负责调解过程的证据保全。</w:t>
      </w:r>
    </w:p>
    <w:p w14:paraId="741D563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2.8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有义务调查纠纷事实，并对纠纷进行初步讨论。</w:t>
      </w:r>
    </w:p>
    <w:p w14:paraId="7BD65B1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2.9 为确保调解公正公开，纠纷人可至多邀请一名与此纠纷无关的自然人参与纠纷调解，但该自然人不得干扰调解进行和调解结果形成。</w:t>
      </w:r>
    </w:p>
    <w:p w14:paraId="FC98382B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2.10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神界临时调解委员组应在收到2.6纠纷人提供的完整信息后24小时内，完成2.5条款。</w:t>
      </w:r>
    </w:p>
    <w:p w14:paraId="DC2D661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D636E92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第三章 调解进行与后续处理</w:t>
      </w:r>
    </w:p>
    <w:p w14:paraId="651DED98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3.1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神界临时调解委员组应在完成2.10条款后的10分钟内，对纠纷人进行传唤。纠纷人应在调解开始前告知2.9所提及的自然人即时参加，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神界临时调解委员组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宣告开始调解后，该自然人不得再加入调解程序。</w:t>
      </w:r>
    </w:p>
    <w:p w14:paraId="71A24280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3.2 违反神界规约的纠纷人，根据神界规约的相关条约就违反情况进行调解与确认。</w:t>
      </w:r>
    </w:p>
    <w:p w14:paraId="4F0F519D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3.3 调解应当遵循平等公正原则，有纠纷人与神界临时调解委员组存在利害关系的，应在调解开始前向秋风提出，并及时解决。</w:t>
      </w:r>
    </w:p>
    <w:p w14:paraId="81228953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3.4 调解过程中神界临时调解委员组除必要的提问外，不得给予纠纷人任何可能影响调解进行的意见。</w:t>
      </w:r>
    </w:p>
    <w:p w14:paraId="1321EB5A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3.5 纠纷人在形成完整调解结果后即视为调解休止。除神界临时调解委员组认为需要进一步确认的，纠纷人不得在休止程序期问继续调解。</w:t>
      </w:r>
    </w:p>
    <w:p w14:paraId="8638DD2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3.6 调解休止后，神界临时调解委员组应在12小时内提供判决结果并发送至纠纷调解场所，因不可抗力因素无法即时给出的，应在48小时内完成判决结果的整理，60小时内发送至纠纷调解场所，并告知推迟原因。</w:t>
      </w:r>
    </w:p>
    <w:p w14:paraId="B55E6AB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3.7 纠纷人应在收到判决结果的1小时内完成判决结果要求的内容，难以完成或无力完成的，神界内阁应提供帮助。逾期未完成的，神界内间应敦促纠纷人尽快完成。</w:t>
      </w:r>
    </w:p>
    <w:p w14:paraId="99B91CC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3.8 逾期11小时以内的，由神界内阁敦促完成；23小时以内的，由秋风敦促完成，并警告纠纷人逾期未完成的责任后果；超过23小时的，能够由秋风代而完成的简单内容，经告示后直接处理，不能的，在完成前暂时取消其神界圈成员身份。</w:t>
      </w:r>
    </w:p>
    <w:p w14:paraId="2144FEC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3.9 纠纷人享有提出异议的权力，异议应当在休止期间发起。在收到判决结果后12小时内未提出异议的，视为认同判决结果所述内容，进入3.6所述调解休止程序，结束调解程序。有异议的，应向调解员提出，并进入调解异议程序。</w:t>
      </w:r>
    </w:p>
    <w:p w14:paraId="18EF9F01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3.10 调解异议提出后，判决结果暂缓执行，并告知其他纠纷人。异议声明发出后，根据异议声明决定原判决结果是否生效。</w:t>
      </w:r>
    </w:p>
    <w:p w14:paraId="5BCBA8B6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3.11 异议声明与判决结果具有同等效力，内容冲突的以异议声明为准。</w:t>
      </w:r>
    </w:p>
    <w:p w14:paraId="9EA8463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3.12 异议程序期间重新进入就提出方提出的异议内容进行调解，并解除3.5的发言限制。</w:t>
      </w:r>
    </w:p>
    <w:p w14:paraId="A6D2D5B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3.13 调解异议程序的调解程序结束后，恢复3.4成立。同时，纠纷人不得再次提起异议声明。</w:t>
      </w:r>
    </w:p>
    <w:p w14:paraId="26760B6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3.14 调解异议程序的调解程序结束后，按照3.6所述时效规定异议声明发出期限。</w:t>
      </w:r>
    </w:p>
    <w:p w14:paraId="00E9C3A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3.15 纠纷人完成判决结果或异议声明所定事宜的，视为单次调解程序结束。</w:t>
      </w:r>
    </w:p>
    <w:p w14:paraId="3795FBD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3.16 判决书应包含下述内容：</w:t>
      </w:r>
    </w:p>
    <w:p w14:paraId="B17785C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（一）纠纷的内容、事实与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客观证明材料；</w:t>
      </w:r>
    </w:p>
    <w:p w14:paraId="85B3E19A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（二）判决结果认定的逻辑过程；</w:t>
      </w:r>
    </w:p>
    <w:p w14:paraId="38F65280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（三）纠纷人的调解结果；</w:t>
      </w:r>
    </w:p>
    <w:p w14:paraId="FA500D38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（四）神界临时调解委员组认为各方应当承担的责任；</w:t>
      </w:r>
    </w:p>
    <w:p w14:paraId="E58AD61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（五）参与判决结果制定的法律主体；</w:t>
      </w:r>
    </w:p>
    <w:p w14:paraId="5801DF7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（六）参与调解程序的主体。</w:t>
      </w:r>
    </w:p>
    <w:p w14:paraId="57D66DD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3.17 异议声明应包含下述内容：</w:t>
      </w:r>
    </w:p>
    <w:p w14:paraId="7DE5B85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（一）异议原因与内容；</w:t>
      </w:r>
    </w:p>
    <w:p w14:paraId="F138DE1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（二）异议结果认定的逻辑过程；</w:t>
      </w:r>
    </w:p>
    <w:p w14:paraId="832D122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（三）纠纷人的调解结果；</w:t>
      </w:r>
    </w:p>
    <w:p w14:paraId="8211ABB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（四）重新调解后神界临时调解委员组认为各方应当承担的责任；</w:t>
      </w:r>
    </w:p>
    <w:p w14:paraId="24EFC83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（五）参与异议结果制定的法律主体；</w:t>
      </w:r>
    </w:p>
    <w:p w14:paraId="AB38D4B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（六）参与异议程序的主体。</w:t>
      </w:r>
    </w:p>
    <w:p w14:paraId="6D56FC7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DF8E70C3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第四章 处罚限度</w:t>
      </w:r>
    </w:p>
    <w:p w14:paraId="D62D84B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4.1 处罚仅适用与于3.2所述条款情况，并应由神界临时调解委员组作出处罚决定。</w:t>
      </w:r>
    </w:p>
    <w:p w14:paraId="CB49CA69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4.2 处罚方式包含下述的一项或多项：</w:t>
      </w:r>
    </w:p>
    <w:p w14:paraId="F811DA6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（一）要求停止某一行为；</w:t>
      </w:r>
    </w:p>
    <w:p w14:paraId="9950C84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（二）告示；</w:t>
      </w:r>
    </w:p>
    <w:p w14:paraId="3DBA8BA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（三）警告；</w:t>
      </w:r>
    </w:p>
    <w:p w14:paraId="24D5C52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（四）公开声明某一事项；</w:t>
      </w:r>
    </w:p>
    <w:p w14:paraId="410C415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（五）禁言；</w:t>
      </w:r>
    </w:p>
    <w:p w14:paraId="36344EBD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（六）移除某一区域论坛群的某一入群账号；</w:t>
      </w:r>
    </w:p>
    <w:p w14:paraId="9CAAF16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（七）移除神界圈成员身份；</w:t>
      </w:r>
    </w:p>
    <w:p w14:paraId="CA214779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（八）经神界内阁审理许可的其他处罚方式。</w:t>
      </w:r>
    </w:p>
    <w:p w14:paraId="25E11CF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4.3 处罚内容纠纷人无法自行完成的，引用3.7所述条款。</w:t>
      </w:r>
    </w:p>
    <w:sectPr>
      <w:pgSz w:w="11906" w:h="16838" w:orient="portrait"/>
      <w:pgMar w:top="1144" w:right="1148" w:bottom="1136" w:left="116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汉仪劲楷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53DE71"/>
    <w:lvl w:ilvl="0" w:tplc="0409000F">
      <w:start w:val="1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8A27A5DC"/>
    <w:lvl w:ilvl="0" w:tplc="0409000F">
      <w:start w:val="1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9A6865AD"/>
    <w:lvl w:ilvl="0" w:tplc="0409000F">
      <w:start w:val="2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BB201EC7"/>
    <w:lvl w:ilvl="0" w:tplc="0409000F">
      <w:start w:val="4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FB7589CA"/>
    <w:lvl w:ilvl="0" w:tplc="0409000F">
      <w:start w:val="4"/>
      <w:numFmt w:val="chineseCounting"/>
      <w:lvlText w:val="第%1章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2403</Words>
  <Characters>2528</Characters>
  <Application>WPS Office</Application>
  <Paragraphs>86</Paragraphs>
  <CharactersWithSpaces>2642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2025-04-17T15:56:49Z</dcterms:created>
  <dc:creator>2312DRA50C</dc:creator>
  <lastModifiedBy>2312DRA50C</lastModifiedBy>
  <dcterms:modified xsi:type="dcterms:W3CDTF">2025-04-26T01:51:18Z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f6bdfadc9ec540a787a82f5e01584e24_21</vt:lpwstr>
  </property>
</Properties>
</file>