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B9935EDA">
      <w:pPr>
        <w:spacing w:line="440" w:lineRule="exact"/>
        <w:rPr>
          <w:rFonts w:hAnsi="汉仪劲楷简" w:eastAsia="汉仪劲楷简"/>
          <w:b/>
          <w:bCs/>
          <w:sz w:val="36"/>
          <w:szCs w:val="36"/>
          <w:lang w:val="en-US"/>
        </w:rPr>
      </w:pPr>
      <w:r>
        <w:rPr>
          <w:rFonts w:hAnsi="汉仪劲楷简" w:eastAsia="汉仪劲楷简"/>
          <w:b/>
          <w:bCs/>
          <w:sz w:val="36"/>
          <w:szCs w:val="36"/>
          <w:lang w:val="en-US"/>
        </w:rPr>
        <w:t>《神界纠纷处理办法》</w:t>
      </w:r>
    </w:p>
    <w:p w14:paraId="56906665">
      <w:pPr>
        <w:spacing w:line="440" w:lineRule="exact"/>
        <w:rPr>
          <w:rFonts w:hAnsi="汉仪劲楷简" w:eastAsia="汉仪劲楷简"/>
          <w:b/>
          <w:bCs/>
          <w:sz w:val="36"/>
          <w:szCs w:val="36"/>
          <w:lang w:val="en-US"/>
        </w:rPr>
      </w:pPr>
    </w:p>
    <w:p w14:paraId="7C909AE5">
      <w:pPr>
        <w:spacing w:line="440" w:lineRule="exact"/>
        <w:rPr>
          <w:rFonts w:hAnsi="汉仪劲楷简" w:eastAsia="汉仪劲楷简"/>
          <w:b/>
          <w:bCs/>
          <w:sz w:val="28"/>
          <w:szCs w:val="28"/>
          <w:lang w:val="en-US"/>
        </w:rPr>
      </w:pPr>
      <w:r>
        <w:rPr>
          <w:rFonts w:hAnsi="汉仪劲楷简" w:eastAsia="汉仪劲楷简"/>
          <w:b/>
          <w:bCs/>
          <w:sz w:val="28"/>
          <w:szCs w:val="28"/>
          <w:lang w:val="en-US"/>
        </w:rPr>
        <w:t>修改日期/生效日期：2025年4月26日</w:t>
      </w:r>
    </w:p>
    <w:p w14:paraId="C838CBE2">
      <w:pPr>
        <w:spacing w:line="440" w:lineRule="exact"/>
        <w:rPr>
          <w:rFonts w:hAnsi="汉仪劲楷简" w:eastAsia="汉仪劲楷简"/>
          <w:b/>
          <w:bCs/>
          <w:sz w:val="28"/>
          <w:szCs w:val="28"/>
          <w:lang w:val="en-US"/>
        </w:rPr>
      </w:pPr>
      <w:r>
        <w:rPr>
          <w:rFonts w:hAnsi="汉仪劲楷简" w:eastAsia="汉仪劲楷简"/>
          <w:b/>
          <w:bCs/>
          <w:sz w:val="28"/>
          <w:szCs w:val="28"/>
          <w:lang w:val="en-US"/>
        </w:rPr>
        <w:t>出版：秋风Auting</w:t>
      </w:r>
    </w:p>
    <w:p w14:paraId="92E3E5AA">
      <w:pPr>
        <w:spacing w:line="440" w:lineRule="exact"/>
        <w:rPr>
          <w:rFonts w:hAnsi="汉仪劲楷简" w:eastAsia="汉仪劲楷简"/>
          <w:b/>
          <w:bCs/>
          <w:sz w:val="28"/>
          <w:szCs w:val="28"/>
          <w:lang w:val="en-US"/>
        </w:rPr>
      </w:pPr>
      <w:r>
        <w:rPr>
          <w:rFonts w:hAnsi="汉仪劲楷简" w:eastAsia="汉仪劲楷简"/>
          <w:b/>
          <w:bCs/>
          <w:sz w:val="28"/>
          <w:szCs w:val="28"/>
          <w:lang w:val="en-US"/>
        </w:rPr>
        <w:t>审核：神界内阁</w:t>
      </w:r>
    </w:p>
    <w:p w14:paraId="06CACF0D">
      <w:p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本案根据2501号议案审核通过准许发布使用。</w:t>
      </w:r>
    </w:p>
    <w:p w14:paraId="5D383192">
      <w:pPr>
        <w:spacing w:line="440" w:lineRule="exact"/>
        <w:rPr>
          <w:rFonts w:hAnsi="汉仪劲楷简" w:eastAsia="汉仪劲楷简"/>
          <w:b/>
          <w:bCs/>
          <w:sz w:val="30"/>
          <w:szCs w:val="30"/>
        </w:rPr>
      </w:pPr>
    </w:p>
    <w:p w14:paraId="BB4AB824">
      <w:pPr>
        <w:numPr>
          <w:ilvl w:val="0"/>
          <w:numId w:val="0"/>
        </w:numPr>
        <w:spacing w:line="440" w:lineRule="exact"/>
        <w:rPr>
          <w:rFonts w:hAnsi="汉仪劲楷简" w:eastAsia="汉仪劲楷简"/>
          <w:b/>
          <w:bCs/>
          <w:sz w:val="32"/>
          <w:szCs w:val="32"/>
        </w:rPr>
      </w:pPr>
      <w:r>
        <w:rPr>
          <w:rFonts w:hAnsi="汉仪劲楷简" w:eastAsia="汉仪劲楷简"/>
          <w:b/>
          <w:bCs/>
          <w:sz w:val="32"/>
          <w:szCs w:val="32"/>
          <w:lang w:val="en-US"/>
        </w:rPr>
        <w:t>第一章 总则</w:t>
      </w:r>
    </w:p>
    <w:p w14:paraId="17B6E800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1.1本办法依据《神界宪章》及神界推崇的相关精神制定，属于神界规约体系，旨在保护下述主体：</w:t>
      </w:r>
    </w:p>
    <w:p w14:paraId="4F7348D5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（一）神界圈的正式与观察期成员；</w:t>
      </w:r>
    </w:p>
    <w:p w14:paraId="4AF1B940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（二）与神界圈有直接利害关系的法律主体；</w:t>
      </w:r>
    </w:p>
    <w:p w14:paraId="50B5EA64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（三）神界内阁声明的其他主体。</w:t>
      </w:r>
    </w:p>
    <w:p w14:paraId="B291655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1.2本办法仅适用于受《神界宪章》管辖区域中的自然人和团体，并在神界圈内具有强制力和执行力。</w:t>
      </w:r>
    </w:p>
    <w:p w14:paraId="4AD30777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1.3 经神界临时调解委员组的判决结果仅代表神界内阁的综合观点，不能作为法律实质性依据。</w:t>
      </w:r>
    </w:p>
    <w:p w14:paraId="A4253EDA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1.4 涉及下列事项的纠纷，神界内阁不予受理调解启动程序。根据情节严重程度，应根据《中华人民共和国 民事诉讼法》《中华人民共和国 刑事诉讼法》与《中华人民共和国 行政诉讼法》的有关规定，向纠纷方所在人民法院辖区起诉：</w:t>
      </w:r>
    </w:p>
    <w:p w14:paraId="9D5D0555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（一）涉及违法的；</w:t>
      </w:r>
    </w:p>
    <w:p w14:paraId="66B13A2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（二）神界内阁认为不便调解的事项；</w:t>
      </w:r>
    </w:p>
    <w:p w14:paraId="6E01EAC6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（三）神界内阁声明的其他情形。</w:t>
      </w:r>
    </w:p>
    <w:p w14:paraId="35F9F051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1.5 不服神界临时调解委员组判决的，神界内阁不再受理不服判决的自然人或团体的调解申请。</w:t>
      </w:r>
    </w:p>
    <w:p w14:paraId="1B64EEC2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</w:rPr>
      </w:pPr>
    </w:p>
    <w:p w14:paraId="055100FB">
      <w:pPr>
        <w:numPr>
          <w:ilvl w:val="0"/>
          <w:numId w:val="0"/>
        </w:numPr>
        <w:spacing w:line="440" w:lineRule="exact"/>
        <w:rPr>
          <w:rFonts w:hAnsi="汉仪劲楷简" w:eastAsia="汉仪劲楷简"/>
          <w:b/>
          <w:bCs/>
          <w:sz w:val="32"/>
          <w:szCs w:val="32"/>
          <w:lang w:val="en-US"/>
        </w:rPr>
      </w:pPr>
      <w:r>
        <w:rPr>
          <w:rFonts w:hAnsi="汉仪劲楷简" w:eastAsia="汉仪劲楷简"/>
          <w:b/>
          <w:bCs/>
          <w:sz w:val="32"/>
          <w:szCs w:val="32"/>
          <w:lang w:val="en-US"/>
        </w:rPr>
        <w:t>第二章 判定与组建事项</w:t>
      </w:r>
    </w:p>
    <w:p w14:paraId="50E2176E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2.1 下述情况，应当由秋风与神界内阁组建神界临时调解委员组，进入调解程序：</w:t>
      </w:r>
    </w:p>
    <w:p w14:paraId="FA40F904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（一）受《神界宪章》管辖的自然人或团体向神界内阁提出调解申请的；</w:t>
      </w:r>
    </w:p>
    <w:p w14:paraId="3721D86A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（二）出现违反神界规约的神界圈成员或团体；</w:t>
      </w:r>
    </w:p>
    <w:p w14:paraId="7488AF3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（三）神界内阁经审理认为应当组建的。</w:t>
      </w:r>
    </w:p>
    <w:p w14:paraId="43CACA0C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2.2 具有2.1所述情形，并进入调解程序的自然人或</w:t>
      </w:r>
      <w:r>
        <w:rPr>
          <w:rFonts w:hint="eastAsia" w:ascii="汉仪劲楷简" w:hAnsi="汉仪劲楷简" w:eastAsia="汉仪劲楷简" w:cs="汉仪劲楷简"/>
          <w:b w:val="0"/>
          <w:bCs w:val="0"/>
          <w:sz w:val="28"/>
          <w:szCs w:val="28"/>
          <w:lang w:val="en-US" w:eastAsia="zh-CN"/>
        </w:rPr>
        <w:t>法人</w:t>
      </w:r>
      <w:r>
        <w:rPr>
          <w:rFonts w:hint="eastAsia" w:ascii="汉仪劲楷简" w:hAnsi="汉仪劲楷简" w:eastAsia="汉仪劲楷简" w:cs="汉仪劲楷简"/>
          <w:b w:val="0"/>
          <w:bCs w:val="0"/>
          <w:sz w:val="28"/>
          <w:szCs w:val="28"/>
          <w:lang w:val="en-US"/>
        </w:rPr>
        <w:t>被称为纠纷人。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纠纷方享有同等权利。</w:t>
      </w:r>
    </w:p>
    <w:p w14:paraId="8245BC00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2.3 组建神界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临时调解委员组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时，其组成人员应按如下设置：</w:t>
      </w:r>
    </w:p>
    <w:p w14:paraId="E380B432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（一）适用简单调解的，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神界临时调解委员组可以仅含调解员；</w:t>
      </w:r>
    </w:p>
    <w:p w14:paraId="A5979CCC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（二）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不适用的，委员组必须包含调解员、公保员（见证人），可以包含书记员。</w:t>
      </w:r>
    </w:p>
    <w:p w14:paraId="68FF66D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2.4 简单调解指因纠纷事件较小或神界内阁无法满足2.3（二）所要求的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神界临时调解委员组成员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时，适用简单调解程序。</w:t>
      </w:r>
    </w:p>
    <w:p w14:paraId="9B935B05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2.5 单次调解程序应在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神界临时调解委员组组建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的，能够方便纠纷人调解的线上即时通讯平台进行。</w:t>
      </w:r>
    </w:p>
    <w:p w14:paraId="CA10497A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2.6 在调解开始前，申请纠纷调解的一方，应向调解员提供如下信息：</w:t>
      </w:r>
    </w:p>
    <w:p w14:paraId="02B958DA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（一）需要调解的事项；</w:t>
      </w:r>
    </w:p>
    <w:p w14:paraId="DC946B6A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（二）其他纠纷人；</w:t>
      </w:r>
    </w:p>
    <w:p w14:paraId="BF2FF5C4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（三）存在纠纷的客观证明材料。</w:t>
      </w:r>
    </w:p>
    <w:p w14:paraId="76A0F111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2.7 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神界临时调解委员组成员职责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如下：</w:t>
      </w:r>
    </w:p>
    <w:p w14:paraId="BCA1F79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（一）调解员主要负责判断纠纷的客观正误事实，并促成或给出处理结果；</w:t>
      </w:r>
    </w:p>
    <w:p w14:paraId="D843C4F0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（二）公保员（见证人）负责纠纷人在促进处理结果形成中的行为担保。在简单程序中，由调解员与调解记录共同形成担保；</w:t>
      </w:r>
    </w:p>
    <w:p w14:paraId="D7C5E28C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（三）书记员负责记录调解过程，并在判决阶段给予判决意见。在简单程序中，调解员需负责调解过程的证据保全。</w:t>
      </w:r>
    </w:p>
    <w:p w14:paraId="741D5638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2.8 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</w:t>
      </w: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有义务调查纠纷事实，并对纠纷进行初步讨论。</w:t>
      </w:r>
    </w:p>
    <w:p w14:paraId="7BD65B1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2.9 为确保调解公正公开，纠纷人可至多邀请一名与此纠纷无关的自然人参与纠纷调解，但该自然人不得干扰调解进行和调解结果形成。</w:t>
      </w:r>
    </w:p>
    <w:p w14:paraId="FC98382B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2.10 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神界临时调解委员组应在收到2.6纠纷人提供的完整信息后24小时内，完成2.5条款。</w:t>
      </w:r>
    </w:p>
    <w:p w14:paraId="DC2D661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</w:rPr>
      </w:pPr>
    </w:p>
    <w:p w14:paraId="D636E928">
      <w:pPr>
        <w:numPr>
          <w:ilvl w:val="0"/>
          <w:numId w:val="0"/>
        </w:numPr>
        <w:spacing w:line="440" w:lineRule="exact"/>
        <w:rPr>
          <w:rFonts w:hAnsi="汉仪劲楷简" w:eastAsia="汉仪劲楷简"/>
          <w:b/>
          <w:bCs/>
          <w:sz w:val="32"/>
          <w:szCs w:val="32"/>
          <w:lang w:val="en-US"/>
        </w:rPr>
      </w:pPr>
      <w:r>
        <w:rPr>
          <w:rFonts w:hAnsi="汉仪劲楷简" w:eastAsia="汉仪劲楷简"/>
          <w:b/>
          <w:bCs/>
          <w:sz w:val="32"/>
          <w:szCs w:val="32"/>
          <w:lang w:val="en-US"/>
        </w:rPr>
        <w:t>第三章 调解进行与后续处理</w:t>
      </w:r>
    </w:p>
    <w:p w14:paraId="651DED98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3.1 </w:t>
      </w: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神界临时调解委员组应在完成2.10条款后的10分钟内，对纠纷人进行传唤。纠纷人应在调解开始前告知2.9所提及的自然人</w:t>
      </w:r>
      <w:r>
        <w:rPr>
          <w:rFonts w:hint="eastAsia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及时</w:t>
      </w:r>
      <w:bookmarkStart w:id="0" w:name="_GoBack"/>
      <w:bookmarkEnd w:id="0"/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参加，神界临时调解委员组宣告开始调解后，该自然人不得再加入调解程序。</w:t>
      </w:r>
    </w:p>
    <w:p w14:paraId="71A24280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3.2 违反神界规约的纠纷人，根据神界规约的相关条约就违反情况进行调解与确认。</w:t>
      </w:r>
    </w:p>
    <w:p w14:paraId="4F0F519D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3.3 调解应当遵循平等公正原则，有纠纷人与神界临时调解委员组存在利害关系的，应在调解开始前向秋风提出，并及时解决。</w:t>
      </w:r>
    </w:p>
    <w:p w14:paraId="81228953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3.4 调解过程中神界临时调解委员组除必要的提问外，不得给予纠纷人任何可能影响调解进行的意见。</w:t>
      </w:r>
    </w:p>
    <w:p w14:paraId="1321EB5A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3.5 纠纷人在形成完整调解结果后即视为调解休止。除神界临时调解委员组认为需要进一步确认的，纠纷人不得在休止程序期问继续调解。</w:t>
      </w:r>
    </w:p>
    <w:p w14:paraId="8638DD2C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3.6 调解休止后，神界临时调解委员组应在12小时内提供判决结果并发送至纠纷调解场所，因不可抗力因素无法即时给出的，应在48小时内完成判决结果的整理，60小时内发送至纠纷调解场所，并告知推迟原因。</w:t>
      </w:r>
    </w:p>
    <w:p w14:paraId="B55E6AB9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3.7 纠纷人应在收到判决结果的1小时内完成判决结果要求的内容，难以完成或无力完成的，神界内阁应提供帮助。逾期未完成的，神界内间应敦促纠纷人尽快完成。</w:t>
      </w:r>
    </w:p>
    <w:p w14:paraId="99B91CC9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3.8 逾期11小时以内的，由神界内阁敦促完成；23小时以内的，由秋风敦促完成，并警告纠纷人逾期未完成的责任后果；超过23小时的，能够由秋风代而完成的简单内容，经告示后直接处理，不能的，在完成前暂时取消其神界圈成员身份。</w:t>
      </w:r>
    </w:p>
    <w:p w14:paraId="2144FEC7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3.9 纠纷人享有提出异议的权力，异议应当在休止期间发起。在收到判决结果后12小时内未提出异议的，视为认同判决结果所述内容，进入3.6所述调解休止程序，结束调解程序。有异议的，应向调解员提出，并进入调解异议程序。</w:t>
      </w:r>
    </w:p>
    <w:p w14:paraId="18EF9F01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3.10 调解异议提出后，判决结果暂缓执行，并告知其他纠纷人。异议声明发出后，根据异议声明决定原判决结果是否生效。</w:t>
      </w:r>
    </w:p>
    <w:p w14:paraId="5BCBA8B6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3.11 异议声明与判决结果具有同等效力，内容冲突的以异议声明为准。</w:t>
      </w:r>
    </w:p>
    <w:p w14:paraId="9EA84639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3.12 异议程序期间重新进入就提出方提出的异议内容进行调解，并解除3.5的发言限制。</w:t>
      </w:r>
    </w:p>
    <w:p w14:paraId="A6D2D5B9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3.13 调解异议程序的调解程序结束后，恢复3.4成立。同时，纠纷人不得再次提起异议声明。</w:t>
      </w:r>
    </w:p>
    <w:p w14:paraId="26760B6C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3.14 调解异议程序的调解程序结束后，按照3.6所述时效规定异议声明发出期限。</w:t>
      </w:r>
    </w:p>
    <w:p w14:paraId="00E9C3AC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3.15 纠纷人完成判决结果或异议声明所定事宜的，视为单次调解程序结束。</w:t>
      </w:r>
    </w:p>
    <w:p w14:paraId="3795FBD7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3.16 判决书应包含下述内容：</w:t>
      </w:r>
    </w:p>
    <w:p w14:paraId="B17785C7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（一）纠纷的内容、事实与客观证明材料；</w:t>
      </w:r>
    </w:p>
    <w:p w14:paraId="85B3E19A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（二）判决结果认定的逻辑过程；</w:t>
      </w:r>
    </w:p>
    <w:p w14:paraId="38F65280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（三）纠纷人的调解结果；</w:t>
      </w:r>
    </w:p>
    <w:p w14:paraId="FA500D38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（四）神界临时调解委员组认为各方应当承担的责任；</w:t>
      </w:r>
    </w:p>
    <w:p w14:paraId="E58AD612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（五）参与判决结果制定的法律主体；</w:t>
      </w:r>
    </w:p>
    <w:p w14:paraId="5801DF72">
      <w:pPr>
        <w:numPr>
          <w:ilvl w:val="0"/>
          <w:numId w:val="0"/>
        </w:numPr>
        <w:spacing w:line="440" w:lineRule="exact"/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default" w:ascii="Calibri" w:hAnsi="汉仪劲楷简" w:eastAsia="汉仪劲楷简" w:cs="Arial"/>
          <w:b w:val="0"/>
          <w:bCs w:val="0"/>
          <w:i w:val="0"/>
          <w:iCs w:val="0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（六）参与调解程序的主体。</w:t>
      </w:r>
    </w:p>
    <w:p w14:paraId="57D66DD5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3.17 异议声明应包含下述内容：</w:t>
      </w:r>
    </w:p>
    <w:p w14:paraId="7DE5B85E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（一）异议原因与内容；</w:t>
      </w:r>
    </w:p>
    <w:p w14:paraId="F138DE14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（二）异议结果认定的逻辑过程；</w:t>
      </w:r>
    </w:p>
    <w:p w14:paraId="832D122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（三）纠纷人的调解结果；</w:t>
      </w:r>
    </w:p>
    <w:p w14:paraId="8211ABBC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（四）重新调解后神界临时调解委员组认为各方应当承担的责任；</w:t>
      </w:r>
    </w:p>
    <w:p w14:paraId="24EFC83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（五）参与异议结果制定的法律主体；</w:t>
      </w:r>
    </w:p>
    <w:p w14:paraId="AB38D4B7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（六）参与异议程序的主体。</w:t>
      </w:r>
    </w:p>
    <w:p w14:paraId="6D56FC77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</w:rPr>
      </w:pPr>
    </w:p>
    <w:p w14:paraId="DF8E70C3">
      <w:pPr>
        <w:numPr>
          <w:ilvl w:val="0"/>
          <w:numId w:val="0"/>
        </w:numPr>
        <w:spacing w:line="440" w:lineRule="exact"/>
        <w:rPr>
          <w:rFonts w:hAnsi="汉仪劲楷简" w:eastAsia="汉仪劲楷简"/>
          <w:b/>
          <w:bCs/>
          <w:sz w:val="32"/>
          <w:szCs w:val="32"/>
          <w:lang w:val="en-US"/>
        </w:rPr>
      </w:pPr>
      <w:r>
        <w:rPr>
          <w:rFonts w:hAnsi="汉仪劲楷简" w:eastAsia="汉仪劲楷简"/>
          <w:b/>
          <w:bCs/>
          <w:sz w:val="32"/>
          <w:szCs w:val="32"/>
          <w:lang w:val="en-US"/>
        </w:rPr>
        <w:t>第四章 处罚限度</w:t>
      </w:r>
    </w:p>
    <w:p w14:paraId="D62D84B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4.1 处罚仅适用与于3.2所述条款情况，并应由神界临时调解委员组作出处罚决定。</w:t>
      </w:r>
    </w:p>
    <w:p w14:paraId="CB49CA69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4.2 处罚方式包含下述的一项或多项：</w:t>
      </w:r>
    </w:p>
    <w:p w14:paraId="F811DA68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（一）要求停止某一行为；</w:t>
      </w:r>
    </w:p>
    <w:p w14:paraId="9950C84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（二）告示；</w:t>
      </w:r>
    </w:p>
    <w:p w14:paraId="3DBA8BAF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（三）警告；</w:t>
      </w:r>
    </w:p>
    <w:p w14:paraId="24D5C52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（四）公开声明某一事项；</w:t>
      </w:r>
    </w:p>
    <w:p w14:paraId="410C4158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（五）禁言；</w:t>
      </w:r>
    </w:p>
    <w:p w14:paraId="36344EBD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（六）移除某一区域论坛群的某一入群账号；</w:t>
      </w:r>
    </w:p>
    <w:p w14:paraId="9CAAF16B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（七）移除神界圈成员身份；</w:t>
      </w:r>
    </w:p>
    <w:p w14:paraId="CA214779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  <w:lang w:val="en-US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 xml:space="preserve">  （八）经神界内阁审理许可的其他处罚方式。</w:t>
      </w:r>
    </w:p>
    <w:p w14:paraId="25E11CF1">
      <w:pPr>
        <w:numPr>
          <w:ilvl w:val="0"/>
          <w:numId w:val="0"/>
        </w:numPr>
        <w:spacing w:line="440" w:lineRule="exact"/>
        <w:rPr>
          <w:rFonts w:hAnsi="汉仪劲楷简" w:eastAsia="汉仪劲楷简"/>
          <w:b w:val="0"/>
          <w:bCs w:val="0"/>
          <w:sz w:val="28"/>
          <w:szCs w:val="28"/>
        </w:rPr>
      </w:pPr>
      <w:r>
        <w:rPr>
          <w:rFonts w:hAnsi="汉仪劲楷简" w:eastAsia="汉仪劲楷简"/>
          <w:b w:val="0"/>
          <w:bCs w:val="0"/>
          <w:sz w:val="28"/>
          <w:szCs w:val="28"/>
          <w:lang w:val="en-US"/>
        </w:rPr>
        <w:t>4.3 处罚内容纠纷人无法自行完成的，引用3.7所述条款。</w:t>
      </w:r>
    </w:p>
    <w:sectPr>
      <w:pgSz w:w="11906" w:h="16838"/>
      <w:pgMar w:top="1144" w:right="1148" w:bottom="1136" w:left="11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7AC46E8C-7AD9-48AB-92F5-78DFAF64C9E7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2" w:fontKey="{D64C994F-3850-4F7B-B8A4-4538AD9B2D24}"/>
  </w:font>
  <w:font w:name="汉仪劲楷简">
    <w:altName w:val="汉仪劲楷简"/>
    <w:panose1 w:val="02020603050000020304"/>
    <w:charset w:val="00"/>
    <w:family w:val="roman"/>
    <w:pitch w:val="default"/>
    <w:sig w:usb0="00000000" w:usb1="00000000" w:usb2="00000008" w:usb3="00000000" w:csb0="000001FF" w:csb1="00000000"/>
    <w:embedRegular r:id="rId3" w:fontKey="{E6605249-E273-4D9C-AF03-608B5544CF50}"/>
  </w:font>
  <w:font w:name="汉仪粗仿宋简">
    <w:altName w:val="汉仪粗仿宋简"/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6D226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817</Words>
  <Characters>855</Characters>
  <Paragraphs>86</Paragraphs>
  <TotalTime>4</TotalTime>
  <ScaleCrop>false</ScaleCrop>
  <LinksUpToDate>false</LinksUpToDate>
  <CharactersWithSpaces>895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2025-04-17T15:56:00Z</dcterms:created>
  <dc:creator>2312DRA50C</dc:creator>
  <cp:lastModifiedBy>秋风</cp:lastModifiedBy>
  <dcterms:modified xsi:type="dcterms:W3CDTF">2025-06-08T05:25:47Z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f6bdfadc9ec540a787a82f5e01584e24_21</vt:lpwstr>
  </property>
  <property fmtid="{D5CDD505-2E9C-101B-9397-08002B2CF9AE}" pid="3" name="KSOTemplateDocerSaveRecord">
    <vt:lpwstr>eyJoZGlkIjoiMDhmOGNlNTgwZDFkMzc5OGJlMTU4YThmYjA4YTE4YjYiLCJ1c2VySWQiOiIxMzk2OTY4MDEwIn0=</vt:lpwstr>
  </property>
  <property fmtid="{D5CDD505-2E9C-101B-9397-08002B2CF9AE}" pid="4" name="KSOProductBuildVer">
    <vt:lpwstr>2052-12.1.0.21171</vt:lpwstr>
  </property>
</Properties>
</file>