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B9935EDA">
      <w:pPr>
        <w:pStyle w:val="style0"/>
        <w:spacing w:lineRule="exact" w:line="440"/>
        <w:rPr>
          <w:rFonts w:eastAsia="汉仪劲楷简" w:hAnsi="汉仪劲楷简"/>
          <w:b/>
          <w:bCs/>
          <w:sz w:val="36"/>
          <w:szCs w:val="36"/>
          <w:lang w:val="en-US"/>
        </w:rPr>
      </w:pPr>
      <w:r>
        <w:rPr>
          <w:rFonts w:eastAsia="汉仪劲楷简" w:hAnsi="汉仪劲楷简"/>
          <w:b/>
          <w:bCs/>
          <w:sz w:val="36"/>
          <w:szCs w:val="36"/>
          <w:lang w:val="en-US"/>
        </w:rPr>
        <w:t>《神界纠纷处理办法》</w:t>
      </w:r>
    </w:p>
    <w:p w14:paraId="56906665">
      <w:pPr>
        <w:pStyle w:val="style0"/>
        <w:spacing w:lineRule="exact" w:line="440"/>
        <w:rPr>
          <w:rFonts w:eastAsia="汉仪劲楷简" w:hAnsi="汉仪劲楷简"/>
          <w:b/>
          <w:bCs/>
          <w:sz w:val="36"/>
          <w:szCs w:val="36"/>
          <w:lang w:val="en-US"/>
        </w:rPr>
      </w:pPr>
    </w:p>
    <w:p w14:paraId="7C909AE5">
      <w:pPr>
        <w:pStyle w:val="style0"/>
        <w:spacing w:lineRule="exact" w:line="440"/>
        <w:rPr>
          <w:rFonts w:eastAsia="汉仪劲楷简" w:hAnsi="汉仪劲楷简"/>
          <w:b/>
          <w:bCs/>
          <w:sz w:val="28"/>
          <w:szCs w:val="28"/>
          <w:lang w:val="en-US"/>
        </w:rPr>
      </w:pPr>
      <w:r>
        <w:rPr>
          <w:rFonts w:eastAsia="汉仪劲楷简" w:hAnsi="汉仪劲楷简"/>
          <w:b/>
          <w:bCs/>
          <w:sz w:val="28"/>
          <w:szCs w:val="28"/>
          <w:lang w:val="en-US"/>
        </w:rPr>
        <w:t>修改日期/生效日期：2025年7月12日</w:t>
      </w:r>
    </w:p>
    <w:p w14:paraId="C838CBE2">
      <w:pPr>
        <w:pStyle w:val="style0"/>
        <w:spacing w:lineRule="exact" w:line="440"/>
        <w:rPr>
          <w:rFonts w:eastAsia="汉仪劲楷简" w:hAnsi="汉仪劲楷简"/>
          <w:b/>
          <w:bCs/>
          <w:sz w:val="28"/>
          <w:szCs w:val="28"/>
          <w:lang w:val="en-US"/>
        </w:rPr>
      </w:pPr>
      <w:r>
        <w:rPr>
          <w:rFonts w:eastAsia="汉仪劲楷简" w:hAnsi="汉仪劲楷简"/>
          <w:b/>
          <w:bCs/>
          <w:sz w:val="28"/>
          <w:szCs w:val="28"/>
          <w:lang w:val="en-US"/>
        </w:rPr>
        <w:t>出版：秋风Auting</w:t>
      </w:r>
    </w:p>
    <w:p w14:paraId="92E3E5AA">
      <w:pPr>
        <w:pStyle w:val="style0"/>
        <w:spacing w:lineRule="exact" w:line="440"/>
        <w:rPr>
          <w:rFonts w:eastAsia="汉仪劲楷简" w:hAnsi="汉仪劲楷简"/>
          <w:b/>
          <w:bCs/>
          <w:sz w:val="28"/>
          <w:szCs w:val="28"/>
          <w:lang w:val="en-US"/>
        </w:rPr>
      </w:pPr>
      <w:r>
        <w:rPr>
          <w:rFonts w:eastAsia="汉仪劲楷简" w:hAnsi="汉仪劲楷简"/>
          <w:b/>
          <w:bCs/>
          <w:sz w:val="28"/>
          <w:szCs w:val="28"/>
          <w:lang w:val="en-US"/>
        </w:rPr>
        <w:t>审核：神界内阁</w:t>
      </w:r>
    </w:p>
    <w:p w14:paraId="06CACF0D">
      <w:pPr>
        <w:pStyle w:val="style0"/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本案根据2501号议案审核通过准许发布使用。</w:t>
      </w:r>
    </w:p>
    <w:p w14:paraId="5D383192">
      <w:pPr>
        <w:pStyle w:val="style0"/>
        <w:spacing w:lineRule="exact" w:line="440"/>
        <w:rPr>
          <w:rFonts w:eastAsia="汉仪劲楷简" w:hAnsi="汉仪劲楷简"/>
          <w:b/>
          <w:bCs/>
          <w:sz w:val="30"/>
          <w:szCs w:val="30"/>
        </w:rPr>
      </w:pPr>
    </w:p>
    <w:p w14:paraId="BB4AB824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/>
          <w:bCs/>
          <w:sz w:val="32"/>
          <w:szCs w:val="32"/>
        </w:rPr>
      </w:pPr>
      <w:r>
        <w:rPr>
          <w:rFonts w:eastAsia="汉仪劲楷简" w:hAnsi="汉仪劲楷简"/>
          <w:b/>
          <w:bCs/>
          <w:sz w:val="32"/>
          <w:szCs w:val="32"/>
          <w:lang w:val="en-US"/>
        </w:rPr>
        <w:t>第一章 总则</w:t>
      </w:r>
    </w:p>
    <w:p w14:paraId="17B6E800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1.1本办法依据《神界宪章》及神界推崇的相关精神制定，属于神界规约体系，旨在为下述主体提供正当权益的基本保护：</w:t>
      </w:r>
    </w:p>
    <w:p w14:paraId="4F7348D5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（一）神界圈的正式与观察期成员；</w:t>
      </w:r>
    </w:p>
    <w:p w14:paraId="4AF1B940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（二）与神界圈及圈成员有直接利害关系的法律主体；</w:t>
      </w:r>
    </w:p>
    <w:p w14:paraId="50B5EA64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（三）神界内阁声明的其他主体。</w:t>
      </w:r>
    </w:p>
    <w:p w14:paraId="B291655B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1.2本办法仅适用于受《神界宪章》管辖的自然人和团体，并在神界圈内具有强制力和执行力。</w:t>
      </w:r>
    </w:p>
    <w:p w14:paraId="4AD30777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1.3 经神界临时调解委员组的判决结果仅代表神界内阁的综合观点，不能作为法律实质性判定依据。</w:t>
      </w:r>
    </w:p>
    <w:p w14:paraId="A4253EDA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1.4 涉及下列事项的纠纷，神界内阁不予受理调解启动程序。根据情节严重程度，应根据《中华人民共和国 民事诉讼法》《中华人民共和国 刑事诉讼法》与《中华人民共和国 行政诉讼法》的有关规定，向纠纷方所在人民法院辖区起诉：</w:t>
      </w:r>
    </w:p>
    <w:p w14:paraId="9D5D0555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（一）涉及违法的；</w:t>
      </w:r>
    </w:p>
    <w:p w14:paraId="66B13A2F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（二）神界内阁认为不便调解的事项；</w:t>
      </w:r>
    </w:p>
    <w:p w14:paraId="6E01EAC6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（三）神界内阁声明的其他情形。</w:t>
      </w:r>
    </w:p>
    <w:p w14:paraId="35F9F051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1.5 不服神界临时调解委员组判决的，神界内阁不再受理不服判决的自然人或团体的调解申请。</w:t>
      </w:r>
    </w:p>
    <w:p w14:paraId="1B64EEC2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</w:rPr>
      </w:pPr>
    </w:p>
    <w:p w14:paraId="055100FB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/>
          <w:bCs/>
          <w:sz w:val="32"/>
          <w:szCs w:val="32"/>
          <w:lang w:val="en-US"/>
        </w:rPr>
      </w:pPr>
      <w:r>
        <w:rPr>
          <w:rFonts w:eastAsia="汉仪劲楷简" w:hAnsi="汉仪劲楷简"/>
          <w:b/>
          <w:bCs/>
          <w:sz w:val="32"/>
          <w:szCs w:val="32"/>
          <w:lang w:val="en-US"/>
        </w:rPr>
        <w:t>第二章 判定与组建事项</w:t>
      </w:r>
    </w:p>
    <w:p w14:paraId="50E2176E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2.1 下述情况，应当由秋风与神界内阁组建神界临时调解委员组，进入调解程序：</w:t>
      </w:r>
    </w:p>
    <w:p w14:paraId="FA40F904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（一）受《神界宪章》管辖的自然人或团体向神界内阁提出调解申请的；</w:t>
      </w:r>
    </w:p>
    <w:p w14:paraId="3721D86A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（二）出现违反神界规约的神界圈成员或团体；</w:t>
      </w:r>
    </w:p>
    <w:p w14:paraId="7488AF3B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（三）神界内阁经审理认为应当组建的。</w:t>
      </w:r>
    </w:p>
    <w:p w14:paraId="43CACA0C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2.2 具有2.1所述情形，并进入调解程序的自然人或</w:t>
      </w:r>
      <w:r>
        <w:rPr>
          <w:rFonts w:ascii="汉仪劲楷简" w:cs="汉仪劲楷简" w:eastAsia="汉仪劲楷简" w:hAnsi="汉仪劲楷简" w:hint="eastAsia"/>
          <w:b w:val="false"/>
          <w:bCs w:val="false"/>
          <w:sz w:val="28"/>
          <w:szCs w:val="28"/>
          <w:lang w:val="en-US" w:eastAsia="zh-CN"/>
        </w:rPr>
        <w:t>法人</w:t>
      </w:r>
      <w:r>
        <w:rPr>
          <w:rFonts w:ascii="汉仪劲楷简" w:cs="汉仪劲楷简" w:eastAsia="汉仪劲楷简" w:hAnsi="汉仪劲楷简" w:hint="eastAsia"/>
          <w:b w:val="false"/>
          <w:bCs w:val="false"/>
          <w:sz w:val="28"/>
          <w:szCs w:val="28"/>
          <w:lang w:val="en-US"/>
        </w:rPr>
        <w:t>被称为纠纷人。</w:t>
      </w: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纠纷双方享有同等权利。</w:t>
      </w:r>
    </w:p>
    <w:p w14:paraId="8245BC00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2.3 组建神界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临时调解委员组</w:t>
      </w: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时，其组成人员应按如下设置：</w:t>
      </w:r>
    </w:p>
    <w:p w14:paraId="E380B432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（一）适用简单调解的，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神界临时调解委员组可以仅含调解员；</w:t>
      </w:r>
    </w:p>
    <w:p w14:paraId="A5979CCC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 xml:space="preserve">  （二）</w:t>
      </w: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不适用的，委员组必须包含调解员、公保员（见证人），可以包含书记员。</w:t>
      </w:r>
    </w:p>
    <w:p w14:paraId="437F688E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2.4 如下情形，适用简单调解：</w:t>
      </w:r>
    </w:p>
    <w:p w14:paraId="3AC5DAC2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（一）纠纷事件纠纷人、纠纷诉求及事件过程清晰明了的；</w:t>
      </w:r>
    </w:p>
    <w:p w14:paraId="BA9586A9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（二）神界内阁无法满足2.3（二）所要求的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神界临时调解委员组成员的；</w:t>
      </w:r>
    </w:p>
    <w:p w14:paraId="DADCDCF9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 xml:space="preserve">  （三）纠纷事件涉及纠纷人隐私的；</w:t>
      </w:r>
    </w:p>
    <w:p w14:paraId="023DEF4E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 xml:space="preserve">  （四）纠纷人提出使用简单程序的。</w:t>
      </w:r>
    </w:p>
    <w:p w14:paraId="9B935B05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2.5 单次调解程序应在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神界临时调解委员组组建</w:t>
      </w: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的，能够方便纠纷人调解的线上即时通讯平台进行。</w:t>
      </w:r>
    </w:p>
    <w:p w14:paraId="CA10497A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2.6 在调解开始前，申请纠纷调解的一方，应向调解员提供如下信息：</w:t>
      </w:r>
    </w:p>
    <w:p w14:paraId="02B958DA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（一）需要调解的事项；</w:t>
      </w:r>
    </w:p>
    <w:p w14:paraId="DC946B6A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（二）其他纠纷人（包括纠纷己方与纠纷对方）；</w:t>
      </w:r>
    </w:p>
    <w:p w14:paraId="BF2FF5C4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（三）存在纠纷的客观证明材料；</w:t>
      </w:r>
    </w:p>
    <w:p w14:paraId="5718E283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（四）（可选）初始纠纷诉求。</w:t>
      </w:r>
    </w:p>
    <w:p w14:paraId="76A0F111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2.7 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神界临时调解委员组成员职责</w:t>
      </w: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如下：</w:t>
      </w:r>
    </w:p>
    <w:p w14:paraId="BCA1F79B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（一）调解员主要负责判断纠纷的客观正误事实，并促成或给出处理结果；</w:t>
      </w:r>
    </w:p>
    <w:p w14:paraId="D843C4F0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（二）公保员（见证人）负责纠纷人在促进处理结果形成中的行为担保。在简单程序中，由调解员与调解记录共同形成担保；</w:t>
      </w:r>
    </w:p>
    <w:p w14:paraId="D7C5E28C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（三）书记员负责记录调解过程以及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调解过程的证据（即调解记录）保全，</w:t>
      </w: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并在判决阶段给予判决意见。在简单程序中，调解员需承担书记员责任。</w:t>
      </w:r>
    </w:p>
    <w:p w14:paraId="E4E7C311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2.8 存在下列情形之一的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神界临时调解委员组成员</w:t>
      </w: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，应及时更换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。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调解员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无法更换的，启用</w:t>
      </w: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AI调解程序：</w:t>
      </w:r>
    </w:p>
    <w:p w14:paraId="A9D47272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（一）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纠纷人与神界临时调解委员组存在利害关系的；</w:t>
      </w:r>
    </w:p>
    <w:p w14:paraId="FD14C8D6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 xml:space="preserve">  （二）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神界临时调解委员组认为应当更换的。</w:t>
      </w:r>
    </w:p>
    <w:p w14:paraId="741D5638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2.9 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神界临时调解委员组</w:t>
      </w: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有义务调查纠纷事实，并对纠纷进行初步讨论。</w:t>
      </w:r>
    </w:p>
    <w:p w14:paraId="7BD65B1F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2.10 为确保调解公正公开，纠纷人可至多邀请一名与此纠纷无关的自然人参与纠纷调解，但该自然人不得干扰调解进行和调解结果形成。</w:t>
      </w:r>
    </w:p>
    <w:p w14:paraId="FC98382B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2.11 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神界临时调解委员组应在收到2.6纠纷人提供的完整信息后24小时内，完成2.5条款。</w:t>
      </w:r>
    </w:p>
    <w:p w14:paraId="DC2D661B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</w:rPr>
      </w:pPr>
    </w:p>
    <w:p w14:paraId="D636E928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/>
          <w:bCs/>
          <w:sz w:val="32"/>
          <w:szCs w:val="32"/>
          <w:lang w:val="en-US"/>
        </w:rPr>
      </w:pPr>
      <w:r>
        <w:rPr>
          <w:rFonts w:eastAsia="汉仪劲楷简" w:hAnsi="汉仪劲楷简"/>
          <w:b/>
          <w:bCs/>
          <w:sz w:val="32"/>
          <w:szCs w:val="32"/>
          <w:lang w:val="en-US"/>
        </w:rPr>
        <w:t>第三章 调解进行与后续处理</w:t>
      </w:r>
    </w:p>
    <w:p w14:paraId="651DED98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3.1 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神界临时调解委员组应在完成2.11条款后的10分钟内，对纠纷人进行传唤。纠纷人应在调解开始前告知2.10所提及的自然人</w:t>
      </w:r>
      <w:r>
        <w:rPr>
          <w:rFonts w:cs="Arial" w:eastAsia="汉仪劲楷简" w:hAnsi="汉仪劲楷简" w:hint="eastAsia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及时</w:t>
      </w:r>
      <w:bookmarkStart w:id="0" w:name="_GoBack"/>
      <w:bookmarkEnd w:id="0"/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参加，神界临时调解委员组宣告开始调解后，该自然人不得再加入调解程序。</w:t>
      </w:r>
    </w:p>
    <w:p w14:paraId="71A24280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3.2 违反神界规约的纠纷人，根据神界规约的相关条约就违反情况进行调解与确认。</w:t>
      </w:r>
    </w:p>
    <w:p w14:paraId="4F0F519D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3.3 调解应当遵循平等公正原则，存在2.8所述情形的，纠纷人应在调解开始前向秋风提出，神界临时调解委员会应及时处理并解决。</w:t>
      </w:r>
    </w:p>
    <w:p w14:paraId="81228953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3.4 调解过程中神界临时调解委员组除必要的提问外，不得给予纠纷人任何可能影响调解进行的意见。</w:t>
      </w:r>
    </w:p>
    <w:p w14:paraId="1321EB5A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3.5 纠纷人在形成完整调解结果后即视为调解休止。除神界临时调解委员组认为需要进一步确认的，纠纷人不得在休止程序期问继续调解。</w:t>
      </w:r>
    </w:p>
    <w:p w14:paraId="8638DD2C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3.6 调解休止后，神界临时调解委员组应在12小时内提供判决结果并发送至纠纷调解场所，因不可抗力因素无法即时给出的，应在48小时内完成判决结果的整理，60小时内发送至纠纷调解场所，并告知推迟原因。</w:t>
      </w:r>
    </w:p>
    <w:p w14:paraId="B55E6AB9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3.7 纠纷人应在收到判决结果的1小时内完成判决结果要求的内容，难以完成或无力完成的，神界内阁应提供帮助。逾期未完成的，神界内间应敦促纠纷人尽快完成。</w:t>
      </w:r>
    </w:p>
    <w:p w14:paraId="99B91CC9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3.8 纠纷人自收到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判决结果1小时后开始，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逾期11小时以内的，由神界内阁敦促完成；23小时以内的，由秋风敦促完成，并警告纠纷人逾期未完成的责任后果；超过23小时的，能够由秋风代而完成的简单内容，经告示后直接处理，不能的，在完成前暂时取消其神界圈成员身份。</w:t>
      </w:r>
    </w:p>
    <w:p w14:paraId="2144FEC7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3.9 纠纷人享有提出异议的权力，异议应当在休止期间发起。在收到判决结果后12小时内未提出异议的，视为认同判决结果所述内容，进入3.6所述调解休止程序，结束调解程序。有异议的，应向调解员提出，并进入调解异议程序。</w:t>
      </w:r>
    </w:p>
    <w:p w14:paraId="18EF9F01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3.10 调解异议提出后，判决结果暂缓执行，并告知其他纠纷人。异议声明发出后，根据异议声明决定原判决结果是否生效。</w:t>
      </w:r>
    </w:p>
    <w:p w14:paraId="5BCBA8B6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3.11 异议声明与判决结果具有同等效力，内容冲突的以异议声明为准。</w:t>
      </w:r>
    </w:p>
    <w:p w14:paraId="9EA84639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3.12 异议程序期间重新进入就提出方提出的异议内容进行调解，并解除3.5的发言限制。</w:t>
      </w:r>
    </w:p>
    <w:p w14:paraId="A6D2D5B9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3.13 调解异议程序的调解程序结束后，恢复3.4成立。同时，纠纷人不得再次提起异议声明。</w:t>
      </w:r>
    </w:p>
    <w:p w14:paraId="26760B6C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3.14 调解异议程序的调解程序结束后，按照3.6所述时效规定异议声明发出期限。</w:t>
      </w:r>
    </w:p>
    <w:p w14:paraId="00E9C3AC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3.15 纠纷人完成判决结果或异议声明所定事宜的，视为单次调解程序结束。</w:t>
      </w:r>
    </w:p>
    <w:p w14:paraId="3795FBD7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>3.16 判决书应包含下述内容：</w:t>
      </w:r>
    </w:p>
    <w:p w14:paraId="B17785C7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 xml:space="preserve">  （一）纠纷的内容、事实与客观证明材料；</w:t>
      </w:r>
    </w:p>
    <w:p w14:paraId="85B3E19A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 xml:space="preserve">  （二）判决结果认定的逻辑过程；</w:t>
      </w:r>
    </w:p>
    <w:p w14:paraId="38F65280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 xml:space="preserve">  （三）纠纷人的调解结果；</w:t>
      </w:r>
    </w:p>
    <w:p w14:paraId="FA500D38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 xml:space="preserve">  （四）神界临时调解委员组认为各方应当承担的责任；</w:t>
      </w:r>
    </w:p>
    <w:p w14:paraId="E58AD612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 xml:space="preserve">  （五）参与判决结果制定的法律主体；</w:t>
      </w:r>
    </w:p>
    <w:p w14:paraId="5801DF72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lang w:val="en-US" w:eastAsia="zh-CN"/>
        </w:rPr>
        <w:t xml:space="preserve">  （六）参与调解程序的主体。</w:t>
      </w:r>
    </w:p>
    <w:p w14:paraId="57D66DD5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3.17 异议声明应包含下述内容：</w:t>
      </w:r>
    </w:p>
    <w:p w14:paraId="7DE5B85E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（一）异议原因与内容；</w:t>
      </w:r>
    </w:p>
    <w:p w14:paraId="F138DE14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（二）异议结果认定的逻辑过程；</w:t>
      </w:r>
    </w:p>
    <w:p w14:paraId="832D122B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（三）纠纷人的调解结果；</w:t>
      </w:r>
    </w:p>
    <w:p w14:paraId="8211ABBC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（四）重新调解后神界临时调解委员组认为各方应当承担的责任；</w:t>
      </w:r>
    </w:p>
    <w:p w14:paraId="24EFC83B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（五）参与异议结果制定的法律主体；</w:t>
      </w:r>
    </w:p>
    <w:p w14:paraId="AB38D4B7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（六）参与异议程序的主体。</w:t>
      </w:r>
    </w:p>
    <w:p w14:paraId="0EA2F344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3.18 AI调解程序，意指上文所提及的情形中启用的非人工特殊调解程序。除上文所提及的情形外，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神界临时调解委员组不得启用AI调解程序。</w:t>
      </w:r>
    </w:p>
    <w:p w14:paraId="36C10233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3.19 AI调解程序启动后，</w:t>
      </w: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神界临时调解委员组应根据调解复杂程度、纠纷人意愿等，确定如下信息：</w:t>
      </w:r>
    </w:p>
    <w:p w14:paraId="6B3E9519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 xml:space="preserve">  （一）调解所需的AI；</w:t>
      </w:r>
    </w:p>
    <w:p w14:paraId="B653FE24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 xml:space="preserve">  （二）调解员了解的基本信息。</w:t>
      </w:r>
    </w:p>
    <w:p w14:paraId="E8458880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3.20 AI调解程序中所使用的AI，应经市场验证，符合社会主义核心价值观，满足客观性、中立性、理性等调解要素。不得使用不满本款规定的AI。</w:t>
      </w:r>
    </w:p>
    <w:p w14:paraId="A206D79E">
      <w:pPr>
        <w:pStyle w:val="style0"/>
        <w:numPr>
          <w:ilvl w:val="0"/>
          <w:numId w:val="0"/>
        </w:numPr>
        <w:spacing w:lineRule="exact" w:line="440"/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3.21 AI调解程序中，仅允许调解员被替换为AI，书记员除满足AI与纠纷人的沟通工作外，不得与使用的AI在此轮对话中进行任何可能影响调解结果形成的行为。</w:t>
      </w:r>
    </w:p>
    <w:p w14:paraId="5BA86CF8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ascii="Calibri" w:cs="Arial" w:eastAsia="汉仪劲楷简" w:hAnsi="汉仪劲楷简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ar-SA" w:eastAsia="zh-CN"/>
        </w:rPr>
        <w:t>3.22 AI调解程序的最终结果（包括初步的判决书或异议声明）应由书记员将AI调解记录发送给公保员，由公保员形成最终判决书或异议声明。</w:t>
      </w:r>
    </w:p>
    <w:p w14:paraId="6D56FC77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</w:rPr>
      </w:pPr>
    </w:p>
    <w:p w14:paraId="DF8E70C3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/>
          <w:bCs/>
          <w:sz w:val="32"/>
          <w:szCs w:val="32"/>
          <w:lang w:val="en-US"/>
        </w:rPr>
      </w:pPr>
      <w:r>
        <w:rPr>
          <w:rFonts w:eastAsia="汉仪劲楷简" w:hAnsi="汉仪劲楷简"/>
          <w:b/>
          <w:bCs/>
          <w:sz w:val="32"/>
          <w:szCs w:val="32"/>
          <w:lang w:val="en-US"/>
        </w:rPr>
        <w:t>第四章 处罚限度</w:t>
      </w:r>
    </w:p>
    <w:p w14:paraId="D62D84BF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4.1 处罚仅适用与于3.2所述条款情况，并应由神界临时调解委员组作出处罚决定。</w:t>
      </w:r>
    </w:p>
    <w:p w14:paraId="CB49CA69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4.2 处罚方式包含下述的一项或多项：</w:t>
      </w:r>
    </w:p>
    <w:p w14:paraId="F811DA68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（一）要求停止某一行为；</w:t>
      </w:r>
    </w:p>
    <w:p w14:paraId="9950C84F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（二）告示；</w:t>
      </w:r>
    </w:p>
    <w:p w14:paraId="3DBA8BAF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（三）警告；</w:t>
      </w:r>
    </w:p>
    <w:p w14:paraId="24D5C52B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（四）公开声明某一事项；</w:t>
      </w:r>
    </w:p>
    <w:p w14:paraId="410C4158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（五）禁言；</w:t>
      </w:r>
    </w:p>
    <w:p w14:paraId="36344EBD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（六）移除某一区域论坛群的某一入群账号；</w:t>
      </w:r>
    </w:p>
    <w:p w14:paraId="9CAAF16B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（七）移除神界圈成员身份；</w:t>
      </w:r>
    </w:p>
    <w:p w14:paraId="CA214779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  <w:lang w:val="en-US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 xml:space="preserve">  （八）经神界内阁审理许可的其他处罚方式。</w:t>
      </w:r>
    </w:p>
    <w:p w14:paraId="25E11CF1">
      <w:pPr>
        <w:pStyle w:val="style0"/>
        <w:numPr>
          <w:ilvl w:val="0"/>
          <w:numId w:val="0"/>
        </w:numPr>
        <w:spacing w:lineRule="exact" w:line="440"/>
        <w:rPr>
          <w:rFonts w:eastAsia="汉仪劲楷简" w:hAnsi="汉仪劲楷简"/>
          <w:b w:val="false"/>
          <w:bCs w:val="false"/>
          <w:sz w:val="28"/>
          <w:szCs w:val="28"/>
        </w:rPr>
      </w:pPr>
      <w:r>
        <w:rPr>
          <w:rFonts w:eastAsia="汉仪劲楷简" w:hAnsi="汉仪劲楷简"/>
          <w:b w:val="false"/>
          <w:bCs w:val="false"/>
          <w:sz w:val="28"/>
          <w:szCs w:val="28"/>
          <w:lang w:val="en-US"/>
        </w:rPr>
        <w:t>4.3 处罚内容纠纷人无法自行完成的，引用3.7所述条款。</w:t>
      </w:r>
    </w:p>
    <w:sectPr>
      <w:pgSz w:w="11906" w:h="16838" w:orient="portrait"/>
      <w:pgMar w:top="1144" w:right="1148" w:bottom="1136" w:left="11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汉仪劲楷简">
    <w:altName w:val="汉仪劲楷简"/>
    <w:panose1 w:val="02020603050000020304"/>
    <w:charset w:val="00"/>
    <w:family w:val="roman"/>
    <w:pitch w:val="default"/>
    <w:sig w:usb0="00000000" w:usb1="00000000" w:usb2="00000008" w:usb3="00000000" w:csb0="000001FF" w:csb1="00000000"/>
  </w:font>
  <w:font w:name="汉仪粗仿宋简">
    <w:altName w:val="汉仪粗仿宋简"/>
    <w:panose1 w:val="02010600000000010101"/>
    <w:charset w:val="86"/>
    <w:family w:val="auto"/>
    <w:pitch w:val="default"/>
    <w:sig w:usb0="00000001" w:usb1="080E0800" w:usb2="00000002" w:usb3="00000000" w:csb0="00040000" w:csb1="00000000"/>
  </w:font>
  <w:font w:name="华文中宋">
    <w:altName w:val="华文中宋"/>
    <w:panose1 w:val="02010600040000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Words>2938</Words>
  <Pages>4</Pages>
  <Characters>3098</Characters>
  <Application>WPS Office</Application>
  <Paragraphs>101</Paragraphs>
  <ScaleCrop>false</ScaleCrop>
  <LinksUpToDate>false</LinksUpToDate>
  <CharactersWithSpaces>3236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2025-04-17T15:56:00Z</dcterms:created>
  <dc:creator>2312DRA50C</dc:creator>
  <lastModifiedBy>23073RPBFC</lastModifiedBy>
  <dcterms:modified xsi:type="dcterms:W3CDTF">2025-07-12T09:50:46Z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867f460cdaf54ed8aa4f50c3f2b7598f_23</vt:lpwstr>
  </property>
  <property fmtid="{D5CDD505-2E9C-101B-9397-08002B2CF9AE}" pid="3" name="KSOTemplateDocerSaveRecord">
    <vt:lpwstr>eyJoZGlkIjoiMDhmOGNlNTgwZDFkMzc5OGJlMTU4YThmYjA4YTE4YjYiLCJ1c2VySWQiOiIxMzk2OTY4MDEwIn0=</vt:lpwstr>
  </property>
  <property fmtid="{D5CDD505-2E9C-101B-9397-08002B2CF9AE}" pid="4" name="KSOProductBuildVer">
    <vt:lpwstr>2052-12.1.0.21171</vt:lpwstr>
  </property>
</Properties>
</file>