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2024-06-26</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8"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 {{something about shift from behavioral description to internal}}</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 {{move these citations to where they belong}}</w:t>
      </w:r>
    </w:p>
    <w:p>
      <w:pPr>
        <w:numPr>
          <w:ilvl w:val="0"/>
          <w:numId w:val="1002"/>
        </w:numPr>
      </w:pPr>
      <w:r>
        <w:rPr>
          <w:b/>
          <w:bCs/>
        </w:rPr>
        <w:t xml:space="preserve">Lifelong Condition:</w:t>
      </w:r>
    </w:p>
    <w:p>
      <w:pPr>
        <w:numPr>
          <w:ilvl w:val="0"/>
          <w:numId w:val="1000"/>
        </w:numPr>
      </w:pPr>
      <w:r>
        <w:t xml:space="preserve">Autism is developmental. Autistic people carry their neurological and physiological differences through their entire lives. While society has been hyper-focused on autism in children, autism is not new to the human race. There are four times as many adults as children, so there are four times as many autistic adults as there are autistic children. {{citations}} {{something else about focus on children}}</w:t>
      </w:r>
    </w:p>
    <w:p>
      <w:pPr>
        <w:numPr>
          <w:ilvl w:val="0"/>
          <w:numId w:val="1002"/>
        </w:numPr>
      </w:pPr>
      <w:r>
        <w:rPr>
          <w:b/>
          <w:bCs/>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p>
    <w:p>
      <w:pPr>
        <w:numPr>
          <w:ilvl w:val="0"/>
          <w:numId w:val="1000"/>
        </w:numPr>
      </w:pPr>
      <w:r>
        <w:t xml:space="preserve">New research has refuted many harmful misconceptions about autism. Some autistic people do have accompanying conditions that can result in problems with body awareness, identifying their emotional state, or using speech. However, autistic people do not intrinsically lack feelings, empathy, social skills, or the ability to communicate. {{citations}}</w:t>
      </w:r>
    </w:p>
    <w:p>
      <w:pPr>
        <w:numPr>
          <w:ilvl w:val="0"/>
          <w:numId w:val="1000"/>
        </w:numPr>
      </w:pPr>
      <w:r>
        <w:t xml:space="preserve">Also, by the most current estimates, less than 1/3 of autistic people have intellectual or cognitive difficulties. Many autistic people who are unable to speak (for one or more reasons) do have language skills and can be competent writers and speakers with assistive technology. {{citations}}</w:t>
      </w:r>
    </w:p>
    <w:p>
      <w:pPr>
        <w:numPr>
          <w:ilvl w:val="0"/>
          <w:numId w:val="1003"/>
        </w:numPr>
      </w:pPr>
      <w:r>
        <w:rPr>
          <w:b/>
          <w:bCs/>
        </w:rPr>
        <w:t xml:space="preserve">Disability can be Contextual:</w:t>
      </w:r>
    </w:p>
    <w:p>
      <w:pPr>
        <w:numPr>
          <w:ilvl w:val="0"/>
          <w:numId w:val="1000"/>
        </w:numPr>
      </w:pPr>
      <w:r>
        <w:t xml:space="preserve">Most autistic individuals are not intellectually or physically disabled but face substantial challenges navigating a neurotypical world. It can feel like being a left-handed person using right-handed scissors: difficult and unwieldy at best. {{something about not wanting to be cured just have life easier}} {{citations}}</w:t>
      </w:r>
    </w:p>
    <w:p>
      <w:pPr>
        <w:numPr>
          <w:ilvl w:val="0"/>
          <w:numId w:val="1003"/>
        </w:numPr>
      </w:pPr>
      <w:r>
        <w:rPr>
          <w:b/>
          <w:bCs/>
        </w:rPr>
        <w:t xml:space="preserve">Not Just in the Brain:</w:t>
      </w:r>
    </w:p>
    <w:p>
      <w:pPr>
        <w:numPr>
          <w:ilvl w:val="0"/>
          <w:numId w:val="1000"/>
        </w:numPr>
      </w:pPr>
      <w:r>
        <w:t xml:space="preserve">Autism frequently comes with physiological differences that are just beginning to be understood and studied. Autistic people may experience higher or lower risk for certain diseases and conditions as well as different levels of physical abilities like flexibility. Many autistic people experience pain and other sensations differently. {{citations}} Few doctors are aware of these issues, and most are poorly trained in most aspects of supporting autistic patients. {{citations}}</w:t>
      </w:r>
    </w:p>
    <w:p>
      <w:pPr>
        <w:numPr>
          <w:ilvl w:val="0"/>
          <w:numId w:val="1003"/>
        </w:numPr>
      </w:pPr>
      <w:r>
        <w:rPr>
          <w:b/>
          <w:bCs/>
        </w:rPr>
        <w:t xml:space="preserve">Double Empathy:</w:t>
      </w:r>
    </w:p>
    <w:p>
      <w:pPr>
        <w:numPr>
          <w:ilvl w:val="0"/>
          <w:numId w:val="1000"/>
        </w:numPr>
      </w:pPr>
      <w:r>
        <w:t xml:space="preserve">{{Describe double empathy with citations}}</w:t>
      </w:r>
    </w:p>
    <w:p>
      <w:pPr>
        <w:numPr>
          <w:ilvl w:val="0"/>
          <w:numId w:val="1003"/>
        </w:numPr>
      </w:pPr>
      <w:r>
        <w:rPr>
          <w:b/>
          <w:bCs/>
        </w:rPr>
        <w:t xml:space="preserve">The True Challenges:</w:t>
      </w:r>
    </w:p>
    <w:p>
      <w:pPr>
        <w:numPr>
          <w:ilvl w:val="0"/>
          <w:numId w:val="1000"/>
        </w:numPr>
      </w:pP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9</w:t>
        </w:r>
      </w:hyperlink>
      <w:r>
        <w:rPr>
          <w:vertAlign w:val="superscript"/>
        </w:rPr>
        <w:t xml:space="preserve">–</w:t>
      </w:r>
      <w:hyperlink w:anchor="ref-Praslova2021">
        <w:r>
          <w:rPr>
            <w:rStyle w:val="Hyperlink"/>
            <w:vertAlign w:val="superscript"/>
          </w:rPr>
          <w:t xml:space="preserve">15</w:t>
        </w:r>
      </w:hyperlink>
      <w:r>
        <w:t xml:space="preserve">. Research backs this up, indicating that discrimination, not autism, is a significant barrier in society</w:t>
      </w:r>
      <w:hyperlink w:anchor="ref-Han2021">
        <w:r>
          <w:rPr>
            <w:rStyle w:val="Hyperlink"/>
            <w:vertAlign w:val="superscript"/>
          </w:rPr>
          <w:t xml:space="preserve">16</w:t>
        </w:r>
      </w:hyperlink>
      <w:r>
        <w:t xml:space="preserve">, especially in the workplace</w:t>
      </w:r>
      <w:hyperlink w:anchor="ref-Raymaker2020">
        <w:r>
          <w:rPr>
            <w:rStyle w:val="Hyperlink"/>
            <w:vertAlign w:val="superscript"/>
          </w:rPr>
          <w:t xml:space="preserve">17</w:t>
        </w:r>
      </w:hyperlink>
      <w:r>
        <w:rPr>
          <w:vertAlign w:val="superscript"/>
        </w:rPr>
        <w:t xml:space="preserve">,</w:t>
      </w:r>
      <w:hyperlink w:anchor="ref-Roux2023">
        <w:r>
          <w:rPr>
            <w:rStyle w:val="Hyperlink"/>
            <w:vertAlign w:val="superscript"/>
          </w:rPr>
          <w:t xml:space="preserve">18</w:t>
        </w:r>
      </w:hyperlink>
      <w:r>
        <w:t xml:space="preserve">.</w:t>
      </w:r>
    </w:p>
    <w:p>
      <w:pPr>
        <w:numPr>
          <w:ilvl w:val="0"/>
          <w:numId w:val="1003"/>
        </w:numPr>
      </w:pPr>
      <w:r>
        <w:rPr>
          <w:b/>
          <w:bCs/>
        </w:rPr>
        <w:t xml:space="preserve">Neurodiversity &amp; Neurodivergence:</w:t>
      </w:r>
    </w:p>
    <w:p>
      <w:pPr>
        <w:numPr>
          <w:ilvl w:val="0"/>
          <w:numId w:val="1000"/>
        </w:numPr>
      </w:pP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w:t>
      </w:r>
    </w:p>
    <w:bookmarkEnd w:id="35"/>
    <w:bookmarkStart w:id="36" w:name="sec-autism2024_lost_gen"/>
    <w:p>
      <w:pPr>
        <w:pStyle w:val="Heading2"/>
      </w:pPr>
      <w:r>
        <w:t xml:space="preserve">Lost Generations of Autistic Adults</w:t>
      </w:r>
    </w:p>
    <w:p>
      <w:pPr>
        <w:pStyle w:val="FirstParagraph"/>
      </w:pPr>
      <w:r>
        <w:t xml:space="preserve">Research and services have predominantly focused on children and neglected the needs of adults, especially those of us without profound disabilities. Society has failed, and continues to fail, to adequately study autistic life after high school when children lose many supports. {{citation}}</w:t>
      </w:r>
    </w:p>
    <w:p>
      <w:pPr>
        <w:pStyle w:val="BodyText"/>
      </w:pPr>
      <w:r>
        <w:t xml:space="preserve">Despite these challenges, many autistic adults possess valuable skills, talents, and perspectives that society misses out on by not acknowledging their needs, hearing their voices, and making room for them at the table. {{citation}}</w:t>
      </w:r>
    </w:p>
    <w:bookmarkEnd w:id="36"/>
    <w:bookmarkStart w:id="37"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However, autistic adults without intellectual disabilities often lack access to appropriate healthcare and support services, if they even exist. {{citation}}</w:t>
      </w:r>
    </w:p>
    <w:p>
      <w:pPr>
        <w:pStyle w:val="BodyText"/>
      </w:pPr>
      <w:r>
        <w:t xml:space="preserve">Autistic adults perceived as having lower support needs face a conundrum. While we rarely qualify for existing systems of support, most face significant challenges that are often overlooked, dismissed, or disbelieved. {{citation}}</w:t>
      </w:r>
    </w:p>
    <w:bookmarkEnd w:id="37"/>
    <w:bookmarkEnd w:id="38"/>
    <w:bookmarkStart w:id="43" w:name="sec-aagu"/>
    <w:p>
      <w:pPr>
        <w:pStyle w:val="Heading1"/>
      </w:pPr>
      <w:r>
        <w:t xml:space="preserve">Autism All Grown Up (AAGU): A Nexus for Change</w:t>
      </w:r>
    </w:p>
    <w:bookmarkStart w:id="39"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39"/>
    <w:bookmarkStart w:id="40"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0"/>
    <w:bookmarkStart w:id="41"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1"/>
    <w:bookmarkStart w:id="42"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rPr>
          <w:rStyle w:val="VerbatimChar"/>
        </w:rPr>
        <w:t xml:space="preserve">sprout_per_week</w:t>
      </w:r>
      <w:r>
        <w:t xml:space="preserve">/week,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2"/>
    <w:bookmarkEnd w:id="43"/>
    <w:bookmarkStart w:id="44"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4"/>
    <w:bookmarkStart w:id="49"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5">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phase"/>
    <w:p>
      <w:pPr>
        <w:pStyle w:val="Heading2"/>
      </w:pPr>
      <w:r>
        <w:t xml:space="preserve">Seed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6"/>
    <w:bookmarkStart w:id="47" w:name="sprout-phase"/>
    <w:p>
      <w:pPr>
        <w:pStyle w:val="Heading2"/>
      </w:pPr>
      <w:r>
        <w:t xml:space="preserve">Sprout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7"/>
    <w:bookmarkStart w:id="48" w:name="grow-phase"/>
    <w:p>
      <w:pPr>
        <w:pStyle w:val="Heading2"/>
      </w:pPr>
      <w:r>
        <w:t xml:space="preserve">Grow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18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146,322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8"/>
    <w:bookmarkEnd w:id="49"/>
    <w:bookmarkStart w:id="111" w:name="sec-references"/>
    <w:p>
      <w:pPr>
        <w:pStyle w:val="Heading1"/>
      </w:pPr>
      <w:r>
        <w:t xml:space="preserve">References</w:t>
      </w:r>
    </w:p>
    <w:bookmarkStart w:id="110" w:name="refs"/>
    <w:bookmarkStart w:id="51"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0">
        <w:r>
          <w:rPr>
            <w:rStyle w:val="Hyperlink"/>
          </w:rPr>
          <w:t xml:space="preserve">10.1016/j.rasd.2019.02.007</w:t>
        </w:r>
      </w:hyperlink>
    </w:p>
    <w:bookmarkEnd w:id="51"/>
    <w:bookmarkStart w:id="53"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2">
        <w:r>
          <w:rPr>
            <w:rStyle w:val="Hyperlink"/>
          </w:rPr>
          <w:t xml:space="preserve">10.1002/aur.2534</w:t>
        </w:r>
      </w:hyperlink>
    </w:p>
    <w:bookmarkEnd w:id="53"/>
    <w:bookmarkStart w:id="55"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4">
        <w:r>
          <w:rPr>
            <w:rStyle w:val="Hyperlink"/>
          </w:rPr>
          <w:t xml:space="preserve">https://www.theatlantic.com/health/archive/2015/12/the-lost-adults-with-autism/419511/</w:t>
        </w:r>
      </w:hyperlink>
    </w:p>
    <w:bookmarkEnd w:id="55"/>
    <w:bookmarkStart w:id="57"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6">
        <w:r>
          <w:rPr>
            <w:rStyle w:val="Hyperlink"/>
          </w:rPr>
          <w:t xml:space="preserve">10.1192/bjo.2023.13</w:t>
        </w:r>
      </w:hyperlink>
    </w:p>
    <w:bookmarkEnd w:id="57"/>
    <w:bookmarkStart w:id="59"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8">
        <w:r>
          <w:rPr>
            <w:rStyle w:val="Hyperlink"/>
          </w:rPr>
          <w:t xml:space="preserve">10.1016/S2215-0366(15)00277-1</w:t>
        </w:r>
      </w:hyperlink>
    </w:p>
    <w:bookmarkEnd w:id="59"/>
    <w:bookmarkStart w:id="61"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0">
        <w:r>
          <w:rPr>
            <w:rStyle w:val="Hyperlink"/>
          </w:rPr>
          <w:t xml:space="preserve">10.1089/aut.2021.0041</w:t>
        </w:r>
      </w:hyperlink>
    </w:p>
    <w:bookmarkEnd w:id="61"/>
    <w:bookmarkStart w:id="63"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2">
        <w:r>
          <w:rPr>
            <w:rStyle w:val="Hyperlink"/>
          </w:rPr>
          <w:t xml:space="preserve">https://autisticadvocacy.org/about-asan/about-autism/</w:t>
        </w:r>
      </w:hyperlink>
    </w:p>
    <w:bookmarkEnd w:id="63"/>
    <w:bookmarkStart w:id="65"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4">
        <w:r>
          <w:rPr>
            <w:rStyle w:val="Hyperlink"/>
          </w:rPr>
          <w:t xml:space="preserve">https://www.wellandgood.com/autism-myths/</w:t>
        </w:r>
      </w:hyperlink>
    </w:p>
    <w:bookmarkEnd w:id="65"/>
    <w:bookmarkStart w:id="67" w:name="ref-Sasson2017"/>
    <w:p>
      <w:pPr>
        <w:pStyle w:val="Bibliography"/>
      </w:pPr>
      <w:r>
        <w:t xml:space="preserve">9.</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66">
        <w:r>
          <w:rPr>
            <w:rStyle w:val="Hyperlink"/>
          </w:rPr>
          <w:t xml:space="preserve">10.1038/srep40700</w:t>
        </w:r>
      </w:hyperlink>
    </w:p>
    <w:bookmarkEnd w:id="67"/>
    <w:bookmarkStart w:id="69" w:name="ref-Tobin2014"/>
    <w:p>
      <w:pPr>
        <w:pStyle w:val="Bibliography"/>
      </w:pPr>
      <w:r>
        <w:t xml:space="preserve">10.</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68">
        <w:r>
          <w:rPr>
            <w:rStyle w:val="Hyperlink"/>
          </w:rPr>
          <w:t xml:space="preserve">10.1016/j.rasd.2013.12.002</w:t>
        </w:r>
      </w:hyperlink>
    </w:p>
    <w:bookmarkEnd w:id="69"/>
    <w:bookmarkStart w:id="71" w:name="ref-Mantzalas2022"/>
    <w:p>
      <w:pPr>
        <w:pStyle w:val="Bibliography"/>
      </w:pPr>
      <w:r>
        <w:t xml:space="preserve">11.</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70">
        <w:r>
          <w:rPr>
            <w:rStyle w:val="Hyperlink"/>
          </w:rPr>
          <w:t xml:space="preserve">10.1089/aut.2021.0021</w:t>
        </w:r>
      </w:hyperlink>
    </w:p>
    <w:bookmarkEnd w:id="71"/>
    <w:bookmarkStart w:id="73" w:name="ref-Black2020"/>
    <w:p>
      <w:pPr>
        <w:pStyle w:val="Bibliography"/>
      </w:pPr>
      <w:r>
        <w:t xml:space="preserve">12.</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72">
        <w:r>
          <w:rPr>
            <w:rStyle w:val="Hyperlink"/>
          </w:rPr>
          <w:t xml:space="preserve">10.1002/aur.2288</w:t>
        </w:r>
      </w:hyperlink>
    </w:p>
    <w:bookmarkEnd w:id="73"/>
    <w:bookmarkStart w:id="75" w:name="ref-Cage2019"/>
    <w:p>
      <w:pPr>
        <w:pStyle w:val="Bibliography"/>
      </w:pPr>
      <w:r>
        <w:t xml:space="preserve">13.</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74">
        <w:r>
          <w:rPr>
            <w:rStyle w:val="Hyperlink"/>
          </w:rPr>
          <w:t xml:space="preserve">10.1177/1362361318811290</w:t>
        </w:r>
      </w:hyperlink>
    </w:p>
    <w:bookmarkEnd w:id="75"/>
    <w:bookmarkStart w:id="77" w:name="ref-Bachmann2019"/>
    <w:p>
      <w:pPr>
        <w:pStyle w:val="Bibliography"/>
      </w:pPr>
      <w:r>
        <w:t xml:space="preserve">14.</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76">
        <w:r>
          <w:rPr>
            <w:rStyle w:val="Hyperlink"/>
          </w:rPr>
          <w:t xml:space="preserve">10.1016/j.psychres.2019.04.023</w:t>
        </w:r>
      </w:hyperlink>
    </w:p>
    <w:bookmarkEnd w:id="77"/>
    <w:bookmarkStart w:id="78" w:name="ref-Praslova2021"/>
    <w:p>
      <w:pPr>
        <w:pStyle w:val="Bibliography"/>
      </w:pPr>
      <w:r>
        <w:t xml:space="preserve">15.</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78"/>
    <w:bookmarkStart w:id="80" w:name="ref-Han2021"/>
    <w:p>
      <w:pPr>
        <w:pStyle w:val="Bibliography"/>
      </w:pPr>
      <w:r>
        <w:t xml:space="preserve">16.</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79">
        <w:r>
          <w:rPr>
            <w:rStyle w:val="Hyperlink"/>
          </w:rPr>
          <w:t xml:space="preserve">10.1002/aur.2652</w:t>
        </w:r>
      </w:hyperlink>
    </w:p>
    <w:bookmarkEnd w:id="80"/>
    <w:bookmarkStart w:id="82" w:name="ref-Raymaker2020"/>
    <w:p>
      <w:pPr>
        <w:pStyle w:val="Bibliography"/>
      </w:pPr>
      <w:r>
        <w:t xml:space="preserve">17.</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81">
        <w:r>
          <w:rPr>
            <w:rStyle w:val="Hyperlink"/>
          </w:rPr>
          <w:t xml:space="preserve">10.1089/aut.2019.0079</w:t>
        </w:r>
      </w:hyperlink>
    </w:p>
    <w:bookmarkEnd w:id="82"/>
    <w:bookmarkStart w:id="84" w:name="ref-Roux2023"/>
    <w:p>
      <w:pPr>
        <w:pStyle w:val="Bibliography"/>
      </w:pPr>
      <w:r>
        <w:t xml:space="preserve">18.</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83">
        <w:r>
          <w:rPr>
            <w:rStyle w:val="Hyperlink"/>
          </w:rPr>
          <w:t xml:space="preserve">10.1111/1468-0009.12666</w:t>
        </w:r>
      </w:hyperlink>
    </w:p>
    <w:bookmarkEnd w:id="84"/>
    <w:bookmarkStart w:id="86" w:name="ref-Fombonne2022"/>
    <w:p>
      <w:pPr>
        <w:pStyle w:val="Bibliography"/>
      </w:pPr>
      <w:r>
        <w:t xml:space="preserve">19.</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85">
        <w:r>
          <w:rPr>
            <w:rStyle w:val="Hyperlink"/>
          </w:rPr>
          <w:t xml:space="preserve">10.1007/s10803-021-05019-3</w:t>
        </w:r>
      </w:hyperlink>
    </w:p>
    <w:bookmarkEnd w:id="86"/>
    <w:bookmarkStart w:id="88" w:name="ref-Angell2018"/>
    <w:p>
      <w:pPr>
        <w:pStyle w:val="Bibliography"/>
      </w:pPr>
      <w:r>
        <w:t xml:space="preserve">20.</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87">
        <w:r>
          <w:rPr>
            <w:rStyle w:val="Hyperlink"/>
          </w:rPr>
          <w:t xml:space="preserve">10.1016/bs.irrdd.2018.08.003</w:t>
        </w:r>
      </w:hyperlink>
    </w:p>
    <w:bookmarkEnd w:id="88"/>
    <w:bookmarkStart w:id="90" w:name="ref-DMello2022"/>
    <w:p>
      <w:pPr>
        <w:pStyle w:val="Bibliography"/>
      </w:pPr>
      <w:r>
        <w:t xml:space="preserve">21.</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89">
        <w:r>
          <w:rPr>
            <w:rStyle w:val="Hyperlink"/>
          </w:rPr>
          <w:t xml:space="preserve">10.1002/aur.2795</w:t>
        </w:r>
      </w:hyperlink>
    </w:p>
    <w:bookmarkEnd w:id="90"/>
    <w:bookmarkStart w:id="92" w:name="ref-George2018a"/>
    <w:p>
      <w:pPr>
        <w:pStyle w:val="Bibliography"/>
      </w:pPr>
      <w:r>
        <w:t xml:space="preserve">22.</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91">
        <w:r>
          <w:rPr>
            <w:rStyle w:val="Hyperlink"/>
          </w:rPr>
          <w:t xml:space="preserve">10.1002/aur.1892</w:t>
        </w:r>
      </w:hyperlink>
    </w:p>
    <w:bookmarkEnd w:id="92"/>
    <w:bookmarkStart w:id="94" w:name="ref-George2018"/>
    <w:p>
      <w:pPr>
        <w:pStyle w:val="Bibliography"/>
      </w:pPr>
      <w:r>
        <w:t xml:space="preserve">23.</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93">
        <w:r>
          <w:rPr>
            <w:rStyle w:val="Hyperlink"/>
          </w:rPr>
          <w:t xml:space="preserve">10.1177/1362361317714587</w:t>
        </w:r>
      </w:hyperlink>
    </w:p>
    <w:bookmarkEnd w:id="94"/>
    <w:bookmarkStart w:id="96" w:name="ref-Loomes2017"/>
    <w:p>
      <w:pPr>
        <w:pStyle w:val="Bibliography"/>
      </w:pPr>
      <w:r>
        <w:t xml:space="preserve">24.</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95">
        <w:r>
          <w:rPr>
            <w:rStyle w:val="Hyperlink"/>
          </w:rPr>
          <w:t xml:space="preserve">10.1016/j.jaac.2017.03.013</w:t>
        </w:r>
      </w:hyperlink>
    </w:p>
    <w:bookmarkEnd w:id="96"/>
    <w:bookmarkStart w:id="98" w:name="ref-LodiSmith2021"/>
    <w:p>
      <w:pPr>
        <w:pStyle w:val="Bibliography"/>
      </w:pPr>
      <w:r>
        <w:t xml:space="preserve">25.</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97">
        <w:r>
          <w:rPr>
            <w:rStyle w:val="Hyperlink"/>
          </w:rPr>
          <w:t xml:space="preserve">10.1037/pag0000446</w:t>
        </w:r>
      </w:hyperlink>
    </w:p>
    <w:bookmarkEnd w:id="98"/>
    <w:bookmarkStart w:id="100" w:name="ref-LodiSmith2021a"/>
    <w:p>
      <w:pPr>
        <w:pStyle w:val="Bibliography"/>
      </w:pPr>
      <w:r>
        <w:t xml:space="preserve">26.</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99">
        <w:r>
          <w:rPr>
            <w:rStyle w:val="Hyperlink"/>
          </w:rPr>
          <w:t xml:space="preserve">10.1089/aut.2020.0010</w:t>
        </w:r>
      </w:hyperlink>
    </w:p>
    <w:bookmarkEnd w:id="100"/>
    <w:bookmarkStart w:id="102" w:name="ref-Muskens2017"/>
    <w:p>
      <w:pPr>
        <w:pStyle w:val="Bibliography"/>
      </w:pPr>
      <w:r>
        <w:t xml:space="preserve">27.</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01">
        <w:r>
          <w:rPr>
            <w:rStyle w:val="Hyperlink"/>
          </w:rPr>
          <w:t xml:space="preserve">10.1007/s00787-017-1020-0</w:t>
        </w:r>
      </w:hyperlink>
    </w:p>
    <w:bookmarkEnd w:id="102"/>
    <w:bookmarkStart w:id="104" w:name="ref-Ohl2017"/>
    <w:p>
      <w:pPr>
        <w:pStyle w:val="Bibliography"/>
      </w:pPr>
      <w:r>
        <w:t xml:space="preserve">28.</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03">
        <w:r>
          <w:rPr>
            <w:rStyle w:val="Hyperlink"/>
          </w:rPr>
          <w:t xml:space="preserve">10.3233/WOR-172492</w:t>
        </w:r>
      </w:hyperlink>
    </w:p>
    <w:bookmarkEnd w:id="104"/>
    <w:bookmarkStart w:id="106" w:name="ref-Churchard2019"/>
    <w:p>
      <w:pPr>
        <w:pStyle w:val="Bibliography"/>
      </w:pPr>
      <w:r>
        <w:t xml:space="preserve">29.</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05">
        <w:r>
          <w:rPr>
            <w:rStyle w:val="Hyperlink"/>
          </w:rPr>
          <w:t xml:space="preserve">10.1177/1362361318768484</w:t>
        </w:r>
      </w:hyperlink>
    </w:p>
    <w:bookmarkEnd w:id="106"/>
    <w:bookmarkStart w:id="107" w:name="ref-Kargas2019"/>
    <w:p>
      <w:pPr>
        <w:pStyle w:val="Bibliography"/>
      </w:pPr>
      <w:r>
        <w:t xml:space="preserve">30.</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07"/>
    <w:bookmarkStart w:id="109" w:name="ref-Cassidy2021"/>
    <w:p>
      <w:pPr>
        <w:pStyle w:val="Bibliography"/>
      </w:pPr>
      <w:r>
        <w:t xml:space="preserve">31.</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08">
        <w:r>
          <w:rPr>
            <w:rStyle w:val="Hyperlink"/>
          </w:rPr>
          <w:t xml:space="preserve">10.13140/RG.2.2.16668.82568</w:t>
        </w:r>
      </w:hyperlink>
    </w:p>
    <w:bookmarkEnd w:id="109"/>
    <w:bookmarkEnd w:id="110"/>
    <w:bookmarkEnd w:id="111"/>
    <w:bookmarkStart w:id="129" w:name="special-issues-and-concerns"/>
    <w:p>
      <w:pPr>
        <w:pStyle w:val="Heading1"/>
      </w:pPr>
      <w:r>
        <w:t xml:space="preserve">Special Issues and Concerns</w:t>
      </w:r>
    </w:p>
    <w:bookmarkStart w:id="113"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12">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13"/>
    <w:bookmarkStart w:id="114"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114"/>
    <w:bookmarkStart w:id="115" w:name="sec-training_for_providers"/>
    <w:p>
      <w:pPr>
        <w:pStyle w:val="Heading2"/>
      </w:pPr>
      <w:r>
        <w:t xml:space="preserve">Medical Training</w:t>
      </w:r>
    </w:p>
    <w:p>
      <w:pPr>
        <w:pStyle w:val="FirstParagraph"/>
      </w:pPr>
      <w:r>
        <w:t xml:space="preserve">Lack of training for healthcare providers</w:t>
      </w:r>
    </w:p>
    <w:bookmarkEnd w:id="115"/>
    <w:bookmarkStart w:id="11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117" name="Picture"/>
            <a:graphic>
              <a:graphicData uri="http://schemas.openxmlformats.org/drawingml/2006/picture">
                <pic:pic>
                  <pic:nvPicPr>
                    <pic:cNvPr descr="./media/image1.png" id="118" name="Picture"/>
                    <pic:cNvPicPr>
                      <a:picLocks noChangeArrowheads="1" noChangeAspect="1"/>
                    </pic:cNvPicPr>
                  </pic:nvPicPr>
                  <pic:blipFill>
                    <a:blip r:embed="rId116"/>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119"/>
    <w:bookmarkStart w:id="12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19</w:t>
        </w:r>
      </w:hyperlink>
      <w:r>
        <w:t xml:space="preserve">, particularly in Black communities</w:t>
      </w:r>
      <w:hyperlink w:anchor="ref-Angell2018">
        <w:r>
          <w:rPr>
            <w:rStyle w:val="Hyperlink"/>
            <w:vertAlign w:val="superscript"/>
          </w:rPr>
          <w:t xml:space="preserve">20</w:t>
        </w:r>
      </w:hyperlink>
      <w:r>
        <w:t xml:space="preserve">, as well as for</w:t>
      </w:r>
      <w:hyperlink w:anchor="ref-DMello2022">
        <w:r>
          <w:rPr>
            <w:rStyle w:val="Hyperlink"/>
            <w:vertAlign w:val="superscript"/>
          </w:rPr>
          <w:t xml:space="preserve">21</w:t>
        </w:r>
      </w:hyperlink>
      <w:r>
        <w:t xml:space="preserve">. Meanwhile, fluidity in gender and sexual orientation</w:t>
      </w:r>
      <w:hyperlink w:anchor="ref-George2018a">
        <w:r>
          <w:rPr>
            <w:rStyle w:val="Hyperlink"/>
            <w:vertAlign w:val="superscript"/>
          </w:rPr>
          <w:t xml:space="preserve">22</w:t>
        </w:r>
      </w:hyperlink>
      <w:r>
        <w:rPr>
          <w:vertAlign w:val="superscript"/>
        </w:rPr>
        <w:t xml:space="preserve">,</w:t>
      </w:r>
      <w:hyperlink w:anchor="ref-George2018">
        <w:r>
          <w:rPr>
            <w:rStyle w:val="Hyperlink"/>
            <w:vertAlign w:val="superscript"/>
          </w:rPr>
          <w:t xml:space="preserve">23</w:t>
        </w:r>
      </w:hyperlink>
      <w:r>
        <w:t xml:space="preserve"> </w:t>
      </w:r>
      <w:r>
        <w:t xml:space="preserve">is more highly represented among autistic people. Little research has been done to assess how autism uniquely affects people in these different subgroups.</w:t>
      </w:r>
    </w:p>
    <w:bookmarkEnd w:id="120"/>
    <w:bookmarkStart w:id="123"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121">
        <w:r>
          <w:rPr>
            <w:rStyle w:val="Hyperlink"/>
          </w:rPr>
          <w:t xml:space="preserve">https://www.nature.com/articles/s41583-021-00463-7</w:t>
        </w:r>
      </w:hyperlink>
      <w:r>
        <w:t xml:space="preserve">,</w:t>
      </w:r>
      <w:r>
        <w:t xml:space="preserve"> </w:t>
      </w:r>
      <w:hyperlink r:id="rId122">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24</w:t>
        </w:r>
      </w:hyperlink>
    </w:p>
    <w:p>
      <w:pPr>
        <w:pStyle w:val="FirstParagraph"/>
      </w:pPr>
      <w:r>
        <w:t xml:space="preserve">Across a variety of health domains, autistic people fare worse</w:t>
      </w:r>
      <w:hyperlink w:anchor="ref-LodiSmith2021">
        <w:r>
          <w:rPr>
            <w:rStyle w:val="Hyperlink"/>
            <w:vertAlign w:val="superscript"/>
          </w:rPr>
          <w:t xml:space="preserve">25</w:t>
        </w:r>
      </w:hyperlink>
      <w:r>
        <w:rPr>
          <w:vertAlign w:val="superscript"/>
        </w:rPr>
        <w:t xml:space="preserve">,</w:t>
      </w:r>
      <w:hyperlink w:anchor="ref-LodiSmith2021a">
        <w:r>
          <w:rPr>
            <w:rStyle w:val="Hyperlink"/>
            <w:vertAlign w:val="superscript"/>
          </w:rPr>
          <w:t xml:space="preserve">26</w:t>
        </w:r>
      </w:hyperlink>
      <w:r>
        <w:t xml:space="preserve">. Additionally, we are exposed to risks that are not of primary concern for most people</w:t>
      </w:r>
      <w:hyperlink w:anchor="ref-Muskens2017">
        <w:r>
          <w:rPr>
            <w:rStyle w:val="Hyperlink"/>
            <w:vertAlign w:val="superscript"/>
          </w:rPr>
          <w:t xml:space="preserve">27</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123"/>
    <w:bookmarkStart w:id="126"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24">
        <w:r>
          <w:rPr>
            <w:rStyle w:val="Hyperlink"/>
          </w:rPr>
          <w:t xml:space="preserve">https://www.ncbi.nlm.nih.gov/pmc/articles/PMC5215190/</w:t>
        </w:r>
      </w:hyperlink>
      <w:r>
        <w:t xml:space="preserve">,</w:t>
      </w:r>
      <w:r>
        <w:t xml:space="preserve"> </w:t>
      </w:r>
      <w:hyperlink r:id="rId125">
        <w:r>
          <w:rPr>
            <w:rStyle w:val="Hyperlink"/>
          </w:rPr>
          <w:t xml:space="preserve">https://www.frontiersin.org/articles/10.3389/fpsyg.2021.719827/full</w:t>
        </w:r>
      </w:hyperlink>
      <w:r>
        <w:t xml:space="preserve">].</w:t>
      </w:r>
    </w:p>
    <w:bookmarkEnd w:id="126"/>
    <w:bookmarkStart w:id="12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28</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29</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30</w:t>
        </w:r>
      </w:hyperlink>
      <w:r>
        <w:t xml:space="preserve">.</w:t>
      </w:r>
    </w:p>
    <w:bookmarkEnd w:id="127"/>
    <w:bookmarkStart w:id="12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31</w:t>
        </w:r>
      </w:hyperlink>
    </w:p>
    <w:bookmarkEnd w:id="128"/>
    <w:bookmarkEnd w:id="129"/>
    <w:bookmarkStart w:id="145"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30">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31">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32">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33">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34">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35">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36">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37">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38">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39">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40">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41">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42">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12">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37">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43">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44">
        <w:r>
          <w:rPr>
            <w:rStyle w:val="Hyperlink"/>
          </w:rPr>
          <w:t xml:space="preserve">https://en.wikipedia.org/wiki/Theory_of_mind</w:t>
        </w:r>
      </w:hyperlink>
    </w:p>
    <w:bookmarkEnd w:id="145"/>
    <w:bookmarkStart w:id="157" w:name="sec-representative-salaries"/>
    <w:p>
      <w:pPr>
        <w:pStyle w:val="Heading1"/>
      </w:pPr>
      <w:r>
        <w:t xml:space="preserve">Representative Salaries</w:t>
      </w:r>
    </w:p>
    <w:bookmarkStart w:id="146"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46"/>
    <w:bookmarkStart w:id="147"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147"/>
    <w:bookmarkStart w:id="148"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148"/>
    <w:bookmarkStart w:id="149"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149"/>
    <w:bookmarkStart w:id="150"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150"/>
    <w:bookmarkStart w:id="151"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151"/>
    <w:bookmarkStart w:id="152"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152"/>
    <w:bookmarkStart w:id="153"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153"/>
    <w:bookmarkStart w:id="154"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154"/>
    <w:bookmarkStart w:id="155"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155"/>
    <w:bookmarkStart w:id="156"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56"/>
    <w:bookmarkEnd w:id="157"/>
    <w:bookmarkStart w:id="269" w:name="sec-potential-funders"/>
    <w:p>
      <w:pPr>
        <w:pStyle w:val="Heading1"/>
      </w:pPr>
      <w:r>
        <w:t xml:space="preserve">Potential Funders</w:t>
      </w:r>
    </w:p>
    <w:bookmarkStart w:id="210" w:name="healthcare"/>
    <w:p>
      <w:pPr>
        <w:pStyle w:val="Heading2"/>
      </w:pPr>
      <w:r>
        <w:t xml:space="preserve">Healthcare</w:t>
      </w:r>
    </w:p>
    <w:bookmarkStart w:id="160" w:name="adventist"/>
    <w:p>
      <w:pPr>
        <w:pStyle w:val="Heading3"/>
      </w:pPr>
      <w:r>
        <w:t xml:space="preserve">Adventist</w:t>
      </w:r>
    </w:p>
    <w:p>
      <w:pPr>
        <w:pStyle w:val="Compact"/>
        <w:numPr>
          <w:ilvl w:val="0"/>
          <w:numId w:val="1017"/>
        </w:numPr>
      </w:pPr>
      <w:hyperlink r:id="rId158">
        <w:r>
          <w:rPr>
            <w:rStyle w:val="Hyperlink"/>
          </w:rPr>
          <w:t xml:space="preserve">Sponsorship Request</w:t>
        </w:r>
      </w:hyperlink>
    </w:p>
    <w:p>
      <w:pPr>
        <w:pStyle w:val="Compact"/>
        <w:numPr>
          <w:ilvl w:val="0"/>
          <w:numId w:val="1017"/>
        </w:numPr>
      </w:pPr>
      <w:hyperlink r:id="rId159">
        <w:r>
          <w:rPr>
            <w:rStyle w:val="Hyperlink"/>
          </w:rPr>
          <w:t xml:space="preserve">Community Benefit</w:t>
        </w:r>
      </w:hyperlink>
    </w:p>
    <w:bookmarkEnd w:id="160"/>
    <w:bookmarkStart w:id="163" w:name="cambia"/>
    <w:p>
      <w:pPr>
        <w:pStyle w:val="Heading3"/>
      </w:pPr>
      <w:r>
        <w:t xml:space="preserve">Cambia</w:t>
      </w:r>
    </w:p>
    <w:p>
      <w:pPr>
        <w:pStyle w:val="Compact"/>
        <w:numPr>
          <w:ilvl w:val="0"/>
          <w:numId w:val="1018"/>
        </w:numPr>
      </w:pPr>
      <w:hyperlink r:id="rId161">
        <w:r>
          <w:rPr>
            <w:rStyle w:val="Hyperlink"/>
          </w:rPr>
          <w:t xml:space="preserve">Healthy and Connected Aging</w:t>
        </w:r>
      </w:hyperlink>
    </w:p>
    <w:p>
      <w:pPr>
        <w:pStyle w:val="Compact"/>
        <w:numPr>
          <w:ilvl w:val="0"/>
          <w:numId w:val="1018"/>
        </w:numPr>
      </w:pPr>
      <w:hyperlink r:id="rId162">
        <w:r>
          <w:rPr>
            <w:rStyle w:val="Hyperlink"/>
          </w:rPr>
          <w:t xml:space="preserve">Sponsorship</w:t>
        </w:r>
      </w:hyperlink>
    </w:p>
    <w:bookmarkEnd w:id="163"/>
    <w:bookmarkStart w:id="166" w:name="careoregon"/>
    <w:p>
      <w:pPr>
        <w:pStyle w:val="Heading3"/>
      </w:pPr>
      <w:r>
        <w:t xml:space="preserve">CareOregon</w:t>
      </w:r>
    </w:p>
    <w:p>
      <w:pPr>
        <w:pStyle w:val="Compact"/>
        <w:numPr>
          <w:ilvl w:val="0"/>
          <w:numId w:val="1019"/>
        </w:numPr>
      </w:pPr>
      <w:hyperlink r:id="rId164">
        <w:r>
          <w:rPr>
            <w:rStyle w:val="Hyperlink"/>
          </w:rPr>
          <w:t xml:space="preserve">Community Giving grants and sponsorships</w:t>
        </w:r>
      </w:hyperlink>
    </w:p>
    <w:p>
      <w:pPr>
        <w:pStyle w:val="Compact"/>
        <w:numPr>
          <w:ilvl w:val="0"/>
          <w:numId w:val="1019"/>
        </w:numPr>
      </w:pPr>
      <w:hyperlink r:id="rId165">
        <w:r>
          <w:rPr>
            <w:rStyle w:val="Hyperlink"/>
          </w:rPr>
          <w:t xml:space="preserve">HRSN Services</w:t>
        </w:r>
      </w:hyperlink>
    </w:p>
    <w:bookmarkEnd w:id="166"/>
    <w:bookmarkStart w:id="168" w:name="central-oregon-health-council"/>
    <w:p>
      <w:pPr>
        <w:pStyle w:val="Heading3"/>
      </w:pPr>
      <w:r>
        <w:t xml:space="preserve">Central Oregon Health Council</w:t>
      </w:r>
    </w:p>
    <w:p>
      <w:pPr>
        <w:pStyle w:val="Compact"/>
        <w:numPr>
          <w:ilvl w:val="0"/>
          <w:numId w:val="1020"/>
        </w:numPr>
      </w:pPr>
      <w:hyperlink r:id="rId167">
        <w:r>
          <w:rPr>
            <w:rStyle w:val="Hyperlink"/>
          </w:rPr>
          <w:t xml:space="preserve">Standard Grants</w:t>
        </w:r>
      </w:hyperlink>
    </w:p>
    <w:bookmarkEnd w:id="168"/>
    <w:bookmarkStart w:id="172" w:name="health-share"/>
    <w:p>
      <w:pPr>
        <w:pStyle w:val="Heading3"/>
      </w:pPr>
      <w:r>
        <w:t xml:space="preserve">Health Share</w:t>
      </w:r>
    </w:p>
    <w:p>
      <w:pPr>
        <w:pStyle w:val="Compact"/>
        <w:numPr>
          <w:ilvl w:val="0"/>
          <w:numId w:val="1021"/>
        </w:numPr>
      </w:pPr>
      <w:hyperlink r:id="rId169">
        <w:r>
          <w:rPr>
            <w:rStyle w:val="Hyperlink"/>
          </w:rPr>
          <w:t xml:space="preserve">Sponsorship</w:t>
        </w:r>
      </w:hyperlink>
    </w:p>
    <w:p>
      <w:pPr>
        <w:pStyle w:val="Compact"/>
        <w:numPr>
          <w:ilvl w:val="0"/>
          <w:numId w:val="1021"/>
        </w:numPr>
      </w:pPr>
      <w:hyperlink r:id="rId170">
        <w:r>
          <w:rPr>
            <w:rStyle w:val="Hyperlink"/>
          </w:rPr>
          <w:t xml:space="preserve">HRSN Services</w:t>
        </w:r>
      </w:hyperlink>
    </w:p>
    <w:p>
      <w:pPr>
        <w:pStyle w:val="Compact"/>
        <w:numPr>
          <w:ilvl w:val="0"/>
          <w:numId w:val="1021"/>
        </w:numPr>
      </w:pPr>
      <w:hyperlink r:id="rId171">
        <w:r>
          <w:rPr>
            <w:rStyle w:val="Hyperlink"/>
          </w:rPr>
          <w:t xml:space="preserve">HRSN Services</w:t>
        </w:r>
      </w:hyperlink>
    </w:p>
    <w:bookmarkEnd w:id="172"/>
    <w:bookmarkStart w:id="178" w:name="kaiser"/>
    <w:p>
      <w:pPr>
        <w:pStyle w:val="Heading3"/>
      </w:pPr>
      <w:r>
        <w:t xml:space="preserve">Kaiser</w:t>
      </w:r>
    </w:p>
    <w:p>
      <w:pPr>
        <w:pStyle w:val="Compact"/>
        <w:numPr>
          <w:ilvl w:val="0"/>
          <w:numId w:val="1022"/>
        </w:numPr>
      </w:pPr>
      <w:hyperlink r:id="rId173">
        <w:r>
          <w:rPr>
            <w:rStyle w:val="Hyperlink"/>
          </w:rPr>
          <w:t xml:space="preserve">HRSN Services</w:t>
        </w:r>
      </w:hyperlink>
    </w:p>
    <w:p>
      <w:pPr>
        <w:pStyle w:val="Compact"/>
        <w:numPr>
          <w:ilvl w:val="0"/>
          <w:numId w:val="1022"/>
        </w:numPr>
      </w:pPr>
      <w:hyperlink r:id="rId174">
        <w:r>
          <w:rPr>
            <w:rStyle w:val="Hyperlink"/>
          </w:rPr>
          <w:t xml:space="preserve">HRSN Services</w:t>
        </w:r>
      </w:hyperlink>
    </w:p>
    <w:p>
      <w:pPr>
        <w:pStyle w:val="Compact"/>
        <w:numPr>
          <w:ilvl w:val="0"/>
          <w:numId w:val="1022"/>
        </w:numPr>
      </w:pPr>
      <w:hyperlink r:id="rId175">
        <w:r>
          <w:rPr>
            <w:rStyle w:val="Hyperlink"/>
          </w:rPr>
          <w:t xml:space="preserve">HRSN Services</w:t>
        </w:r>
      </w:hyperlink>
    </w:p>
    <w:p>
      <w:pPr>
        <w:pStyle w:val="Compact"/>
        <w:numPr>
          <w:ilvl w:val="0"/>
          <w:numId w:val="1022"/>
        </w:numPr>
      </w:pPr>
      <w:hyperlink r:id="rId176">
        <w:r>
          <w:rPr>
            <w:rStyle w:val="Hyperlink"/>
          </w:rPr>
          <w:t xml:space="preserve">HRSN Services</w:t>
        </w:r>
      </w:hyperlink>
    </w:p>
    <w:p>
      <w:pPr>
        <w:pStyle w:val="Compact"/>
        <w:numPr>
          <w:ilvl w:val="0"/>
          <w:numId w:val="1022"/>
        </w:numPr>
      </w:pPr>
      <w:hyperlink r:id="rId177">
        <w:r>
          <w:rPr>
            <w:rStyle w:val="Hyperlink"/>
          </w:rPr>
          <w:t xml:space="preserve">Community Benefit</w:t>
        </w:r>
      </w:hyperlink>
    </w:p>
    <w:bookmarkEnd w:id="178"/>
    <w:bookmarkStart w:id="183" w:name="legacy"/>
    <w:p>
      <w:pPr>
        <w:pStyle w:val="Heading3"/>
      </w:pPr>
      <w:r>
        <w:t xml:space="preserve">Legacy</w:t>
      </w:r>
    </w:p>
    <w:p>
      <w:pPr>
        <w:pStyle w:val="Compact"/>
        <w:numPr>
          <w:ilvl w:val="0"/>
          <w:numId w:val="1023"/>
        </w:numPr>
      </w:pPr>
      <w:hyperlink r:id="rId179">
        <w:r>
          <w:rPr>
            <w:rStyle w:val="Hyperlink"/>
          </w:rPr>
          <w:t xml:space="preserve">Community Health Grant</w:t>
        </w:r>
      </w:hyperlink>
    </w:p>
    <w:p>
      <w:pPr>
        <w:pStyle w:val="Compact"/>
        <w:numPr>
          <w:ilvl w:val="0"/>
          <w:numId w:val="1023"/>
        </w:numPr>
      </w:pPr>
      <w:hyperlink r:id="rId180">
        <w:r>
          <w:rPr>
            <w:rStyle w:val="Hyperlink"/>
          </w:rPr>
          <w:t xml:space="preserve">Legacy Research Institute</w:t>
        </w:r>
      </w:hyperlink>
    </w:p>
    <w:p>
      <w:pPr>
        <w:pStyle w:val="Compact"/>
        <w:numPr>
          <w:ilvl w:val="0"/>
          <w:numId w:val="1023"/>
        </w:numPr>
      </w:pPr>
      <w:hyperlink r:id="rId181">
        <w:r>
          <w:rPr>
            <w:rStyle w:val="Hyperlink"/>
          </w:rPr>
          <w:t xml:space="preserve">Sponsorship</w:t>
        </w:r>
      </w:hyperlink>
    </w:p>
    <w:p>
      <w:pPr>
        <w:pStyle w:val="Compact"/>
        <w:numPr>
          <w:ilvl w:val="0"/>
          <w:numId w:val="1023"/>
        </w:numPr>
      </w:pPr>
      <w:hyperlink r:id="rId182">
        <w:r>
          <w:rPr>
            <w:rStyle w:val="Hyperlink"/>
          </w:rPr>
          <w:t xml:space="preserve">HRSN Services</w:t>
        </w:r>
      </w:hyperlink>
    </w:p>
    <w:bookmarkEnd w:id="183"/>
    <w:bookmarkStart w:id="185" w:name="ochin"/>
    <w:p>
      <w:pPr>
        <w:pStyle w:val="Heading3"/>
      </w:pPr>
      <w:r>
        <w:t xml:space="preserve">Ochin</w:t>
      </w:r>
    </w:p>
    <w:p>
      <w:pPr>
        <w:pStyle w:val="Compact"/>
        <w:numPr>
          <w:ilvl w:val="0"/>
          <w:numId w:val="1024"/>
        </w:numPr>
      </w:pPr>
      <w:hyperlink r:id="rId184">
        <w:r>
          <w:rPr>
            <w:rStyle w:val="Hyperlink"/>
          </w:rPr>
          <w:t xml:space="preserve">NA</w:t>
        </w:r>
      </w:hyperlink>
    </w:p>
    <w:bookmarkEnd w:id="185"/>
    <w:bookmarkStart w:id="192" w:name="ohsu"/>
    <w:p>
      <w:pPr>
        <w:pStyle w:val="Heading3"/>
      </w:pPr>
      <w:r>
        <w:t xml:space="preserve">OHSU</w:t>
      </w:r>
    </w:p>
    <w:p>
      <w:pPr>
        <w:pStyle w:val="Compact"/>
        <w:numPr>
          <w:ilvl w:val="0"/>
          <w:numId w:val="1025"/>
        </w:numPr>
      </w:pPr>
      <w:hyperlink r:id="rId186">
        <w:r>
          <w:rPr>
            <w:rStyle w:val="Hyperlink"/>
          </w:rPr>
          <w:t xml:space="preserve">Community Partnership Program</w:t>
        </w:r>
      </w:hyperlink>
    </w:p>
    <w:p>
      <w:pPr>
        <w:pStyle w:val="Compact"/>
        <w:numPr>
          <w:ilvl w:val="0"/>
          <w:numId w:val="1025"/>
        </w:numPr>
      </w:pPr>
      <w:hyperlink r:id="rId187">
        <w:r>
          <w:rPr>
            <w:rStyle w:val="Hyperlink"/>
          </w:rPr>
          <w:t xml:space="preserve">Community Partnership Program</w:t>
        </w:r>
      </w:hyperlink>
    </w:p>
    <w:p>
      <w:pPr>
        <w:pStyle w:val="Compact"/>
        <w:numPr>
          <w:ilvl w:val="0"/>
          <w:numId w:val="1025"/>
        </w:numPr>
      </w:pPr>
      <w:hyperlink r:id="rId188">
        <w:r>
          <w:rPr>
            <w:rStyle w:val="Hyperlink"/>
          </w:rPr>
          <w:t xml:space="preserve">Community Partnership Program</w:t>
        </w:r>
      </w:hyperlink>
    </w:p>
    <w:p>
      <w:pPr>
        <w:pStyle w:val="Compact"/>
        <w:numPr>
          <w:ilvl w:val="0"/>
          <w:numId w:val="1025"/>
        </w:numPr>
      </w:pPr>
      <w:hyperlink r:id="rId189">
        <w:r>
          <w:rPr>
            <w:rStyle w:val="Hyperlink"/>
          </w:rPr>
          <w:t xml:space="preserve">Tiered Grants</w:t>
        </w:r>
      </w:hyperlink>
    </w:p>
    <w:p>
      <w:pPr>
        <w:pStyle w:val="Compact"/>
        <w:numPr>
          <w:ilvl w:val="0"/>
          <w:numId w:val="1025"/>
        </w:numPr>
      </w:pPr>
      <w:hyperlink r:id="rId190">
        <w:r>
          <w:rPr>
            <w:rStyle w:val="Hyperlink"/>
          </w:rPr>
          <w:t xml:space="preserve">HRSN Services</w:t>
        </w:r>
      </w:hyperlink>
    </w:p>
    <w:p>
      <w:pPr>
        <w:pStyle w:val="Compact"/>
        <w:numPr>
          <w:ilvl w:val="0"/>
          <w:numId w:val="1025"/>
        </w:numPr>
      </w:pPr>
      <w:hyperlink r:id="rId191">
        <w:r>
          <w:rPr>
            <w:rStyle w:val="Hyperlink"/>
          </w:rPr>
          <w:t xml:space="preserve">Rural Population Health Incubator Program</w:t>
        </w:r>
      </w:hyperlink>
    </w:p>
    <w:bookmarkEnd w:id="192"/>
    <w:bookmarkStart w:id="199" w:name="pacific-source"/>
    <w:p>
      <w:pPr>
        <w:pStyle w:val="Heading3"/>
      </w:pPr>
      <w:r>
        <w:t xml:space="preserve">Pacific Source</w:t>
      </w:r>
    </w:p>
    <w:p>
      <w:pPr>
        <w:pStyle w:val="Compact"/>
        <w:numPr>
          <w:ilvl w:val="0"/>
          <w:numId w:val="1026"/>
        </w:numPr>
      </w:pPr>
      <w:hyperlink r:id="rId193">
        <w:r>
          <w:rPr>
            <w:rStyle w:val="Hyperlink"/>
          </w:rPr>
          <w:t xml:space="preserve">Community Health Excellence Grants</w:t>
        </w:r>
      </w:hyperlink>
    </w:p>
    <w:p>
      <w:pPr>
        <w:pStyle w:val="Compact"/>
        <w:numPr>
          <w:ilvl w:val="0"/>
          <w:numId w:val="1026"/>
        </w:numPr>
      </w:pPr>
      <w:hyperlink r:id="rId194">
        <w:r>
          <w:rPr>
            <w:rStyle w:val="Hyperlink"/>
          </w:rPr>
          <w:t xml:space="preserve">Community Capacity-Building Funding for HRSN services</w:t>
        </w:r>
      </w:hyperlink>
    </w:p>
    <w:p>
      <w:pPr>
        <w:pStyle w:val="Compact"/>
        <w:numPr>
          <w:ilvl w:val="0"/>
          <w:numId w:val="1026"/>
        </w:numPr>
      </w:pPr>
      <w:hyperlink r:id="rId195">
        <w:r>
          <w:rPr>
            <w:rStyle w:val="Hyperlink"/>
          </w:rPr>
          <w:t xml:space="preserve">Community Health Excellence Grants</w:t>
        </w:r>
      </w:hyperlink>
    </w:p>
    <w:p>
      <w:pPr>
        <w:pStyle w:val="Compact"/>
        <w:numPr>
          <w:ilvl w:val="0"/>
          <w:numId w:val="1026"/>
        </w:numPr>
      </w:pPr>
      <w:hyperlink r:id="rId196">
        <w:r>
          <w:rPr>
            <w:rStyle w:val="Hyperlink"/>
          </w:rPr>
          <w:t xml:space="preserve">All</w:t>
        </w:r>
      </w:hyperlink>
    </w:p>
    <w:p>
      <w:pPr>
        <w:pStyle w:val="Compact"/>
        <w:numPr>
          <w:ilvl w:val="0"/>
          <w:numId w:val="1026"/>
        </w:numPr>
      </w:pPr>
      <w:hyperlink r:id="rId197">
        <w:r>
          <w:rPr>
            <w:rStyle w:val="Hyperlink"/>
          </w:rPr>
          <w:t xml:space="preserve">PacificSource Foundation for Health Improvement</w:t>
        </w:r>
      </w:hyperlink>
    </w:p>
    <w:p>
      <w:pPr>
        <w:pStyle w:val="Compact"/>
        <w:numPr>
          <w:ilvl w:val="0"/>
          <w:numId w:val="1026"/>
        </w:numPr>
      </w:pPr>
      <w:hyperlink r:id="rId198">
        <w:r>
          <w:rPr>
            <w:rStyle w:val="Hyperlink"/>
          </w:rPr>
          <w:t xml:space="preserve">Healthy Communities Program</w:t>
        </w:r>
      </w:hyperlink>
    </w:p>
    <w:bookmarkEnd w:id="199"/>
    <w:bookmarkStart w:id="203" w:name="providence"/>
    <w:p>
      <w:pPr>
        <w:pStyle w:val="Heading3"/>
      </w:pPr>
      <w:r>
        <w:t xml:space="preserve">Providence</w:t>
      </w:r>
    </w:p>
    <w:p>
      <w:pPr>
        <w:pStyle w:val="Compact"/>
        <w:numPr>
          <w:ilvl w:val="0"/>
          <w:numId w:val="1027"/>
        </w:numPr>
      </w:pPr>
      <w:hyperlink r:id="rId200">
        <w:r>
          <w:rPr>
            <w:rStyle w:val="Hyperlink"/>
          </w:rPr>
          <w:t xml:space="preserve">Community Grants/Donations</w:t>
        </w:r>
      </w:hyperlink>
    </w:p>
    <w:p>
      <w:pPr>
        <w:pStyle w:val="Compact"/>
        <w:numPr>
          <w:ilvl w:val="0"/>
          <w:numId w:val="1027"/>
        </w:numPr>
      </w:pPr>
      <w:hyperlink r:id="rId201">
        <w:r>
          <w:rPr>
            <w:rStyle w:val="Hyperlink"/>
          </w:rPr>
          <w:t xml:space="preserve">Sponsorship</w:t>
        </w:r>
      </w:hyperlink>
    </w:p>
    <w:p>
      <w:pPr>
        <w:pStyle w:val="Compact"/>
        <w:numPr>
          <w:ilvl w:val="0"/>
          <w:numId w:val="1027"/>
        </w:numPr>
      </w:pPr>
      <w:hyperlink r:id="rId202">
        <w:r>
          <w:rPr>
            <w:rStyle w:val="Hyperlink"/>
          </w:rPr>
          <w:t xml:space="preserve">HRSN Services</w:t>
        </w:r>
      </w:hyperlink>
    </w:p>
    <w:bookmarkEnd w:id="203"/>
    <w:bookmarkStart w:id="205" w:name="st-charles-health-system"/>
    <w:p>
      <w:pPr>
        <w:pStyle w:val="Heading3"/>
      </w:pPr>
      <w:r>
        <w:t xml:space="preserve">St Charles Health System</w:t>
      </w:r>
    </w:p>
    <w:p>
      <w:pPr>
        <w:pStyle w:val="Compact"/>
        <w:numPr>
          <w:ilvl w:val="0"/>
          <w:numId w:val="1028"/>
        </w:numPr>
      </w:pPr>
      <w:hyperlink r:id="rId204">
        <w:r>
          <w:rPr>
            <w:rStyle w:val="Hyperlink"/>
          </w:rPr>
          <w:t xml:space="preserve">Community Benefit Grants and Sponsorships</w:t>
        </w:r>
      </w:hyperlink>
    </w:p>
    <w:bookmarkEnd w:id="205"/>
    <w:bookmarkStart w:id="209" w:name="trillium"/>
    <w:p>
      <w:pPr>
        <w:pStyle w:val="Heading3"/>
      </w:pPr>
      <w:r>
        <w:t xml:space="preserve">Trillium</w:t>
      </w:r>
    </w:p>
    <w:p>
      <w:pPr>
        <w:pStyle w:val="Compact"/>
        <w:numPr>
          <w:ilvl w:val="0"/>
          <w:numId w:val="1029"/>
        </w:numPr>
      </w:pPr>
      <w:hyperlink r:id="rId206">
        <w:r>
          <w:rPr>
            <w:rStyle w:val="Hyperlink"/>
          </w:rPr>
          <w:t xml:space="preserve">Community Benefit Initiatives</w:t>
        </w:r>
      </w:hyperlink>
    </w:p>
    <w:p>
      <w:pPr>
        <w:pStyle w:val="Compact"/>
        <w:numPr>
          <w:ilvl w:val="0"/>
          <w:numId w:val="1029"/>
        </w:numPr>
      </w:pPr>
      <w:hyperlink r:id="rId207">
        <w:r>
          <w:rPr>
            <w:rStyle w:val="Hyperlink"/>
          </w:rPr>
          <w:t xml:space="preserve">Community Benefit Initiatives</w:t>
        </w:r>
      </w:hyperlink>
    </w:p>
    <w:p>
      <w:pPr>
        <w:pStyle w:val="Compact"/>
        <w:numPr>
          <w:ilvl w:val="0"/>
          <w:numId w:val="1029"/>
        </w:numPr>
      </w:pPr>
      <w:hyperlink r:id="rId208">
        <w:r>
          <w:rPr>
            <w:rStyle w:val="Hyperlink"/>
          </w:rPr>
          <w:t xml:space="preserve">Community Capacity Building Funding</w:t>
        </w:r>
      </w:hyperlink>
    </w:p>
    <w:bookmarkEnd w:id="209"/>
    <w:bookmarkEnd w:id="210"/>
    <w:bookmarkStart w:id="249" w:name="foundatons-and-trusts"/>
    <w:p>
      <w:pPr>
        <w:pStyle w:val="Heading2"/>
      </w:pPr>
      <w:r>
        <w:t xml:space="preserve">Foundatons and Trusts</w:t>
      </w:r>
    </w:p>
    <w:bookmarkStart w:id="212" w:name="anna-may-family-foundation"/>
    <w:p>
      <w:pPr>
        <w:pStyle w:val="Heading3"/>
      </w:pPr>
      <w:r>
        <w:t xml:space="preserve">Anna May Family Foundation</w:t>
      </w:r>
    </w:p>
    <w:p>
      <w:pPr>
        <w:pStyle w:val="Compact"/>
        <w:numPr>
          <w:ilvl w:val="0"/>
          <w:numId w:val="1030"/>
        </w:numPr>
      </w:pPr>
      <w:hyperlink r:id="rId211">
        <w:r>
          <w:rPr>
            <w:rStyle w:val="Hyperlink"/>
          </w:rPr>
          <w:t xml:space="preserve">Grant</w:t>
        </w:r>
      </w:hyperlink>
    </w:p>
    <w:bookmarkEnd w:id="212"/>
    <w:bookmarkStart w:id="214" w:name="autzen-foundation"/>
    <w:p>
      <w:pPr>
        <w:pStyle w:val="Heading3"/>
      </w:pPr>
      <w:r>
        <w:t xml:space="preserve">Autzen Foundation</w:t>
      </w:r>
    </w:p>
    <w:p>
      <w:pPr>
        <w:pStyle w:val="Compact"/>
        <w:numPr>
          <w:ilvl w:val="0"/>
          <w:numId w:val="1031"/>
        </w:numPr>
      </w:pPr>
      <w:hyperlink r:id="rId213">
        <w:r>
          <w:rPr>
            <w:rStyle w:val="Hyperlink"/>
          </w:rPr>
          <w:t xml:space="preserve">Grant</w:t>
        </w:r>
      </w:hyperlink>
    </w:p>
    <w:bookmarkEnd w:id="214"/>
    <w:bookmarkStart w:id="216" w:name="ben-b-cheney-foundation"/>
    <w:p>
      <w:pPr>
        <w:pStyle w:val="Heading3"/>
      </w:pPr>
      <w:r>
        <w:t xml:space="preserve">Ben B Cheney Foundation</w:t>
      </w:r>
    </w:p>
    <w:p>
      <w:pPr>
        <w:pStyle w:val="Compact"/>
        <w:numPr>
          <w:ilvl w:val="0"/>
          <w:numId w:val="1032"/>
        </w:numPr>
      </w:pPr>
      <w:hyperlink r:id="rId215">
        <w:r>
          <w:rPr>
            <w:rStyle w:val="Hyperlink"/>
          </w:rPr>
          <w:t xml:space="preserve">Grant</w:t>
        </w:r>
      </w:hyperlink>
    </w:p>
    <w:bookmarkEnd w:id="216"/>
    <w:bookmarkStart w:id="218" w:name="benton-community-foundation"/>
    <w:p>
      <w:pPr>
        <w:pStyle w:val="Heading3"/>
      </w:pPr>
      <w:r>
        <w:t xml:space="preserve">Benton Community Foundation</w:t>
      </w:r>
    </w:p>
    <w:p>
      <w:pPr>
        <w:pStyle w:val="Compact"/>
        <w:numPr>
          <w:ilvl w:val="0"/>
          <w:numId w:val="1033"/>
        </w:numPr>
      </w:pPr>
      <w:hyperlink r:id="rId217">
        <w:r>
          <w:rPr>
            <w:rStyle w:val="Hyperlink"/>
          </w:rPr>
          <w:t xml:space="preserve">Community Grants</w:t>
        </w:r>
      </w:hyperlink>
    </w:p>
    <w:bookmarkEnd w:id="218"/>
    <w:bookmarkStart w:id="220" w:name="carpenter-foundation"/>
    <w:p>
      <w:pPr>
        <w:pStyle w:val="Heading3"/>
      </w:pPr>
      <w:r>
        <w:t xml:space="preserve">Carpenter Foundation</w:t>
      </w:r>
    </w:p>
    <w:p>
      <w:pPr>
        <w:pStyle w:val="Compact"/>
        <w:numPr>
          <w:ilvl w:val="0"/>
          <w:numId w:val="1034"/>
        </w:numPr>
      </w:pPr>
      <w:hyperlink r:id="rId219">
        <w:r>
          <w:rPr>
            <w:rStyle w:val="Hyperlink"/>
          </w:rPr>
          <w:t xml:space="preserve">Grant</w:t>
        </w:r>
      </w:hyperlink>
    </w:p>
    <w:bookmarkEnd w:id="220"/>
    <w:bookmarkStart w:id="222" w:name="chambers-family-foundation"/>
    <w:p>
      <w:pPr>
        <w:pStyle w:val="Heading3"/>
      </w:pPr>
      <w:r>
        <w:t xml:space="preserve">Chambers Family Foundation</w:t>
      </w:r>
    </w:p>
    <w:p>
      <w:pPr>
        <w:pStyle w:val="Compact"/>
        <w:numPr>
          <w:ilvl w:val="0"/>
          <w:numId w:val="1035"/>
        </w:numPr>
      </w:pPr>
      <w:hyperlink r:id="rId221">
        <w:r>
          <w:rPr>
            <w:rStyle w:val="Hyperlink"/>
          </w:rPr>
          <w:t xml:space="preserve">Grant</w:t>
        </w:r>
      </w:hyperlink>
    </w:p>
    <w:bookmarkEnd w:id="222"/>
    <w:bookmarkStart w:id="225" w:name="collins-foundation"/>
    <w:p>
      <w:pPr>
        <w:pStyle w:val="Heading3"/>
      </w:pPr>
      <w:r>
        <w:t xml:space="preserve">Collins Foundation</w:t>
      </w:r>
    </w:p>
    <w:p>
      <w:pPr>
        <w:pStyle w:val="Compact"/>
        <w:numPr>
          <w:ilvl w:val="0"/>
          <w:numId w:val="1036"/>
        </w:numPr>
      </w:pPr>
      <w:hyperlink r:id="rId223">
        <w:r>
          <w:rPr>
            <w:rStyle w:val="Hyperlink"/>
          </w:rPr>
          <w:t xml:space="preserve">Responsive Grant</w:t>
        </w:r>
      </w:hyperlink>
    </w:p>
    <w:p>
      <w:pPr>
        <w:pStyle w:val="Compact"/>
        <w:numPr>
          <w:ilvl w:val="0"/>
          <w:numId w:val="1036"/>
        </w:numPr>
      </w:pPr>
      <w:hyperlink r:id="rId224">
        <w:r>
          <w:rPr>
            <w:rStyle w:val="Hyperlink"/>
          </w:rPr>
          <w:t xml:space="preserve">Responsive Grant</w:t>
        </w:r>
      </w:hyperlink>
    </w:p>
    <w:bookmarkEnd w:id="225"/>
    <w:bookmarkStart w:id="229" w:name="doug-flutie-foundation"/>
    <w:p>
      <w:pPr>
        <w:pStyle w:val="Heading3"/>
      </w:pPr>
      <w:r>
        <w:t xml:space="preserve">Doug Flutie Foundation</w:t>
      </w:r>
    </w:p>
    <w:p>
      <w:pPr>
        <w:pStyle w:val="Compact"/>
        <w:numPr>
          <w:ilvl w:val="0"/>
          <w:numId w:val="1037"/>
        </w:numPr>
      </w:pPr>
      <w:hyperlink r:id="rId226">
        <w:r>
          <w:rPr>
            <w:rStyle w:val="Hyperlink"/>
          </w:rPr>
          <w:t xml:space="preserve">Autism Community Impact Grant</w:t>
        </w:r>
      </w:hyperlink>
    </w:p>
    <w:p>
      <w:pPr>
        <w:pStyle w:val="Compact"/>
        <w:numPr>
          <w:ilvl w:val="0"/>
          <w:numId w:val="1037"/>
        </w:numPr>
      </w:pPr>
      <w:hyperlink r:id="rId227">
        <w:r>
          <w:rPr>
            <w:rStyle w:val="Hyperlink"/>
          </w:rPr>
          <w:t xml:space="preserve">Flutie Fellows – Career and Life Goal Support</w:t>
        </w:r>
      </w:hyperlink>
    </w:p>
    <w:p>
      <w:pPr>
        <w:pStyle w:val="Compact"/>
        <w:numPr>
          <w:ilvl w:val="0"/>
          <w:numId w:val="1037"/>
        </w:numPr>
      </w:pPr>
      <w:hyperlink r:id="rId228">
        <w:r>
          <w:rPr>
            <w:rStyle w:val="Hyperlink"/>
          </w:rPr>
          <w:t xml:space="preserve">Financial Relief for Families</w:t>
        </w:r>
      </w:hyperlink>
    </w:p>
    <w:bookmarkEnd w:id="229"/>
    <w:bookmarkStart w:id="231" w:name="foster-foundation"/>
    <w:p>
      <w:pPr>
        <w:pStyle w:val="Heading3"/>
      </w:pPr>
      <w:r>
        <w:t xml:space="preserve">Foster Foundation</w:t>
      </w:r>
    </w:p>
    <w:p>
      <w:pPr>
        <w:pStyle w:val="Compact"/>
        <w:numPr>
          <w:ilvl w:val="0"/>
          <w:numId w:val="1038"/>
        </w:numPr>
      </w:pPr>
      <w:hyperlink r:id="rId230">
        <w:r>
          <w:rPr>
            <w:rStyle w:val="Hyperlink"/>
          </w:rPr>
          <w:t xml:space="preserve">Grant</w:t>
        </w:r>
      </w:hyperlink>
    </w:p>
    <w:bookmarkEnd w:id="231"/>
    <w:bookmarkStart w:id="233" w:name="gordon-elwood-foundation"/>
    <w:p>
      <w:pPr>
        <w:pStyle w:val="Heading3"/>
      </w:pPr>
      <w:r>
        <w:t xml:space="preserve">Gordon Elwood Foundation</w:t>
      </w:r>
    </w:p>
    <w:p>
      <w:pPr>
        <w:pStyle w:val="Compact"/>
        <w:numPr>
          <w:ilvl w:val="0"/>
          <w:numId w:val="1039"/>
        </w:numPr>
      </w:pPr>
      <w:hyperlink r:id="rId232">
        <w:r>
          <w:rPr>
            <w:rStyle w:val="Hyperlink"/>
          </w:rPr>
          <w:t xml:space="preserve">Grant</w:t>
        </w:r>
      </w:hyperlink>
    </w:p>
    <w:bookmarkEnd w:id="233"/>
    <w:bookmarkStart w:id="235" w:name="m-j-murdock-charitable-trust"/>
    <w:p>
      <w:pPr>
        <w:pStyle w:val="Heading3"/>
      </w:pPr>
      <w:r>
        <w:t xml:space="preserve">M J Murdock Charitable Trust</w:t>
      </w:r>
    </w:p>
    <w:p>
      <w:pPr>
        <w:pStyle w:val="Compact"/>
        <w:numPr>
          <w:ilvl w:val="0"/>
          <w:numId w:val="1040"/>
        </w:numPr>
      </w:pPr>
      <w:hyperlink r:id="rId234">
        <w:r>
          <w:rPr>
            <w:rStyle w:val="Hyperlink"/>
          </w:rPr>
          <w:t xml:space="preserve">STRATEGIC GRANT</w:t>
        </w:r>
      </w:hyperlink>
    </w:p>
    <w:bookmarkEnd w:id="235"/>
    <w:bookmarkStart w:id="237" w:name="maybelle-clark-macdonald-fund"/>
    <w:p>
      <w:pPr>
        <w:pStyle w:val="Heading3"/>
      </w:pPr>
      <w:r>
        <w:t xml:space="preserve">Maybelle Clark Macdonald Fund</w:t>
      </w:r>
    </w:p>
    <w:p>
      <w:pPr>
        <w:pStyle w:val="Compact"/>
        <w:numPr>
          <w:ilvl w:val="0"/>
          <w:numId w:val="1041"/>
        </w:numPr>
      </w:pPr>
      <w:hyperlink r:id="rId236">
        <w:r>
          <w:rPr>
            <w:rStyle w:val="Hyperlink"/>
          </w:rPr>
          <w:t xml:space="preserve">Grant</w:t>
        </w:r>
      </w:hyperlink>
    </w:p>
    <w:bookmarkEnd w:id="237"/>
    <w:bookmarkStart w:id="239" w:name="meyer-memorial-trust"/>
    <w:p>
      <w:pPr>
        <w:pStyle w:val="Heading3"/>
      </w:pPr>
      <w:r>
        <w:t xml:space="preserve">Meyer Memorial Trust</w:t>
      </w:r>
    </w:p>
    <w:p>
      <w:pPr>
        <w:pStyle w:val="Compact"/>
        <w:numPr>
          <w:ilvl w:val="0"/>
          <w:numId w:val="1042"/>
        </w:numPr>
      </w:pPr>
      <w:hyperlink r:id="rId238">
        <w:r>
          <w:rPr>
            <w:rStyle w:val="Hyperlink"/>
          </w:rPr>
          <w:t xml:space="preserve">Grant</w:t>
        </w:r>
      </w:hyperlink>
    </w:p>
    <w:bookmarkEnd w:id="239"/>
    <w:bookmarkStart w:id="241" w:name="oregon-community-foundation"/>
    <w:p>
      <w:pPr>
        <w:pStyle w:val="Heading3"/>
      </w:pPr>
      <w:r>
        <w:t xml:space="preserve">Oregon Community Foundation</w:t>
      </w:r>
    </w:p>
    <w:p>
      <w:pPr>
        <w:pStyle w:val="Compact"/>
        <w:numPr>
          <w:ilvl w:val="0"/>
          <w:numId w:val="1043"/>
        </w:numPr>
      </w:pPr>
      <w:hyperlink r:id="rId240">
        <w:r>
          <w:rPr>
            <w:rStyle w:val="Hyperlink"/>
          </w:rPr>
          <w:t xml:space="preserve">Grant</w:t>
        </w:r>
      </w:hyperlink>
    </w:p>
    <w:bookmarkEnd w:id="241"/>
    <w:bookmarkStart w:id="243" w:name="reser-family-foundation"/>
    <w:p>
      <w:pPr>
        <w:pStyle w:val="Heading3"/>
      </w:pPr>
      <w:r>
        <w:t xml:space="preserve">Reser Family Foundation</w:t>
      </w:r>
    </w:p>
    <w:p>
      <w:pPr>
        <w:pStyle w:val="Compact"/>
        <w:numPr>
          <w:ilvl w:val="0"/>
          <w:numId w:val="1044"/>
        </w:numPr>
      </w:pPr>
      <w:hyperlink r:id="rId242">
        <w:r>
          <w:rPr>
            <w:rStyle w:val="Hyperlink"/>
          </w:rPr>
          <w:t xml:space="preserve">Responsive Grant Programs</w:t>
        </w:r>
      </w:hyperlink>
    </w:p>
    <w:bookmarkEnd w:id="243"/>
    <w:bookmarkStart w:id="246" w:name="robert-wood-johnson-foundation"/>
    <w:p>
      <w:pPr>
        <w:pStyle w:val="Heading3"/>
      </w:pPr>
      <w:r>
        <w:t xml:space="preserve">Robert Wood Johnson Foundation</w:t>
      </w:r>
    </w:p>
    <w:p>
      <w:pPr>
        <w:pStyle w:val="Compact"/>
        <w:numPr>
          <w:ilvl w:val="0"/>
          <w:numId w:val="1045"/>
        </w:numPr>
      </w:pPr>
      <w:hyperlink r:id="rId244">
        <w:r>
          <w:rPr>
            <w:rStyle w:val="Hyperlink"/>
          </w:rPr>
          <w:t xml:space="preserve">Multiple</w:t>
        </w:r>
      </w:hyperlink>
    </w:p>
    <w:p>
      <w:pPr>
        <w:pStyle w:val="Compact"/>
        <w:numPr>
          <w:ilvl w:val="0"/>
          <w:numId w:val="1045"/>
        </w:numPr>
      </w:pPr>
      <w:hyperlink r:id="rId245">
        <w:r>
          <w:rPr>
            <w:rStyle w:val="Hyperlink"/>
          </w:rPr>
          <w:t xml:space="preserve">Multiple</w:t>
        </w:r>
      </w:hyperlink>
    </w:p>
    <w:bookmarkEnd w:id="246"/>
    <w:bookmarkStart w:id="248" w:name="weyerhouser"/>
    <w:p>
      <w:pPr>
        <w:pStyle w:val="Heading3"/>
      </w:pPr>
      <w:r>
        <w:t xml:space="preserve">Weyerhouser</w:t>
      </w:r>
    </w:p>
    <w:p>
      <w:pPr>
        <w:pStyle w:val="Compact"/>
        <w:numPr>
          <w:ilvl w:val="0"/>
          <w:numId w:val="1046"/>
        </w:numPr>
      </w:pPr>
      <w:hyperlink r:id="rId247">
        <w:r>
          <w:rPr>
            <w:rStyle w:val="Hyperlink"/>
          </w:rPr>
          <w:t xml:space="preserve">Giving Fund</w:t>
        </w:r>
      </w:hyperlink>
    </w:p>
    <w:bookmarkEnd w:id="248"/>
    <w:bookmarkEnd w:id="249"/>
    <w:bookmarkStart w:id="261" w:name="state"/>
    <w:p>
      <w:pPr>
        <w:pStyle w:val="Heading2"/>
      </w:pPr>
      <w:r>
        <w:t xml:space="preserve">State</w:t>
      </w:r>
    </w:p>
    <w:bookmarkStart w:id="258" w:name="oregon-health-authority"/>
    <w:p>
      <w:pPr>
        <w:pStyle w:val="Heading3"/>
      </w:pPr>
      <w:r>
        <w:t xml:space="preserve">Oregon Health Authority</w:t>
      </w:r>
    </w:p>
    <w:p>
      <w:pPr>
        <w:pStyle w:val="Compact"/>
        <w:numPr>
          <w:ilvl w:val="0"/>
          <w:numId w:val="1047"/>
        </w:numPr>
      </w:pPr>
      <w:hyperlink r:id="rId250">
        <w:r>
          <w:rPr>
            <w:rStyle w:val="Hyperlink"/>
          </w:rPr>
          <w:t xml:space="preserve">Block Grants</w:t>
        </w:r>
      </w:hyperlink>
    </w:p>
    <w:p>
      <w:pPr>
        <w:pStyle w:val="Compact"/>
        <w:numPr>
          <w:ilvl w:val="0"/>
          <w:numId w:val="1047"/>
        </w:numPr>
      </w:pPr>
      <w:hyperlink r:id="rId251">
        <w:r>
          <w:rPr>
            <w:rStyle w:val="Hyperlink"/>
          </w:rPr>
          <w:t xml:space="preserve">Community Capacity Building Funds</w:t>
        </w:r>
      </w:hyperlink>
    </w:p>
    <w:p>
      <w:pPr>
        <w:pStyle w:val="Compact"/>
        <w:numPr>
          <w:ilvl w:val="0"/>
          <w:numId w:val="1047"/>
        </w:numPr>
      </w:pPr>
      <w:hyperlink r:id="rId252">
        <w:r>
          <w:rPr>
            <w:rStyle w:val="Hyperlink"/>
          </w:rPr>
          <w:t xml:space="preserve">Community Capacity Building Funds</w:t>
        </w:r>
      </w:hyperlink>
    </w:p>
    <w:p>
      <w:pPr>
        <w:pStyle w:val="Compact"/>
        <w:numPr>
          <w:ilvl w:val="0"/>
          <w:numId w:val="1047"/>
        </w:numPr>
      </w:pPr>
      <w:hyperlink r:id="rId253">
        <w:r>
          <w:rPr>
            <w:rStyle w:val="Hyperlink"/>
          </w:rPr>
          <w:t xml:space="preserve">SHARE Initiative</w:t>
        </w:r>
      </w:hyperlink>
    </w:p>
    <w:p>
      <w:pPr>
        <w:pStyle w:val="Compact"/>
        <w:numPr>
          <w:ilvl w:val="0"/>
          <w:numId w:val="1047"/>
        </w:numPr>
      </w:pPr>
      <w:hyperlink r:id="rId254">
        <w:r>
          <w:rPr>
            <w:rStyle w:val="Hyperlink"/>
          </w:rPr>
          <w:t xml:space="preserve">PUBLIC HEALTH EQUITY</w:t>
        </w:r>
      </w:hyperlink>
    </w:p>
    <w:p>
      <w:pPr>
        <w:pStyle w:val="Compact"/>
        <w:numPr>
          <w:ilvl w:val="0"/>
          <w:numId w:val="1047"/>
        </w:numPr>
      </w:pPr>
      <w:hyperlink r:id="rId255">
        <w:r>
          <w:rPr>
            <w:rStyle w:val="Hyperlink"/>
          </w:rPr>
          <w:t xml:space="preserve">PUBLIC HEALTH EQUITY</w:t>
        </w:r>
      </w:hyperlink>
    </w:p>
    <w:p>
      <w:pPr>
        <w:pStyle w:val="Compact"/>
        <w:numPr>
          <w:ilvl w:val="0"/>
          <w:numId w:val="1047"/>
        </w:numPr>
      </w:pPr>
      <w:hyperlink r:id="rId256">
        <w:r>
          <w:rPr>
            <w:rStyle w:val="Hyperlink"/>
          </w:rPr>
          <w:t xml:space="preserve">GRANT</w:t>
        </w:r>
      </w:hyperlink>
    </w:p>
    <w:p>
      <w:pPr>
        <w:pStyle w:val="Compact"/>
        <w:numPr>
          <w:ilvl w:val="0"/>
          <w:numId w:val="1047"/>
        </w:numPr>
      </w:pPr>
      <w:hyperlink r:id="rId257">
        <w:r>
          <w:rPr>
            <w:rStyle w:val="Hyperlink"/>
          </w:rPr>
          <w:t xml:space="preserve">HTO CHIP Project Grants</w:t>
        </w:r>
      </w:hyperlink>
    </w:p>
    <w:bookmarkEnd w:id="258"/>
    <w:bookmarkStart w:id="260" w:name="oregon-state"/>
    <w:p>
      <w:pPr>
        <w:pStyle w:val="Heading3"/>
      </w:pPr>
      <w:r>
        <w:t xml:space="preserve">Oregon State</w:t>
      </w:r>
    </w:p>
    <w:p>
      <w:pPr>
        <w:pStyle w:val="Compact"/>
        <w:numPr>
          <w:ilvl w:val="0"/>
          <w:numId w:val="1048"/>
        </w:numPr>
      </w:pPr>
      <w:hyperlink r:id="rId259">
        <w:r>
          <w:rPr>
            <w:rStyle w:val="Hyperlink"/>
          </w:rPr>
          <w:t xml:space="preserve">IMPACTS Grant Program</w:t>
        </w:r>
      </w:hyperlink>
    </w:p>
    <w:bookmarkEnd w:id="260"/>
    <w:bookmarkEnd w:id="261"/>
    <w:bookmarkStart w:id="268" w:name="misc"/>
    <w:p>
      <w:pPr>
        <w:pStyle w:val="Heading2"/>
      </w:pPr>
      <w:r>
        <w:t xml:space="preserve">Misc</w:t>
      </w:r>
    </w:p>
    <w:bookmarkStart w:id="263" w:name="fidget-tech"/>
    <w:p>
      <w:pPr>
        <w:pStyle w:val="Heading3"/>
      </w:pPr>
      <w:r>
        <w:t xml:space="preserve">Fidget Tech</w:t>
      </w:r>
    </w:p>
    <w:p>
      <w:pPr>
        <w:pStyle w:val="Compact"/>
        <w:numPr>
          <w:ilvl w:val="0"/>
          <w:numId w:val="1049"/>
        </w:numPr>
      </w:pPr>
      <w:hyperlink r:id="rId262">
        <w:r>
          <w:rPr>
            <w:rStyle w:val="Hyperlink"/>
          </w:rPr>
          <w:t xml:space="preserve">Need info</w:t>
        </w:r>
      </w:hyperlink>
    </w:p>
    <w:bookmarkEnd w:id="263"/>
    <w:bookmarkStart w:id="265" w:name="organization-for-autism-research"/>
    <w:p>
      <w:pPr>
        <w:pStyle w:val="Heading3"/>
      </w:pPr>
      <w:r>
        <w:t xml:space="preserve">Organization for Autism Research</w:t>
      </w:r>
    </w:p>
    <w:p>
      <w:pPr>
        <w:pStyle w:val="Compact"/>
        <w:numPr>
          <w:ilvl w:val="0"/>
          <w:numId w:val="1050"/>
        </w:numPr>
      </w:pPr>
      <w:hyperlink r:id="rId264">
        <w:r>
          <w:rPr>
            <w:rStyle w:val="Hyperlink"/>
          </w:rPr>
          <w:t xml:space="preserve">Community Grant Competition</w:t>
        </w:r>
      </w:hyperlink>
    </w:p>
    <w:bookmarkEnd w:id="265"/>
    <w:bookmarkStart w:id="267" w:name="X166bc23d85f6146a669e0be28dd9ff56879658c"/>
    <w:p>
      <w:pPr>
        <w:pStyle w:val="Heading3"/>
      </w:pPr>
      <w:r>
        <w:t xml:space="preserve">Patient Centered Outcomes Research Organization</w:t>
      </w:r>
    </w:p>
    <w:p>
      <w:pPr>
        <w:pStyle w:val="Compact"/>
        <w:numPr>
          <w:ilvl w:val="0"/>
          <w:numId w:val="1051"/>
        </w:numPr>
      </w:pPr>
      <w:hyperlink r:id="rId266">
        <w:r>
          <w:rPr>
            <w:rStyle w:val="Hyperlink"/>
          </w:rPr>
          <w:t xml:space="preserve">Need info</w:t>
        </w:r>
      </w:hyperlink>
    </w:p>
    <w:bookmarkEnd w:id="267"/>
    <w:bookmarkEnd w:id="268"/>
    <w:bookmarkEnd w:id="269"/>
    <w:bookmarkStart w:id="279" w:name="sec-neurodiversity"/>
    <w:p>
      <w:pPr>
        <w:pStyle w:val="Heading1"/>
      </w:pPr>
      <w:r>
        <w:t xml:space="preserve">Neurodiversity and Neurodivergence</w:t>
      </w:r>
    </w:p>
    <w:p>
      <w:pPr>
        <w:pStyle w:val="FirstParagraph"/>
      </w:pPr>
      <w:r>
        <w:t xml:space="preserve">Many people find</w:t>
      </w:r>
      <w:r>
        <w:t xml:space="preserve"> </w:t>
      </w:r>
      <w:hyperlink r:id="rId270">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71">
        <w:r>
          <w:rPr>
            <w:rStyle w:val="Hyperlink"/>
            <w:u w:val="single"/>
          </w:rPr>
          <w:t xml:space="preserve">chatGPT</w:t>
        </w:r>
      </w:hyperlink>
      <w:r>
        <w:t xml:space="preserve">:</w:t>
      </w:r>
    </w:p>
    <w:bookmarkStart w:id="272"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72"/>
    <w:bookmarkStart w:id="273"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73"/>
    <w:bookmarkStart w:id="274"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74"/>
    <w:bookmarkStart w:id="275"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75"/>
    <w:bookmarkStart w:id="276"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76"/>
    <w:bookmarkStart w:id="278"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77" w:name="references"/>
    <w:p>
      <w:pPr>
        <w:pStyle w:val="Heading3"/>
      </w:pPr>
      <w:r>
        <w:rPr>
          <w:b/>
          <w:bCs/>
        </w:rPr>
        <w:t xml:space="preserve">References</w:t>
      </w:r>
    </w:p>
    <w:p>
      <w:pPr>
        <w:pStyle w:val="BlockText"/>
      </w:pPr>
      <w:r>
        <w:t xml:space="preserve">1. Singer, J. (1998).</w:t>
      </w:r>
      <w:r>
        <w:t xml:space="preserve"> </w:t>
      </w:r>
      <w:r>
        <w:rPr>
          <w:b/>
          <w:bCs/>
        </w:rPr>
        <w:t xml:space="preserve">Odd People In: The Birth of Community Amongst People on the</w:t>
      </w:r>
      <w:r>
        <w:rPr>
          <w:b/>
          <w:bCs/>
        </w:rPr>
        <w:t xml:space="preserve"> </w:t>
      </w:r>
      <w:r>
        <w:rPr>
          <w:b/>
          <w:bCs/>
        </w:rPr>
        <w:t xml:space="preserve">‘</w:t>
      </w:r>
      <w:r>
        <w:rPr>
          <w:b/>
          <w:bCs/>
        </w:rPr>
        <w:t xml:space="preserve">Autistic Spectrum</w:t>
      </w:r>
      <w:r>
        <w:rPr>
          <w:b/>
          <w:bCs/>
        </w:rPr>
        <w:t xml:space="preserve">’</w:t>
      </w:r>
      <w:r>
        <w:t xml:space="preserve">. Honours Thesis, University of Technology, Sydney.</w:t>
      </w:r>
    </w:p>
    <w:p>
      <w:pPr>
        <w:pStyle w:val="BlockText"/>
      </w:pPr>
      <w:r>
        <w:t xml:space="preserve">2. Silberman, S. (2015).</w:t>
      </w:r>
      <w:r>
        <w:t xml:space="preserve"> </w:t>
      </w:r>
      <w:r>
        <w:rPr>
          <w:b/>
          <w:bCs/>
        </w:rPr>
        <w:t xml:space="preserve">NeuroTribes: The Legacy of Autism and the Future of Neurodiversity</w:t>
      </w:r>
      <w:r>
        <w:t xml:space="preserve">. Avery.</w:t>
      </w:r>
    </w:p>
    <w:p>
      <w:pPr>
        <w:pStyle w:val="BlockText"/>
      </w:pPr>
      <w:r>
        <w:t xml:space="preserve">3. Armstrong, T. (2010).</w:t>
      </w:r>
      <w:r>
        <w:t xml:space="preserve"> </w:t>
      </w:r>
      <w:r>
        <w:rPr>
          <w:b/>
          <w:bCs/>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
          <w:bCs/>
        </w:rPr>
        <w:t xml:space="preserve">Deficit, Difference, or Both? Autism and Neurodiversity</w:t>
      </w:r>
      <w:r>
        <w:t xml:space="preserve">. Developmental Psychology, 49(1), 59–71.</w:t>
      </w:r>
    </w:p>
    <w:bookmarkEnd w:id="277"/>
    <w:bookmarkEnd w:id="278"/>
    <w:bookmarkEnd w:id="279"/>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2024-06-27T06:10:21Z</dcterms:created>
  <dcterms:modified xsi:type="dcterms:W3CDTF">2024-06-27T06:10:21Z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2024-06-26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