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20.png" ContentType="image/png"/>
  <Override PartName="/word/media/rId6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6/3/24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r>
        <w:t xml:space="preserve">1. </w:t>
      </w: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mission"/>
    <w:p>
      <w:pPr>
        <w:pStyle w:val="Heading1"/>
      </w:pPr>
      <w:r>
        <w:t xml:space="preserve">2. Mission</w:t>
      </w:r>
    </w:p>
    <w:p>
      <w:pPr>
        <w:pStyle w:val="FirstParagraph"/>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executive-summary"/>
    <w:p>
      <w:pPr>
        <w:pStyle w:val="Heading1"/>
      </w:pPr>
      <w:r>
        <w:t xml:space="preserve">3. Executive Summary</w:t>
      </w:r>
    </w:p>
    <w:bookmarkStart w:id="25" w:name="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autism-all-grown-up"/>
    <w:p>
      <w:pPr>
        <w:pStyle w:val="Heading2"/>
      </w:pPr>
      <w:r>
        <w:t xml:space="preserve">Autism All Grown Up</w:t>
      </w:r>
    </w:p>
    <w:p>
      <w:pPr>
        <w:pStyle w:val="FirstParagraph"/>
      </w:pPr>
      <w:r>
        <w:t xml:space="preserve">Autism is all grown up, and it isn’t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the-nexus-approach"/>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1" w:name="autism-in-2024-and-the-lost-generations"/>
    <w:p>
      <w:pPr>
        <w:pStyle w:val="Heading1"/>
      </w:pPr>
      <w:r>
        <w:t xml:space="preserve">4. Autism in 2024 and The Lost Generations</w:t>
      </w:r>
    </w:p>
    <w:bookmarkStart w:id="30" w:name="the-new-world-of-autism"/>
    <w:p>
      <w:pPr>
        <w:pStyle w:val="Heading2"/>
      </w:pPr>
      <w:r>
        <w:t xml:space="preserve">The New World of Autism</w:t>
      </w:r>
    </w:p>
    <w:p>
      <w:pPr>
        <w:pStyle w:val="FirstParagraph"/>
      </w:pPr>
      <w:r>
        <w:t xml:space="preserve">Recent advancements in autism research, largely driven by autistic self-advocates and researchers, have highlighted the need for a paradigm shift in understanding and supporting autistic individuals. Key findings include:</w:t>
      </w:r>
    </w:p>
    <w:p>
      <w:pPr>
        <w:numPr>
          <w:ilvl w:val="0"/>
          <w:numId w:val="1002"/>
        </w:numPr>
      </w:pPr>
      <w:r>
        <w:rPr>
          <w:bCs/>
          <w:b/>
        </w:rPr>
        <w:t xml:space="preserve">Navigational Challenges:</w:t>
      </w:r>
      <w:r>
        <w:t xml:space="preserve"> </w:t>
      </w:r>
      <w:r>
        <w:t xml:space="preserve">Most autistic individuals are not intellectually disabled but face substantial challenges navigating society. Navigating society feels like being a left-handed person using right-handed scissors: difficult and unwieldy at best.</w:t>
      </w:r>
    </w:p>
    <w:p>
      <w:pPr>
        <w:numPr>
          <w:ilvl w:val="0"/>
          <w:numId w:val="1002"/>
        </w:numPr>
      </w:pPr>
      <w:r>
        <w:rPr>
          <w:bCs/>
          <w:b/>
        </w:rPr>
        <w:t xml:space="preserve">Lifelong Condition:</w:t>
      </w:r>
      <w:r>
        <w:t xml:space="preserve"> </w:t>
      </w:r>
      <w:r>
        <w:t xml:space="preserve">Autism is a lifelong neurological difference, not a disorder to be cured. There are roughly the same percentage of autistic adults as children, but there are four times as many adults as children.</w:t>
      </w:r>
    </w:p>
    <w:p>
      <w:pPr>
        <w:numPr>
          <w:ilvl w:val="0"/>
          <w:numId w:val="1002"/>
        </w:numPr>
      </w:pPr>
      <w:r>
        <w:rPr>
          <w:bCs/>
          <w:b/>
        </w:rPr>
        <w:t xml:space="preserve">Neurodiversity:</w:t>
      </w:r>
      <w:r>
        <w:t xml:space="preserve"> </w:t>
      </w:r>
      <w:r>
        <w:t xml:space="preserve">The neurodiversity paradigm recognizes autism as a natural variation in human neurology. Statistically, fewer than half of autistic people are intellectually disabled but may face challenges navigating a neurotypical world. A significant population of autistic adults has needs that are often unmet.</w:t>
      </w:r>
    </w:p>
    <w:p>
      <w:pPr>
        <w:numPr>
          <w:ilvl w:val="0"/>
          <w:numId w:val="1002"/>
        </w:numPr>
      </w:pPr>
      <w:r>
        <w:rPr>
          <w:bCs/>
          <w:b/>
        </w:rPr>
        <w:t xml:space="preserve">Focus Gaps:</w:t>
      </w:r>
      <w:r>
        <w:t xml:space="preserve"> </w:t>
      </w:r>
      <w:r>
        <w:t xml:space="preserve">Research and services have predominantly focused on children and intellectually disabled adults, leaving a gap for others. We have failed, and continue to fail, to study autistic life after high school.</w:t>
      </w:r>
    </w:p>
    <w:p>
      <w:pPr>
        <w:numPr>
          <w:ilvl w:val="0"/>
          <w:numId w:val="1002"/>
        </w:numPr>
      </w:pPr>
      <w:r>
        <w:t xml:space="preserve">Autism is a lifelong neurological difference, not a disorder to be cured.</w:t>
      </w:r>
    </w:p>
    <w:p>
      <w:pPr>
        <w:numPr>
          <w:ilvl w:val="0"/>
          <w:numId w:val="1002"/>
        </w:numPr>
      </w:pPr>
      <w:r>
        <w:t xml:space="preserve">Most autistic people are not intellectually or physically disabled but may face substantial challenges.</w:t>
      </w:r>
    </w:p>
    <w:p>
      <w:pPr>
        <w:numPr>
          <w:ilvl w:val="0"/>
          <w:numId w:val="1002"/>
        </w:numPr>
      </w:pPr>
      <w:r>
        <w:t xml:space="preserve">The neurodiversity paradigm recognizes autism as a natural variation in human neurology. For many autistic people, the hardest part about being autistic is navigating a neurotypical world.</w:t>
      </w:r>
    </w:p>
    <w:p>
      <w:pPr>
        <w:numPr>
          <w:ilvl w:val="0"/>
          <w:numId w:val="1002"/>
        </w:numPr>
      </w:pPr>
      <w:r>
        <w:t xml:space="preserve">Research and services have predominantly focused on children leaving out adults, especially those without profound disabilities.</w:t>
      </w:r>
    </w:p>
    <w:bookmarkEnd w:id="30"/>
    <w:bookmarkEnd w:id="31"/>
    <w:bookmarkStart w:id="32" w:name="lost-generations-of-autistic-adults"/>
    <w:p>
      <w:pPr>
        <w:pStyle w:val="Heading1"/>
      </w:pPr>
      <w:r>
        <w:t xml:space="preserve">5. 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pStyle w:val="BodyText"/>
      </w:pPr>
      <w:r>
        <w:t xml:space="preserve">Despite these challenges, many autistic adults possess valuable skills, talents, and perspectives that society misses out on by not acknowledging their needs, hearing their voices, and making room for them at the table.</w:t>
      </w:r>
    </w:p>
    <w:bookmarkEnd w:id="32"/>
    <w:bookmarkStart w:id="37" w:name="Xcf8af53c8f819c9554fec05100a5faf8559a1cf"/>
    <w:p>
      <w:pPr>
        <w:pStyle w:val="Heading1"/>
      </w:pPr>
      <w:r>
        <w:t xml:space="preserve">6. Autism All Grown Up (AAGU): A Nexus for Change</w:t>
      </w:r>
    </w:p>
    <w:bookmarkStart w:id="33" w:name="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3"/>
        </w:numPr>
        <w:pStyle w:val="Compact"/>
      </w:pPr>
      <w:r>
        <w:t xml:space="preserve">Creating accessible guides for obtaining adult autism diagnoses through Oregon’s Medicaid and Vocational Rehabilitation systems</w:t>
      </w:r>
    </w:p>
    <w:p>
      <w:pPr>
        <w:numPr>
          <w:ilvl w:val="0"/>
          <w:numId w:val="1003"/>
        </w:numPr>
        <w:pStyle w:val="Compact"/>
      </w:pPr>
      <w:r>
        <w:t xml:space="preserve">Establishing The Uncommons, autism-friendly co-working and community spaces</w:t>
      </w:r>
    </w:p>
    <w:p>
      <w:pPr>
        <w:numPr>
          <w:ilvl w:val="0"/>
          <w:numId w:val="1003"/>
        </w:numPr>
        <w:pStyle w:val="Compact"/>
      </w:pPr>
      <w:r>
        <w:t xml:space="preserve">Improving online resources for autistic adults and providing consulting services to others to do the same</w:t>
      </w:r>
    </w:p>
    <w:p>
      <w:pPr>
        <w:numPr>
          <w:ilvl w:val="0"/>
          <w:numId w:val="1003"/>
        </w:numPr>
        <w:pStyle w:val="Compact"/>
      </w:pPr>
      <w:r>
        <w:t xml:space="preserve">Participating in data analysis and research efforts to better understand the needs of autistic adults in Oregon</w:t>
      </w:r>
    </w:p>
    <w:bookmarkEnd w:id="33"/>
    <w:bookmarkStart w:id="34" w:name="what-we-have-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4"/>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4"/>
        </w:numPr>
        <w:pStyle w:val="Compact"/>
      </w:pPr>
      <w:r>
        <w:t xml:space="preserve">Securing temporary spaces for The Uncommons, autism-friendly co-working and community spaces</w:t>
      </w:r>
    </w:p>
    <w:p>
      <w:pPr>
        <w:numPr>
          <w:ilvl w:val="0"/>
          <w:numId w:val="1004"/>
        </w:numPr>
        <w:pStyle w:val="Compact"/>
      </w:pPr>
      <w:r>
        <w:t xml:space="preserve">Consulting with the Autism Society of Oregon to improve their online resources</w:t>
      </w:r>
    </w:p>
    <w:p>
      <w:pPr>
        <w:numPr>
          <w:ilvl w:val="0"/>
          <w:numId w:val="1004"/>
        </w:numPr>
        <w:pStyle w:val="Compact"/>
      </w:pPr>
      <w:r>
        <w:t xml:space="preserve">Participating in the Oregon Commission on Autism Spectrum Disorder’s data working group</w:t>
      </w:r>
    </w:p>
    <w:bookmarkEnd w:id="34"/>
    <w:bookmarkStart w:id="35" w:name="goals-1"/>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5"/>
        </w:numPr>
        <w:pStyle w:val="Compact"/>
      </w:pPr>
      <w:r>
        <w:t xml:space="preserve">Establishing The Uncommons, a meeting and coworking space for autistic adults</w:t>
      </w:r>
    </w:p>
    <w:p>
      <w:pPr>
        <w:numPr>
          <w:ilvl w:val="0"/>
          <w:numId w:val="1005"/>
        </w:numPr>
        <w:pStyle w:val="Compact"/>
      </w:pPr>
      <w:r>
        <w:t xml:space="preserve">Creating comprehensive guides on navigating healthcare, employment, and social services</w:t>
      </w:r>
    </w:p>
    <w:p>
      <w:pPr>
        <w:numPr>
          <w:ilvl w:val="0"/>
          <w:numId w:val="1005"/>
        </w:numPr>
        <w:pStyle w:val="Compact"/>
      </w:pPr>
      <w:r>
        <w:t xml:space="preserve">Building partnerships with local organizations to enhance service delivery</w:t>
      </w:r>
    </w:p>
    <w:p>
      <w:pPr>
        <w:numPr>
          <w:ilvl w:val="0"/>
          <w:numId w:val="1005"/>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6"/>
        </w:numPr>
        <w:pStyle w:val="Compact"/>
      </w:pPr>
      <w:r>
        <w:t xml:space="preserve">Seed (Weeks 1-8): Set up organizational structure, solicit initial funds, establish community presence, and build initial partnerships</w:t>
      </w:r>
    </w:p>
    <w:p>
      <w:pPr>
        <w:numPr>
          <w:ilvl w:val="0"/>
          <w:numId w:val="1006"/>
        </w:numPr>
        <w:pStyle w:val="Compact"/>
      </w:pPr>
      <w:r>
        <w:t xml:space="preserve">Sprout (Weeks 9-26): Continue building community connections, develop The Uncommons, create informational materials, and identify large funding opportunities</w:t>
      </w:r>
    </w:p>
    <w:p>
      <w:pPr>
        <w:numPr>
          <w:ilvl w:val="0"/>
          <w:numId w:val="1006"/>
        </w:numPr>
        <w:pStyle w:val="Compact"/>
      </w:pPr>
      <w:r>
        <w:t xml:space="preserve">Grow (Beyond Week 26): Expand The Uncommons, apply for large grants, build information and communication infrastructure, and establish a sustainable model for ongoing operations</w:t>
      </w:r>
    </w:p>
    <w:bookmarkEnd w:id="35"/>
    <w:bookmarkStart w:id="36" w:name="growth-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7"/>
        </w:numPr>
        <w:pStyle w:val="Compact"/>
      </w:pPr>
      <w:r>
        <w:rPr>
          <w:bCs/>
          <w:b/>
        </w:rPr>
        <w:t xml:space="preserve">Budget:</w:t>
      </w:r>
      <w:r>
        <w:t xml:space="preserve"> </w:t>
      </w:r>
      <w:r>
        <w:t xml:space="preserve">$2,310/week</w:t>
      </w:r>
    </w:p>
    <w:p>
      <w:pPr>
        <w:numPr>
          <w:ilvl w:val="0"/>
          <w:numId w:val="1007"/>
        </w:numPr>
        <w:pStyle w:val="Compact"/>
      </w:pPr>
      <w:r>
        <w:rPr>
          <w:bCs/>
          <w:b/>
        </w:rPr>
        <w:t xml:space="preserve">Effort:</w:t>
      </w:r>
      <w:r>
        <w:t xml:space="preserve"> </w:t>
      </w:r>
      <w:r>
        <w:t xml:space="preserve">1.5 FTE</w:t>
      </w:r>
    </w:p>
    <w:p>
      <w:pPr>
        <w:numPr>
          <w:ilvl w:val="0"/>
          <w:numId w:val="1007"/>
        </w:numPr>
        <w:pStyle w:val="Compact"/>
      </w:pPr>
      <w:r>
        <w:rPr>
          <w:bCs/>
          <w:b/>
        </w:rPr>
        <w:t xml:space="preserve">Actions:</w:t>
      </w:r>
    </w:p>
    <w:p>
      <w:pPr>
        <w:numPr>
          <w:ilvl w:val="1"/>
          <w:numId w:val="1008"/>
        </w:numPr>
        <w:pStyle w:val="Compact"/>
      </w:pPr>
      <w:r>
        <w:t xml:space="preserve">Set up organizational structure</w:t>
      </w:r>
    </w:p>
    <w:p>
      <w:pPr>
        <w:numPr>
          <w:ilvl w:val="1"/>
          <w:numId w:val="1008"/>
        </w:numPr>
        <w:pStyle w:val="Compact"/>
      </w:pPr>
      <w:r>
        <w:t xml:space="preserve">Solicit initial funds</w:t>
      </w:r>
    </w:p>
    <w:p>
      <w:pPr>
        <w:numPr>
          <w:ilvl w:val="1"/>
          <w:numId w:val="1008"/>
        </w:numPr>
        <w:pStyle w:val="Compact"/>
      </w:pPr>
      <w:r>
        <w:t xml:space="preserve">Establish community presence</w:t>
      </w:r>
    </w:p>
    <w:p>
      <w:pPr>
        <w:numPr>
          <w:ilvl w:val="1"/>
          <w:numId w:val="1008"/>
        </w:numPr>
        <w:pStyle w:val="Compact"/>
      </w:pPr>
      <w:r>
        <w:t xml:space="preserve">Build initial partnerships</w:t>
      </w:r>
    </w:p>
    <w:p>
      <w:pPr>
        <w:pStyle w:val="FirstParagraph"/>
      </w:pPr>
      <w:r>
        <w:rPr>
          <w:bCs/>
          <w:b/>
        </w:rPr>
        <w:t xml:space="preserve">2. Sprout (Weeks 9-26)</w:t>
      </w:r>
    </w:p>
    <w:p>
      <w:pPr>
        <w:numPr>
          <w:ilvl w:val="0"/>
          <w:numId w:val="1009"/>
        </w:numPr>
        <w:pStyle w:val="Compact"/>
      </w:pPr>
      <w:r>
        <w:rPr>
          <w:bCs/>
          <w:b/>
        </w:rPr>
        <w:t xml:space="preserve">Budget:</w:t>
      </w:r>
      <w:r>
        <w:t xml:space="preserve"> </w:t>
      </w:r>
      <w:r>
        <w:t xml:space="preserve">$4,620/week</w:t>
      </w:r>
    </w:p>
    <w:p>
      <w:pPr>
        <w:numPr>
          <w:ilvl w:val="0"/>
          <w:numId w:val="1009"/>
        </w:numPr>
        <w:pStyle w:val="Compact"/>
      </w:pPr>
      <w:r>
        <w:rPr>
          <w:bCs/>
          <w:b/>
        </w:rPr>
        <w:t xml:space="preserve">Effort:</w:t>
      </w:r>
      <w:r>
        <w:t xml:space="preserve"> </w:t>
      </w:r>
      <w:r>
        <w:t xml:space="preserve">2.75 FTE</w:t>
      </w:r>
    </w:p>
    <w:p>
      <w:pPr>
        <w:numPr>
          <w:ilvl w:val="0"/>
          <w:numId w:val="1009"/>
        </w:numPr>
        <w:pStyle w:val="Compact"/>
      </w:pPr>
      <w:r>
        <w:rPr>
          <w:bCs/>
          <w:b/>
        </w:rPr>
        <w:t xml:space="preserve">Actions:</w:t>
      </w:r>
    </w:p>
    <w:p>
      <w:pPr>
        <w:numPr>
          <w:ilvl w:val="1"/>
          <w:numId w:val="1010"/>
        </w:numPr>
        <w:pStyle w:val="Compact"/>
      </w:pPr>
      <w:r>
        <w:t xml:space="preserve">Continue building community connections</w:t>
      </w:r>
    </w:p>
    <w:p>
      <w:pPr>
        <w:numPr>
          <w:ilvl w:val="1"/>
          <w:numId w:val="1010"/>
        </w:numPr>
        <w:pStyle w:val="Compact"/>
      </w:pPr>
      <w:r>
        <w:t xml:space="preserve">Develop The Uncommons</w:t>
      </w:r>
    </w:p>
    <w:p>
      <w:pPr>
        <w:numPr>
          <w:ilvl w:val="1"/>
          <w:numId w:val="1010"/>
        </w:numPr>
        <w:pStyle w:val="Compact"/>
      </w:pPr>
      <w:r>
        <w:t xml:space="preserve">Create informational materials</w:t>
      </w:r>
    </w:p>
    <w:p>
      <w:pPr>
        <w:numPr>
          <w:ilvl w:val="1"/>
          <w:numId w:val="1010"/>
        </w:numPr>
        <w:pStyle w:val="Compact"/>
      </w:pPr>
      <w:r>
        <w:t xml:space="preserve">Identify large funding opportunities</w:t>
      </w:r>
    </w:p>
    <w:p>
      <w:pPr>
        <w:pStyle w:val="FirstParagraph"/>
      </w:pPr>
      <w:r>
        <w:rPr>
          <w:bCs/>
          <w:b/>
        </w:rPr>
        <w:t xml:space="preserve">3. Grow (Beyond Week 26)</w:t>
      </w:r>
    </w:p>
    <w:p>
      <w:pPr>
        <w:numPr>
          <w:ilvl w:val="0"/>
          <w:numId w:val="1011"/>
        </w:numPr>
        <w:pStyle w:val="Compact"/>
      </w:pPr>
      <w:r>
        <w:rPr>
          <w:bCs/>
          <w:b/>
        </w:rPr>
        <w:t xml:space="preserve">Budget:</w:t>
      </w:r>
      <w:r>
        <w:t xml:space="preserve"> </w:t>
      </w:r>
      <w:r>
        <w:t xml:space="preserve">$6,468/week</w:t>
      </w:r>
    </w:p>
    <w:p>
      <w:pPr>
        <w:numPr>
          <w:ilvl w:val="0"/>
          <w:numId w:val="1011"/>
        </w:numPr>
        <w:pStyle w:val="Compact"/>
      </w:pPr>
      <w:r>
        <w:rPr>
          <w:bCs/>
          <w:b/>
        </w:rPr>
        <w:t xml:space="preserve">Effort:</w:t>
      </w:r>
      <w:r>
        <w:t xml:space="preserve"> </w:t>
      </w:r>
      <w:r>
        <w:t xml:space="preserve">4.25 FTE</w:t>
      </w:r>
    </w:p>
    <w:p>
      <w:pPr>
        <w:numPr>
          <w:ilvl w:val="0"/>
          <w:numId w:val="1011"/>
        </w:numPr>
        <w:pStyle w:val="Compact"/>
      </w:pPr>
      <w:r>
        <w:rPr>
          <w:bCs/>
          <w:b/>
        </w:rPr>
        <w:t xml:space="preserve">Actions:</w:t>
      </w:r>
    </w:p>
    <w:p>
      <w:pPr>
        <w:numPr>
          <w:ilvl w:val="1"/>
          <w:numId w:val="1012"/>
        </w:numPr>
        <w:pStyle w:val="Compact"/>
      </w:pPr>
      <w:r>
        <w:t xml:space="preserve">Expand The Uncommons</w:t>
      </w:r>
    </w:p>
    <w:p>
      <w:pPr>
        <w:numPr>
          <w:ilvl w:val="1"/>
          <w:numId w:val="1012"/>
        </w:numPr>
        <w:pStyle w:val="Compact"/>
      </w:pPr>
      <w:r>
        <w:t xml:space="preserve">Apply for large grants</w:t>
      </w:r>
    </w:p>
    <w:p>
      <w:pPr>
        <w:numPr>
          <w:ilvl w:val="1"/>
          <w:numId w:val="1012"/>
        </w:numPr>
        <w:pStyle w:val="Compact"/>
      </w:pPr>
      <w:r>
        <w:t xml:space="preserve">Build information and communication infrastructure</w:t>
      </w:r>
    </w:p>
    <w:p>
      <w:pPr>
        <w:numPr>
          <w:ilvl w:val="1"/>
          <w:numId w:val="1012"/>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36"/>
    <w:bookmarkEnd w:id="37"/>
    <w:bookmarkStart w:id="65" w:name="references"/>
    <w:p>
      <w:pPr>
        <w:pStyle w:val="Heading1"/>
      </w:pPr>
      <w:r>
        <w:t xml:space="preserve">7. References</w:t>
      </w:r>
    </w:p>
    <w:bookmarkStart w:id="64" w:name="refs"/>
    <w:bookmarkStart w:id="39"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38">
        <w:r>
          <w:rPr>
            <w:rStyle w:val="Hyperlink"/>
          </w:rPr>
          <w:t xml:space="preserve">https://doi.org/10.1016/bs.irrdd.2018.08.003</w:t>
        </w:r>
      </w:hyperlink>
      <w:r>
        <w:t xml:space="preserve">.</w:t>
      </w:r>
    </w:p>
    <w:bookmarkEnd w:id="39"/>
    <w:bookmarkStart w:id="41"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40">
        <w:r>
          <w:rPr>
            <w:rStyle w:val="Hyperlink"/>
          </w:rPr>
          <w:t xml:space="preserve">https://doi.org/10.13140/RG.2.2.16668.82568</w:t>
        </w:r>
      </w:hyperlink>
      <w:r>
        <w:t xml:space="preserve">.</w:t>
      </w:r>
    </w:p>
    <w:bookmarkEnd w:id="41"/>
    <w:bookmarkStart w:id="43"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42">
        <w:r>
          <w:rPr>
            <w:rStyle w:val="Hyperlink"/>
          </w:rPr>
          <w:t xml:space="preserve">https://doi.org/10.1177/1362361318768484</w:t>
        </w:r>
      </w:hyperlink>
      <w:r>
        <w:t xml:space="preserve">.</w:t>
      </w:r>
    </w:p>
    <w:bookmarkEnd w:id="43"/>
    <w:bookmarkStart w:id="45"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44">
        <w:r>
          <w:rPr>
            <w:rStyle w:val="Hyperlink"/>
          </w:rPr>
          <w:t xml:space="preserve">https://doi.org/10.1002/aur.2795</w:t>
        </w:r>
      </w:hyperlink>
      <w:r>
        <w:t xml:space="preserve">.</w:t>
      </w:r>
    </w:p>
    <w:bookmarkEnd w:id="45"/>
    <w:bookmarkStart w:id="47"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46">
        <w:r>
          <w:rPr>
            <w:rStyle w:val="Hyperlink"/>
          </w:rPr>
          <w:t xml:space="preserve">https://doi.org/10.1007/s10803-021-05019-3</w:t>
        </w:r>
      </w:hyperlink>
      <w:r>
        <w:t xml:space="preserve">.</w:t>
      </w:r>
    </w:p>
    <w:bookmarkEnd w:id="47"/>
    <w:bookmarkStart w:id="49"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48">
        <w:r>
          <w:rPr>
            <w:rStyle w:val="Hyperlink"/>
          </w:rPr>
          <w:t xml:space="preserve">https://doi.org/10.1177/1362361317714587</w:t>
        </w:r>
      </w:hyperlink>
      <w:r>
        <w:t xml:space="preserve">.</w:t>
      </w:r>
    </w:p>
    <w:bookmarkEnd w:id="49"/>
    <w:bookmarkStart w:id="51"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50">
        <w:r>
          <w:rPr>
            <w:rStyle w:val="Hyperlink"/>
          </w:rPr>
          <w:t xml:space="preserve">https://doi.org/10.1002/aur.1892</w:t>
        </w:r>
      </w:hyperlink>
      <w:r>
        <w:t xml:space="preserve">.</w:t>
      </w:r>
    </w:p>
    <w:bookmarkEnd w:id="51"/>
    <w:bookmarkStart w:id="52"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52"/>
    <w:bookmarkStart w:id="54"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53">
        <w:r>
          <w:rPr>
            <w:rStyle w:val="Hyperlink"/>
          </w:rPr>
          <w:t xml:space="preserve">https://doi.org/10.1037/pag0000446</w:t>
        </w:r>
      </w:hyperlink>
      <w:r>
        <w:t xml:space="preserve">.</w:t>
      </w:r>
    </w:p>
    <w:bookmarkEnd w:id="54"/>
    <w:bookmarkStart w:id="56"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55">
        <w:r>
          <w:rPr>
            <w:rStyle w:val="Hyperlink"/>
          </w:rPr>
          <w:t xml:space="preserve">https://doi.org/10.1089/aut.2020.0010</w:t>
        </w:r>
      </w:hyperlink>
      <w:r>
        <w:t xml:space="preserve">.</w:t>
      </w:r>
    </w:p>
    <w:bookmarkEnd w:id="56"/>
    <w:bookmarkStart w:id="58"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57">
        <w:r>
          <w:rPr>
            <w:rStyle w:val="Hyperlink"/>
          </w:rPr>
          <w:t xml:space="preserve">https://doi.org/10.1016/j.jaac.2017.03.013</w:t>
        </w:r>
      </w:hyperlink>
      <w:r>
        <w:t xml:space="preserve">.</w:t>
      </w:r>
    </w:p>
    <w:bookmarkEnd w:id="58"/>
    <w:bookmarkStart w:id="60"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59">
        <w:r>
          <w:rPr>
            <w:rStyle w:val="Hyperlink"/>
          </w:rPr>
          <w:t xml:space="preserve">https://doi.org/10.1007/s00787-017-1020-0</w:t>
        </w:r>
      </w:hyperlink>
      <w:r>
        <w:t xml:space="preserve">.</w:t>
      </w:r>
    </w:p>
    <w:bookmarkEnd w:id="60"/>
    <w:bookmarkStart w:id="62"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61">
        <w:r>
          <w:rPr>
            <w:rStyle w:val="Hyperlink"/>
          </w:rPr>
          <w:t xml:space="preserve">https://doi.org/10.3233/WOR-172492</w:t>
        </w:r>
      </w:hyperlink>
      <w:r>
        <w:t xml:space="preserve">.</w:t>
      </w:r>
    </w:p>
    <w:bookmarkEnd w:id="62"/>
    <w:bookmarkStart w:id="63"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63"/>
    <w:bookmarkEnd w:id="64"/>
    <w:bookmarkEnd w:id="65"/>
    <w:bookmarkStart w:id="87" w:name="sidebars"/>
    <w:p>
      <w:pPr>
        <w:pStyle w:val="Heading1"/>
      </w:pPr>
      <w:r>
        <w:t xml:space="preserve">Appendix A — Sidebars</w:t>
      </w:r>
    </w:p>
    <w:bookmarkStart w:id="69" w:name="what-is-the-autism-spectrum"/>
    <w:p>
      <w:pPr>
        <w:pStyle w:val="Heading2"/>
      </w:pPr>
      <w:r>
        <w:t xml:space="preserve">What is the Autism Spectrum?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67" name="Picture"/>
                  <a:graphic>
                    <a:graphicData uri="http://schemas.openxmlformats.org/drawingml/2006/picture">
                      <pic:pic>
                        <pic:nvPicPr>
                          <pic:cNvPr descr="./media/autism_spectrum.jpeg" id="68"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What the autism spectrum means.</w:t>
            </w:r>
          </w:p>
        </w:tc>
      </w:tr>
    </w:tbl>
    <w:bookmarkEnd w:id="69"/>
    <w:bookmarkStart w:id="71" w:name="the-services-cliff"/>
    <w:p>
      <w:pPr>
        <w:pStyle w:val="Heading2"/>
      </w:pPr>
      <w:r>
        <w:t xml:space="preserve">The Services Cliff</w:t>
      </w:r>
    </w:p>
    <w:p>
      <w:pPr>
        <w:numPr>
          <w:ilvl w:val="0"/>
          <w:numId w:val="1013"/>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70">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p>
      <w:pPr>
        <w:pStyle w:val="BodyText"/>
      </w:pPr>
      <w:r>
        <w:t xml:space="preserve">## Access to Medical Care</w:t>
      </w:r>
    </w:p>
    <w:p>
      <w:pPr>
        <w:pStyle w:val="BodyText"/>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71"/>
    <w:bookmarkStart w:id="72" w:name="medical-training"/>
    <w:p>
      <w:pPr>
        <w:pStyle w:val="Heading2"/>
      </w:pPr>
      <w:r>
        <w:t xml:space="preserve">Medical Training</w:t>
      </w:r>
    </w:p>
    <w:bookmarkEnd w:id="72"/>
    <w:bookmarkStart w:id="77" w:name="autism-research-funding-prioritie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BodyText"/>
      </w:pPr>
      <w:r>
        <w:drawing>
          <wp:inline>
            <wp:extent cx="5011919" cy="3090863"/>
            <wp:effectExtent b="0" l="0" r="0" t="0"/>
            <wp:docPr descr="" title="" id="74" name="Picture"/>
            <a:graphic>
              <a:graphicData uri="http://schemas.openxmlformats.org/drawingml/2006/picture">
                <pic:pic>
                  <pic:nvPicPr>
                    <pic:cNvPr descr="././media/image1.png" id="75" name="Picture"/>
                    <pic:cNvPicPr>
                      <a:picLocks noChangeArrowheads="1" noChangeAspect="1"/>
                    </pic:cNvPicPr>
                  </pic:nvPicPr>
                  <pic:blipFill>
                    <a:blip r:embed="rId73"/>
                    <a:stretch>
                      <a:fillRect/>
                    </a:stretch>
                  </pic:blipFill>
                  <pic:spPr bwMode="auto">
                    <a:xfrm>
                      <a:off x="0" y="0"/>
                      <a:ext cx="5011919" cy="3090863"/>
                    </a:xfrm>
                    <a:prstGeom prst="rect">
                      <a:avLst/>
                    </a:prstGeom>
                    <a:noFill/>
                    <a:ln w="9525">
                      <a:noFill/>
                      <a:headEnd/>
                      <a:tailEnd/>
                    </a:ln>
                  </pic:spPr>
                </pic:pic>
              </a:graphicData>
            </a:graphic>
          </wp:inline>
        </w:drawing>
      </w:r>
    </w:p>
    <w:p>
      <w:pPr>
        <w:pStyle w:val="BodyText"/>
      </w:pPr>
      <w:r>
        <w:t xml:space="preserve">Figure 2. Data from</w:t>
      </w:r>
      <w:r>
        <w:t xml:space="preserve"> </w:t>
      </w:r>
      <w:hyperlink r:id="rId76">
        <w:r>
          <w:rPr>
            <w:rStyle w:val="Hyperlink"/>
            <w:u w:val="single"/>
          </w:rPr>
          <w:t xml:space="preserve">Interagency Autism Coordination Committee</w:t>
        </w:r>
      </w:hyperlink>
    </w:p>
    <w:bookmarkEnd w:id="77"/>
    <w:bookmarkStart w:id="78" w:name="marginalized-groups"/>
    <w:p>
      <w:pPr>
        <w:pStyle w:val="Heading2"/>
      </w:pPr>
      <w:r>
        <w:t xml:space="preserve">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78"/>
    <w:bookmarkStart w:id="81" w:name="physical-and-mental-health"/>
    <w:p>
      <w:pPr>
        <w:pStyle w:val="Heading2"/>
      </w:pPr>
      <w:r>
        <w:t xml:space="preserve">Physical and Mental Health</w:t>
      </w:r>
    </w:p>
    <w:p>
      <w:pPr>
        <w:numPr>
          <w:ilvl w:val="0"/>
          <w:numId w:val="1014"/>
        </w:numPr>
        <w:pStyle w:val="Compact"/>
      </w:pPr>
      <w:r>
        <w:t xml:space="preserve">Health and Well-being: Autistic adults experience higher rates of mental health issues, physical health disparities, and substantially elevated suicide risk [</w:t>
      </w:r>
      <w:hyperlink r:id="rId79">
        <w:r>
          <w:rPr>
            <w:rStyle w:val="Hyperlink"/>
          </w:rPr>
          <w:t xml:space="preserve">https://www.nature.com/articles/s41583-021-00463-7</w:t>
        </w:r>
      </w:hyperlink>
      <w:r>
        <w:t xml:space="preserve">,</w:t>
      </w:r>
      <w:r>
        <w:t xml:space="preserve"> </w:t>
      </w:r>
      <w:hyperlink r:id="rId80">
        <w:r>
          <w:rPr>
            <w:rStyle w:val="Hyperlink"/>
          </w:rPr>
          <w:t xml:space="preserve">https://pubmed.ncbi.nlm.nih.gov/33407027/</w:t>
        </w:r>
      </w:hyperlink>
      <w:r>
        <w:t xml:space="preserve">].</w:t>
      </w:r>
    </w:p>
    <w:p>
      <w:pPr>
        <w:numPr>
          <w:ilvl w:val="0"/>
          <w:numId w:val="1014"/>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81"/>
    <w:bookmarkStart w:id="84" w:name="unemployment"/>
    <w:p>
      <w:pPr>
        <w:pStyle w:val="Heading2"/>
      </w:pPr>
      <w:r>
        <w:t xml:space="preserve">Unemployment</w:t>
      </w:r>
    </w:p>
    <w:p>
      <w:pPr>
        <w:numPr>
          <w:ilvl w:val="0"/>
          <w:numId w:val="1015"/>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82">
        <w:r>
          <w:rPr>
            <w:rStyle w:val="Hyperlink"/>
          </w:rPr>
          <w:t xml:space="preserve">https://www.ncbi.nlm.nih.gov/pmc/articles/PMC5215190/</w:t>
        </w:r>
      </w:hyperlink>
      <w:r>
        <w:t xml:space="preserve">,</w:t>
      </w:r>
      <w:r>
        <w:t xml:space="preserve"> </w:t>
      </w:r>
      <w:hyperlink r:id="rId83">
        <w:r>
          <w:rPr>
            <w:rStyle w:val="Hyperlink"/>
          </w:rPr>
          <w:t xml:space="preserve">https://www.frontiersin.org/articles/10.3389/fpsyg.2021.719827/full</w:t>
        </w:r>
      </w:hyperlink>
      <w:r>
        <w:t xml:space="preserve">].</w:t>
      </w:r>
    </w:p>
    <w:bookmarkEnd w:id="84"/>
    <w:bookmarkStart w:id="85" w:name="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85"/>
    <w:bookmarkStart w:id="86" w:name="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20" Target="media/rId20.png" /><Relationship Type="http://schemas.openxmlformats.org/officeDocument/2006/relationships/image" Id="rId66" Target="media/rId66.jpg" /><Relationship Type="http://schemas.openxmlformats.org/officeDocument/2006/relationships/hyperlink" Id="rId50" Target="https://doi.org/10.1002/aur.1892" TargetMode="External" /><Relationship Type="http://schemas.openxmlformats.org/officeDocument/2006/relationships/hyperlink" Id="rId44" Target="https://doi.org/10.1002/aur.2795" TargetMode="External" /><Relationship Type="http://schemas.openxmlformats.org/officeDocument/2006/relationships/hyperlink" Id="rId59" Target="https://doi.org/10.1007/s00787-017-1020-0" TargetMode="External" /><Relationship Type="http://schemas.openxmlformats.org/officeDocument/2006/relationships/hyperlink" Id="rId46" Target="https://doi.org/10.1007/s10803-021-05019-3" TargetMode="External" /><Relationship Type="http://schemas.openxmlformats.org/officeDocument/2006/relationships/hyperlink" Id="rId38" Target="https://doi.org/10.1016/bs.irrdd.2018.08.003" TargetMode="External" /><Relationship Type="http://schemas.openxmlformats.org/officeDocument/2006/relationships/hyperlink" Id="rId57" Target="https://doi.org/10.1016/j.jaac.2017.03.013" TargetMode="External" /><Relationship Type="http://schemas.openxmlformats.org/officeDocument/2006/relationships/hyperlink" Id="rId53" Target="https://doi.org/10.1037/pag0000446" TargetMode="External" /><Relationship Type="http://schemas.openxmlformats.org/officeDocument/2006/relationships/hyperlink" Id="rId55" Target="https://doi.org/10.1089/aut.2020.0010" TargetMode="External" /><Relationship Type="http://schemas.openxmlformats.org/officeDocument/2006/relationships/hyperlink" Id="rId48" Target="https://doi.org/10.1177/1362361317714587" TargetMode="External" /><Relationship Type="http://schemas.openxmlformats.org/officeDocument/2006/relationships/hyperlink" Id="rId42" Target="https://doi.org/10.1177/1362361318768484" TargetMode="External" /><Relationship Type="http://schemas.openxmlformats.org/officeDocument/2006/relationships/hyperlink" Id="rId40" Target="https://doi.org/10.13140/RG.2.2.16668.82568" TargetMode="External" /><Relationship Type="http://schemas.openxmlformats.org/officeDocument/2006/relationships/hyperlink" Id="rId61" Target="https://doi.org/10.3233/WOR-172492" TargetMode="External" /><Relationship Type="http://schemas.openxmlformats.org/officeDocument/2006/relationships/hyperlink" Id="rId70" Target="https://drexel.edu/autismoutcomes/blog/overview/2015/August/falling-off-the-services-cliff/" TargetMode="External" /><Relationship Type="http://schemas.openxmlformats.org/officeDocument/2006/relationships/hyperlink" Id="rId76" Target="https://iacc.hhs.gov/funding/data/" TargetMode="External" /><Relationship Type="http://schemas.openxmlformats.org/officeDocument/2006/relationships/hyperlink" Id="rId80" Target="https://pubmed.ncbi.nlm.nih.gov/33407027/" TargetMode="External" /><Relationship Type="http://schemas.openxmlformats.org/officeDocument/2006/relationships/hyperlink" Id="rId83" Target="https://www.frontiersin.org/articles/10.3389/fpsyg.2021.719827/full" TargetMode="External" /><Relationship Type="http://schemas.openxmlformats.org/officeDocument/2006/relationships/hyperlink" Id="rId79" Target="https://www.nature.com/articles/s41583-021-00463-7" TargetMode="External" /><Relationship Type="http://schemas.openxmlformats.org/officeDocument/2006/relationships/hyperlink" Id="rId82" Target="https://www.ncbi.nlm.nih.gov/pmc/articles/PMC5215190/"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2/aur.1892" TargetMode="External" /><Relationship Type="http://schemas.openxmlformats.org/officeDocument/2006/relationships/hyperlink" Id="rId44" Target="https://doi.org/10.1002/aur.2795" TargetMode="External" /><Relationship Type="http://schemas.openxmlformats.org/officeDocument/2006/relationships/hyperlink" Id="rId59" Target="https://doi.org/10.1007/s00787-017-1020-0" TargetMode="External" /><Relationship Type="http://schemas.openxmlformats.org/officeDocument/2006/relationships/hyperlink" Id="rId46" Target="https://doi.org/10.1007/s10803-021-05019-3" TargetMode="External" /><Relationship Type="http://schemas.openxmlformats.org/officeDocument/2006/relationships/hyperlink" Id="rId38" Target="https://doi.org/10.1016/bs.irrdd.2018.08.003" TargetMode="External" /><Relationship Type="http://schemas.openxmlformats.org/officeDocument/2006/relationships/hyperlink" Id="rId57" Target="https://doi.org/10.1016/j.jaac.2017.03.013" TargetMode="External" /><Relationship Type="http://schemas.openxmlformats.org/officeDocument/2006/relationships/hyperlink" Id="rId53" Target="https://doi.org/10.1037/pag0000446" TargetMode="External" /><Relationship Type="http://schemas.openxmlformats.org/officeDocument/2006/relationships/hyperlink" Id="rId55" Target="https://doi.org/10.1089/aut.2020.0010" TargetMode="External" /><Relationship Type="http://schemas.openxmlformats.org/officeDocument/2006/relationships/hyperlink" Id="rId48" Target="https://doi.org/10.1177/1362361317714587" TargetMode="External" /><Relationship Type="http://schemas.openxmlformats.org/officeDocument/2006/relationships/hyperlink" Id="rId42" Target="https://doi.org/10.1177/1362361318768484" TargetMode="External" /><Relationship Type="http://schemas.openxmlformats.org/officeDocument/2006/relationships/hyperlink" Id="rId40" Target="https://doi.org/10.13140/RG.2.2.16668.82568" TargetMode="External" /><Relationship Type="http://schemas.openxmlformats.org/officeDocument/2006/relationships/hyperlink" Id="rId61" Target="https://doi.org/10.3233/WOR-172492" TargetMode="External" /><Relationship Type="http://schemas.openxmlformats.org/officeDocument/2006/relationships/hyperlink" Id="rId70" Target="https://drexel.edu/autismoutcomes/blog/overview/2015/August/falling-off-the-services-cliff/" TargetMode="External" /><Relationship Type="http://schemas.openxmlformats.org/officeDocument/2006/relationships/hyperlink" Id="rId76" Target="https://iacc.hhs.gov/funding/data/" TargetMode="External" /><Relationship Type="http://schemas.openxmlformats.org/officeDocument/2006/relationships/hyperlink" Id="rId80" Target="https://pubmed.ncbi.nlm.nih.gov/33407027/" TargetMode="External" /><Relationship Type="http://schemas.openxmlformats.org/officeDocument/2006/relationships/hyperlink" Id="rId83" Target="https://www.frontiersin.org/articles/10.3389/fpsyg.2021.719827/full" TargetMode="External" /><Relationship Type="http://schemas.openxmlformats.org/officeDocument/2006/relationships/hyperlink" Id="rId79" Target="https://www.nature.com/articles/s41583-021-00463-7" TargetMode="External" /><Relationship Type="http://schemas.openxmlformats.org/officeDocument/2006/relationships/hyperlink" Id="rId82" Target="https://www.ncbi.nlm.nih.gov/pmc/articles/PMC52151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2024-06-04T00:13:30Z</dcterms:created>
  <dcterms:modified xsi:type="dcterms:W3CDTF">2024-06-04T00:13:30Z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6/3/24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subtitle">
    <vt:lpwstr>The Autism Nexus of Oregon</vt:lpwstr>
  </property>
  <property fmtid="{D5CDD505-2E9C-101B-9397-08002B2CF9AE}" pid="16" name="toc-title">
    <vt:lpwstr>Contents</vt:lpwstr>
  </property>
  <property fmtid="{D5CDD505-2E9C-101B-9397-08002B2CF9AE}" pid="17" name="website">
    <vt:lpwstr/>
  </property>
</Properties>
</file>