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Saturday scouting pack</w:t>
      </w:r>
    </w:p>
    <w:p>
      <w:pPr>
        <w:pStyle w:val="Subtitle"/>
      </w:pPr>
      <w:r>
        <w:t>Site review and partner discussion for the first volunteering pilot</w:t>
      </w:r>
    </w:p>
    <w:p>
      <w:r>
        <w:t>Purpose: decide whether a real Saturday project can support a small group of autistic children with accompanying adults, CJ and one helper. This pack records evidence; it does not confirm a partnership or authorise a launch.</w:t>
      </w:r>
    </w:p>
    <w:p>
      <w:r>
        <w:t>Scout date and time __________________  Site ______________________________</w:t>
        <w:br/>
        <w:t>Host contact and role __________________________________________________</w:t>
        <w:br/>
        <w:t>CJ / observer ________________________  Follow-up date ____________________</w:t>
      </w:r>
    </w:p>
    <w:p>
      <w:pPr>
        <w:pStyle w:val="Heading1"/>
      </w:pPr>
      <w:r>
        <w:t>What the TASK guide tells us</w:t>
      </w:r>
    </w:p>
    <w:tbl>
      <w:tblPr>
        <w:tblW w:type="auto" w:w="0"/>
        <w:tblLayout w:type="fixed"/>
        <w:tblLook w:firstColumn="1" w:firstRow="1" w:lastColumn="0" w:lastRow="0" w:noHBand="0" w:noVBand="1" w:val="04A0"/>
      </w:tblPr>
      <w:tblGrid>
        <w:gridCol w:w="5040"/>
        <w:gridCol w:w="5184"/>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Guide information</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What still needs checking</w:t>
            </w:r>
          </w:p>
        </w:tc>
      </w:tr>
      <w:tr>
        <w:trPr>
          <w:cantSplit/>
        </w:trPr>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Assembly Soup Kitchen (TASK), 3 Jalan U1/26, Hicom Glenmarie Industrial Park, Shah Alam.</w:t>
            </w:r>
          </w:p>
        </w:tc>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Confirm the entrance, parking, arrival contact and accessible route.</w:t>
            </w:r>
          </w:p>
        </w:tc>
      </w:tr>
      <w:tr>
        <w:trPr>
          <w:cantSplit/>
        </w:trPr>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guide lists Monday to Saturday, 10 am to 2 pm, with dry-goods packing and sorting at 12.30 pm.</w:t>
            </w:r>
          </w:p>
        </w:tc>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Observe an actual Saturday. Ask whether a short visit near 12.30 pm fits current work and closing time.</w:t>
            </w:r>
          </w:p>
        </w:tc>
      </w:tr>
      <w:tr>
        <w:trPr>
          <w:cantSplit/>
        </w:trPr>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Tasks are allocated on the day. Covered shoes, T-shirt and jeans are requested.</w:t>
            </w:r>
          </w:p>
        </w:tc>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APC needs agreed tasks and a safe fallback before inviting families. Check clothing and equipment requirements.</w:t>
            </w:r>
          </w:p>
        </w:tc>
      </w:tr>
      <w:tr>
        <w:trPr>
          <w:cantSplit/>
        </w:trPr>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Group lunch is RM10 per person with advance notice. The guide describes capacity around 50, depending on work and timing.</w:t>
            </w:r>
          </w:p>
        </w:tc>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Confirm whether lunch is needed and the current charge. General site capacity does not establish a safe APC group size.</w:t>
            </w:r>
          </w:p>
        </w:tc>
      </w:tr>
    </w:tbl>
    <w:p>
      <w:r>
        <w:t>Source: TASK Volunteer Guide, supplied by CJ, updated July 2026, pages 1 to 2. Its “12.00am Lunch” entry needs clarification. The guide does not confirm a minimum age, insurance cover or individual accommodations.</w:t>
      </w:r>
    </w:p>
    <w:p>
      <w:pPr>
        <w:pStyle w:val="Heading1"/>
      </w:pPr>
      <w:r>
        <w:t>Keep three kinds of evidence separate</w:t>
      </w:r>
    </w:p>
    <w:tbl>
      <w:tblPr>
        <w:tblW w:type="auto" w:w="0"/>
        <w:tblLayout w:type="fixed"/>
        <w:tblLook w:firstColumn="1" w:firstRow="1" w:lastColumn="0" w:lastRow="0" w:noHBand="0" w:noVBand="1" w:val="04A0"/>
      </w:tblPr>
      <w:tblGrid>
        <w:gridCol w:w="3398"/>
        <w:gridCol w:w="3398"/>
        <w:gridCol w:w="3427"/>
      </w:tblGrid>
      <w:tr>
        <w:trPr>
          <w:cantSplit/>
        </w:trPr>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Observed during the scout</w:t>
            </w:r>
          </w:p>
        </w:tc>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Host stated and by whom</w:t>
            </w:r>
          </w:p>
        </w:tc>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Still unresolved</w:t>
            </w:r>
          </w:p>
        </w:tc>
      </w:tr>
      <w:tr>
        <w:trPr>
          <w:cantSplit/>
        </w:trPr>
        <w:tc>
          <w:tcPr>
            <w:tcW w:type="dxa" w:w="339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339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342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r>
    </w:tbl>
    <w:p>
      <w:r>
        <w:t>Record the time and conditions. A quiet area seen at noon may be busy when our group arrives. Ask permission before taking site photographs and exclude beneficiaries, children and identifiable records.</w:t>
      </w:r>
    </w:p>
    <w:p>
      <w:r>
        <w:br w:type="page"/>
      </w:r>
    </w:p>
    <w:p>
      <w:pPr>
        <w:pStyle w:val="Heading1"/>
      </w:pPr>
      <w:r>
        <w:t>Observe the actual working environment</w:t>
      </w:r>
    </w:p>
    <w:p>
      <w:r>
        <w:t>For each item mark suitable, change needed or unresolved. Write the adjustment and who will confirm it. Do not infer readiness from a quiet visit alone.</w:t>
      </w:r>
    </w:p>
    <w:tbl>
      <w:tblPr>
        <w:tblW w:type="auto" w:w="0"/>
        <w:tblLayout w:type="fixed"/>
        <w:tblLook w:firstColumn="1" w:firstRow="1" w:lastColumn="0" w:lastRow="0" w:noHBand="0" w:noVBand="1" w:val="04A0"/>
      </w:tblPr>
      <w:tblGrid>
        <w:gridCol w:w="5184"/>
        <w:gridCol w:w="5040"/>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Check on site</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Evidence or adjustment needed</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Arrival and exits: vehicle movement, stairs, entrance queues, sign-in and a clear meeting point.</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Work area: away from hot food, sharp tools, heavy lifting and busy trolley routes; seated and standing options.</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Sensory conditions: noise, crowding, smells, heat, lighting, gloves and handwashing.</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Break area: accessible, calm and within agreed adult supervision; safe route back to the activity.</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Toilets and personal care: accessible route, privacy and the accompanying adult responsible for support.</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Task trial: try one packing or sorting cycle. Check useful output, errors, grip, reading and waiting demands.</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Emergency response: named first-aid lead, kit, communication, evacuation route and ambulance access.</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r>
        <w:trPr>
          <w:cantSplit/>
        </w:trPr>
        <w:tc>
          <w:tcPr>
            <w:tcW w:type="dxa" w:w="518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Departure: headcount, handover to the agreed adult, early exit and late arrival arrangements.</w:t>
            </w:r>
          </w:p>
        </w:tc>
        <w:tc>
          <w:tcPr>
            <w:tcW w:type="dxa" w:w="5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Status __________  Notes __________________</w:t>
              <w:br/>
              <w:t>_______________________________________</w:t>
            </w:r>
          </w:p>
        </w:tc>
      </w:tr>
    </w:tbl>
    <w:p>
      <w:pPr>
        <w:pStyle w:val="Heading2"/>
      </w:pPr>
      <w:r>
        <w:t>Test a useful task before offering it</w:t>
      </w:r>
    </w:p>
    <w:p>
      <w:r>
        <w:t>Candidate task ____________________  Host needs this output __________________</w:t>
        <w:br/>
        <w:t>Steps and materials _____________________________________________________</w:t>
        <w:br/>
        <w:t>Child choices ____________________  Adult support __________________________</w:t>
        <w:br/>
        <w:t>Quality check and who does it _____________________________________________</w:t>
        <w:br/>
        <w:t>Fallback if the task is unavailable __________________________________________</w:t>
      </w:r>
    </w:p>
    <w:p>
      <w:r>
        <w:t>Initial task proposals: sort suitable sealed goods, place agreed items into bags, or attach labels if the host needs them. Keep food preparation, hot-food service, knives, heavy loads and street distribution outside this first proposed pilot.</w:t>
      </w:r>
    </w:p>
    <w:p>
      <w:r>
        <w:br w:type="page"/>
      </w:r>
    </w:p>
    <w:p>
      <w:pPr>
        <w:pStyle w:val="Heading1"/>
      </w:pPr>
      <w:r>
        <w:t>Agree responsibilities with the host</w:t>
      </w:r>
    </w:p>
    <w:p>
      <w:r>
        <w:t>Ask these questions during the discussion. A verbal answer is a lead to follow up; obtain written confirmation for arrangements that determine safety or whether we can proceed.</w:t>
      </w:r>
    </w:p>
    <w:tbl>
      <w:tblPr>
        <w:tblW w:type="auto" w:w="0"/>
        <w:tblLayout w:type="fixed"/>
        <w:tblLook w:firstColumn="1" w:firstRow="1" w:lastColumn="0" w:lastRow="0" w:noHBand="0" w:noVBand="1" w:val="04A0"/>
      </w:tblPr>
      <w:tblGrid>
        <w:gridCol w:w="5256"/>
        <w:gridCol w:w="4968"/>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Question to resolve</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Agreed answer or owner and due date</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Who can approve the pilot? What is the minimum age? Are autistic children and accompanying adults accepted in the proposed roles?</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Which Saturday window, duration, tasks, fallback and group size can be agreed? Can we stop or leave early?</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Who is the named host lead? Who briefs volunteers, checks task quality and handles an emergency?</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What insurance applies to APC, minors, accompanying adults and volunteers? What exclusions, waivers or evidence must be checked with the insurer?</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Do these exact tasks require food-handler training, vaccination, hygiene controls or other permissions? Who verifies the applicable requirements?</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What safeguarding rules, conduct standards, checks, incident reporting and complaint routes apply? Who receives a concern?</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Can we protect beneficiary and family privacy, agree no unapproved filming, and share only necessary information with permission?</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r>
        <w:trPr>
          <w:cantSplit/>
        </w:trPr>
        <w:tc>
          <w:tcPr>
            <w:tcW w:type="dxa" w:w="52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What happens if the host, CJ, helper or a family cancels? What costs, lunch arrangements or supplies need advance agreement?</w:t>
            </w:r>
          </w:p>
        </w:tc>
        <w:tc>
          <w:tcPr>
            <w:tcW w:type="dxa" w:w="49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br/>
              <w:t>_______________________________________</w:t>
            </w:r>
          </w:p>
        </w:tc>
      </w:tr>
    </w:tbl>
    <w:p>
      <w:pPr>
        <w:pStyle w:val="Heading2"/>
      </w:pPr>
      <w:r>
        <w:t>Staffing proposal for discussion</w:t>
      </w:r>
    </w:p>
    <w:p>
      <w:r>
        <w:t>Start by discussing up to three child-and-adult pairs, CJ and one helper, eight people in total. Reduce the group if individual support or the site requires it. This is a planning ceiling, not an approved supervision ratio.</w:t>
      </w:r>
    </w:p>
    <w:p>
      <w:r>
        <w:t>CJ leads preparation, coaching, suitability review and the stop decision. The helper manages arrival, materials, transitions and headcounts within their agreed competence. Each accompanying adult stays responsible for their child’s agreed support. The host controls the work area and task instructions. Do not assume the helper or older peers can provide specialist care or first aid.</w:t>
      </w:r>
    </w:p>
    <w:p>
      <w:r>
        <w:br w:type="page"/>
      </w:r>
    </w:p>
    <w:p>
      <w:pPr>
        <w:pStyle w:val="Heading1"/>
      </w:pPr>
      <w:r>
        <w:t>Prepare children and adults together</w:t>
      </w:r>
    </w:p>
    <w:p>
      <w:r>
        <w:t>Use one child goal and one adult strategy for each activity. The sequence below adapts CJ’s supplied coaching notes. It is an APC learning design, not an official or endorsed Hanen programme.</w:t>
      </w:r>
    </w:p>
    <w:tbl>
      <w:tblPr>
        <w:tblW w:type="auto" w:w="0"/>
        <w:tblLayout w:type="fixed"/>
        <w:tblLook w:firstColumn="1" w:firstRow="1" w:lastColumn="0" w:lastRow="0" w:noHBand="0" w:noVBand="1" w:val="04A0"/>
      </w:tblPr>
      <w:tblGrid>
        <w:gridCol w:w="2232"/>
        <w:gridCol w:w="7992"/>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Coaching step</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Activity and observable learning</w:t>
            </w:r>
          </w:p>
        </w:tc>
      </w:tr>
      <w:tr>
        <w:trPr>
          <w:cantSplit/>
        </w:trPr>
        <w:tc>
          <w:tcPr>
            <w:tcW w:type="dxa" w:w="223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Get ready</w:t>
            </w:r>
          </w:p>
        </w:tc>
        <w:tc>
          <w:tcPr>
            <w:tcW w:type="dxa" w:w="799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Child chooses a task or a way to observe. Adult identifies one goal, communication options and signs a break is needed. Practise the arrival and break routine with a visual sequence.</w:t>
            </w:r>
          </w:p>
        </w:tc>
      </w:tr>
      <w:tr>
        <w:trPr>
          <w:cantSplit/>
        </w:trPr>
        <w:tc>
          <w:tcPr>
            <w:tcW w:type="dxa" w:w="223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Show and tell</w:t>
            </w:r>
          </w:p>
        </w:tc>
        <w:tc>
          <w:tcPr>
            <w:tcW w:type="dxa" w:w="799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CJ demonstrates one task with the adult. For example, show one packing step, give one clear cue, then allow time to respond. Adult explains when they would offer help.</w:t>
            </w:r>
          </w:p>
        </w:tc>
      </w:tr>
      <w:tr>
        <w:trPr>
          <w:cantSplit/>
        </w:trPr>
        <w:tc>
          <w:tcPr>
            <w:tcW w:type="dxa" w:w="223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Try and reflect</w:t>
            </w:r>
          </w:p>
        </w:tc>
        <w:tc>
          <w:tcPr>
            <w:tcW w:type="dxa" w:w="799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Child tries a short packing or sorting cycle, with a stop or break option. Adult practises the strategy. CJ observes and asks what helped, what was difficult and what to change.</w:t>
            </w:r>
          </w:p>
        </w:tc>
      </w:tr>
      <w:tr>
        <w:trPr>
          <w:cantSplit/>
        </w:trPr>
        <w:tc>
          <w:tcPr>
            <w:tcW w:type="dxa" w:w="223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Choose a next step</w:t>
            </w:r>
          </w:p>
        </w:tc>
        <w:tc>
          <w:tcPr>
            <w:tcW w:type="dxa" w:w="799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Child shows a preference using speech, gesture, AAC or another familiar way. Adult chooses one adjustment to practise. Record the support used and the useful contribution, without ranking children.</w:t>
            </w:r>
          </w:p>
        </w:tc>
      </w:tr>
    </w:tbl>
    <w:p>
      <w:pPr>
        <w:pStyle w:val="Heading2"/>
      </w:pPr>
      <w:r>
        <w:t>Rehearse the situations most likely to interrupt a visit</w:t>
      </w:r>
    </w:p>
    <w:tbl>
      <w:tblPr>
        <w:tblW w:type="auto" w:w="0"/>
        <w:tblLayout w:type="fixed"/>
        <w:tblLook w:firstColumn="1" w:firstRow="1" w:lastColumn="0" w:lastRow="0" w:noHBand="0" w:noVBand="1" w:val="04A0"/>
      </w:tblPr>
      <w:tblGrid>
        <w:gridCol w:w="3816"/>
        <w:gridCol w:w="6408"/>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Situation</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Agreed response</w:t>
            </w:r>
          </w:p>
        </w:tc>
      </w:tr>
      <w:tr>
        <w:trPr>
          <w:cantSplit/>
        </w:trPr>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Two children need help at once</w:t>
            </w:r>
          </w:p>
        </w:tc>
        <w:tc>
          <w:tcPr>
            <w:tcW w:type="dxa" w:w="640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Adults support their own children; CJ pauses tasks and the helper accounts for everyone. Do not leave a child alone. End the visit if safe supervision cannot be maintained.</w:t>
            </w:r>
          </w:p>
        </w:tc>
      </w:tr>
      <w:tr>
        <w:trPr>
          <w:cantSplit/>
        </w:trPr>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Adult cannot attend or helper is absent</w:t>
            </w:r>
          </w:p>
        </w:tc>
        <w:tc>
          <w:tcPr>
            <w:tcW w:type="dxa" w:w="640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Do not improvise drop-off care. Reassess and postpone unless an appropriately prepared replacement and safe arrangement are confirmed.</w:t>
            </w:r>
          </w:p>
        </w:tc>
      </w:tr>
      <w:tr>
        <w:trPr>
          <w:cantSplit/>
        </w:trPr>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Noise or task demand is too high</w:t>
            </w:r>
          </w:p>
        </w:tc>
        <w:tc>
          <w:tcPr>
            <w:tcW w:type="dxa" w:w="640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Offer the agreed quieter task, observe-only option or break. Respect refusal. Leave if the agreed adjustment does not help.</w:t>
            </w:r>
          </w:p>
        </w:tc>
      </w:tr>
      <w:tr>
        <w:trPr>
          <w:cantSplit/>
        </w:trPr>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Host changes tasks or no useful work is ready</w:t>
            </w:r>
          </w:p>
        </w:tc>
        <w:tc>
          <w:tcPr>
            <w:tcW w:type="dxa" w:w="640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Use only the pre-agreed fallback. Do not assign cooking or distribution on arrival. Reschedule when the host cannot offer suitable work.</w:t>
            </w:r>
          </w:p>
        </w:tc>
      </w:tr>
    </w:tbl>
    <w:p>
      <w:pPr>
        <w:pStyle w:val="Heading2"/>
      </w:pPr>
      <w:r>
        <w:t>Separate preparation from project attendance</w:t>
      </w:r>
    </w:p>
    <w:p>
      <w:r>
        <w:t>Proposed sequence: a short preparation session on an earlier Saturday; a supported site visit with a flexible end time; and a brief review with the adult afterwards. Confirm the timings only after scouting. Rehearsal is a support-planning conversation, not a test of obedience, speech or eye contact.</w:t>
      </w:r>
    </w:p>
    <w:p>
      <w:r>
        <w:br w:type="page"/>
      </w:r>
    </w:p>
    <w:p>
      <w:pPr>
        <w:pStyle w:val="Heading1"/>
      </w:pPr>
      <w:r>
        <w:t>Make the proceed or postpone decision</w:t>
      </w:r>
    </w:p>
    <w:p>
      <w:r>
        <w:t>Interest gathering can continue while scouting. Do not confirm a child’s site attendance until all relevant conditions below are resolved. Unresolved items need an owner and a date, not an assumption.</w:t>
      </w:r>
    </w:p>
    <w:tbl>
      <w:tblPr>
        <w:tblW w:type="auto" w:w="0"/>
        <w:tblLayout w:type="fixed"/>
        <w:tblLook w:firstColumn="1" w:firstRow="1" w:lastColumn="0" w:lastRow="0" w:noHBand="0" w:noVBand="1" w:val="04A0"/>
      </w:tblPr>
      <w:tblGrid>
        <w:gridCol w:w="5544"/>
        <w:gridCol w:w="4680"/>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Condition before confirming site attendance</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Evidence or outstanding action</w:t>
            </w:r>
          </w:p>
        </w:tc>
      </w:tr>
      <w:tr>
        <w:trPr>
          <w:cantSplit/>
        </w:trPr>
        <w:tc>
          <w:tcPr>
            <w:tcW w:type="dxa" w:w="55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Host approves the actual date, ages, numbers, suitable tasks, fallback and break area.</w:t>
            </w:r>
          </w:p>
        </w:tc>
        <w:tc>
          <w:tcPr>
            <w:tcW w:type="dxa" w:w="468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r>
          </w:p>
        </w:tc>
      </w:tr>
      <w:tr>
        <w:trPr>
          <w:cantSplit/>
        </w:trPr>
        <w:tc>
          <w:tcPr>
            <w:tcW w:type="dxa" w:w="55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Individual preparation shows the group can be supported with the available adults. Both APC personnel and host lead are confirmed.</w:t>
            </w:r>
          </w:p>
        </w:tc>
        <w:tc>
          <w:tcPr>
            <w:tcW w:type="dxa" w:w="468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r>
          </w:p>
        </w:tc>
      </w:tr>
      <w:tr>
        <w:trPr>
          <w:cantSplit/>
        </w:trPr>
        <w:tc>
          <w:tcPr>
            <w:tcW w:type="dxa" w:w="55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Emergency, safeguarding, first-aid and incident responsibilities are agreed. Required insurance and task-specific requirements are checked.</w:t>
            </w:r>
          </w:p>
        </w:tc>
        <w:tc>
          <w:tcPr>
            <w:tcW w:type="dxa" w:w="468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r>
          </w:p>
        </w:tc>
      </w:tr>
      <w:tr>
        <w:trPr>
          <w:cantSplit/>
        </w:trPr>
        <w:tc>
          <w:tcPr>
            <w:tcW w:type="dxa" w:w="55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Parent information, participation consent, private support and emergency form, attendance and departure record, incident form and separate optional media consent are ready.</w:t>
            </w:r>
          </w:p>
        </w:tc>
        <w:tc>
          <w:tcPr>
            <w:tcW w:type="dxa" w:w="468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r>
          </w:p>
        </w:tc>
      </w:tr>
      <w:tr>
        <w:trPr>
          <w:cantSplit/>
        </w:trPr>
        <w:tc>
          <w:tcPr>
            <w:tcW w:type="dxa" w:w="55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Costs, cancellation terms, transport responsibility and the communication plan are clear. No fee or donation claim is improvised.</w:t>
            </w:r>
          </w:p>
        </w:tc>
        <w:tc>
          <w:tcPr>
            <w:tcW w:type="dxa" w:w="468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_______________________________________</w:t>
            </w:r>
          </w:p>
        </w:tc>
      </w:tr>
    </w:tbl>
    <w:p>
      <w:pPr>
        <w:pStyle w:val="Heading2"/>
      </w:pPr>
      <w:r>
        <w:t>Check that the pilot is sustainable</w:t>
      </w:r>
    </w:p>
    <w:p>
      <w:r>
        <w:t>Estimate CJ and helper preparation time, travel, materials, venue or host costs, insurance, administration and follow-up. Confirm who pays each item. If lunch is chosen, reconfirm the guide’s RM10 per-person charge and headcount. Do not rely on full attendance to cover unavoidable costs.</w:t>
      </w:r>
    </w:p>
    <w:p>
      <w:r>
        <w:t>Budget owner ____________________  Maximum approved spend RM _____________</w:t>
        <w:br/>
        <w:t>Cost to each family, if any ______________  Cancellation decision deadline __________</w:t>
      </w:r>
    </w:p>
    <w:p>
      <w:pPr>
        <w:pStyle w:val="Heading2"/>
      </w:pPr>
      <w:r>
        <w:t>Decision record</w:t>
      </w:r>
    </w:p>
    <w:p>
      <w:r>
        <w:t>Decision:  Proceed with preparation / Adapt and re-scout / Postpone</w:t>
        <w:br/>
        <w:t>Reason _______________________________________________________________</w:t>
        <w:br/>
        <w:t>Unresolved item __________________  Owner __________  Due ________________</w:t>
        <w:br/>
        <w:t>Written host confirmation received on __________  CJ review date _______________</w:t>
      </w:r>
    </w:p>
    <w:p>
      <w:pPr>
        <w:pStyle w:val="Heading2"/>
      </w:pPr>
      <w:r>
        <w:t>Review after a pilot before repeating it</w:t>
      </w:r>
    </w:p>
    <w:p>
      <w:r>
        <w:t>Ask whether the host received useful work, each child had a meaningful choice, adults tried and reflected on one strategy, and the staffing and time demands were manageable. Review incidents, near misses and reasons for early departure. Adjust the next visit using those findings. Attendance and completed packs alone do not establish success.</w:t>
      </w:r>
    </w:p>
    <w:p>
      <w:r>
        <w:t>Reference checks: TASK Volunteer Guide (July 2026), pages 1 to 2; CJ’s supplied coaching notes; Hanen public programme information at hanen.org/home; Malaysian personal-data principles at pdp.gov.my/ppdpv1/prinsip-perlindungan-data-peribadi/. Confirm task-specific legal and insurance requirements with the appropriate adviser or authority before attendance. This checklist is not legal clearance.</w:t>
      </w:r>
    </w:p>
    <w:p>
      <w:r>
        <w:br w:type="page"/>
      </w:r>
    </w:p>
    <w:p>
      <w:pPr>
        <w:pStyle w:val="Heading1"/>
      </w:pPr>
      <w:r>
        <w:t>Turn the scout into a workable plan</w:t>
      </w:r>
    </w:p>
    <w:p>
      <w:r>
        <w:t>Use the private readiness checklist to identify outstanding areas, then record actions here. The online checklist does not save answers or approve the pilot. CJ reviews the evidence before confirming site attendance.</w:t>
      </w:r>
    </w:p>
    <w:p>
      <w:pPr>
        <w:pStyle w:val="Heading2"/>
      </w:pPr>
      <w:r>
        <w:t>Assign the next actions</w:t>
      </w:r>
    </w:p>
    <w:tbl>
      <w:tblPr>
        <w:tblW w:type="auto" w:w="0"/>
        <w:tblLayout w:type="fixed"/>
        <w:tblLook w:firstColumn="1" w:firstRow="1" w:lastColumn="0" w:lastRow="0" w:noHBand="0" w:noVBand="1" w:val="04A0"/>
      </w:tblPr>
      <w:tblGrid>
        <w:gridCol w:w="5904"/>
        <w:gridCol w:w="2160"/>
        <w:gridCol w:w="2160"/>
      </w:tblGrid>
      <w:tr>
        <w:trPr>
          <w:cantSplit/>
        </w:trPr>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Unresolved item and next action</w:t>
            </w:r>
          </w:p>
        </w:tc>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Owner</w:t>
            </w:r>
          </w:p>
        </w:tc>
        <w:tc>
          <w:tcPr>
            <w:tcW w:type="dxa" w:w="3408"/>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Review date</w:t>
            </w:r>
          </w:p>
        </w:tc>
      </w:tr>
      <w:tr>
        <w:trPr>
          <w:cantSplit/>
        </w:trPr>
        <w:tc>
          <w:tcPr>
            <w:tcW w:type="dxa" w:w="590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r>
      <w:tr>
        <w:trPr>
          <w:cantSplit/>
        </w:trPr>
        <w:tc>
          <w:tcPr>
            <w:tcW w:type="dxa" w:w="590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r>
      <w:tr>
        <w:trPr>
          <w:cantSplit/>
        </w:trPr>
        <w:tc>
          <w:tcPr>
            <w:tcW w:type="dxa" w:w="590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c>
          <w:tcPr>
            <w:tcW w:type="dxa" w:w="216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br/>
              <w:br/>
            </w:r>
          </w:p>
        </w:tc>
      </w:tr>
    </w:tbl>
    <w:p>
      <w:pPr>
        <w:pStyle w:val="Heading2"/>
      </w:pPr>
      <w:r>
        <w:t>Rehearse disruption and recovery</w:t>
      </w:r>
    </w:p>
    <w:tbl>
      <w:tblPr>
        <w:tblW w:type="auto" w:w="0"/>
        <w:tblLayout w:type="fixed"/>
        <w:tblLook w:firstColumn="1" w:firstRow="1" w:lastColumn="0" w:lastRow="0" w:noHBand="0" w:noVBand="1" w:val="04A0"/>
      </w:tblPr>
      <w:tblGrid>
        <w:gridCol w:w="3168"/>
        <w:gridCol w:w="7056"/>
      </w:tblGrid>
      <w:tr>
        <w:trPr>
          <w:cantSplit/>
        </w:trPr>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Situation</w:t>
            </w:r>
          </w:p>
        </w:tc>
        <w:tc>
          <w:tcPr>
            <w:tcW w:type="dxa" w:w="5112"/>
            <w:tcMar>
              <w:top w:w="85" w:type="dxa"/>
              <w:left w:w="85" w:type="dxa"/>
              <w:bottom w:w="85" w:type="dxa"/>
              <w:right w:w="85" w:type="dxa"/>
            </w:tcMar>
            <w:tcBorders>
              <w:top w:val="single" w:sz="4" w:color="D9D9D9"/>
              <w:left w:val="single" w:sz="4" w:color="D9D9D9"/>
              <w:bottom w:val="single" w:sz="4" w:color="D9D9D9"/>
              <w:right w:val="single" w:sz="4" w:color="D9D9D9"/>
            </w:tcBorders>
            <w:shd w:fill="E8EDF1"/>
          </w:tcPr>
          <w:p>
            <w:pPr>
              <w:spacing w:after="60"/>
            </w:pPr>
            <w:r>
              <w:rPr>
                <w:b/>
                <w:sz w:val="20"/>
              </w:rPr>
              <w:t>Response to agree before the visit</w:t>
            </w:r>
          </w:p>
        </w:tc>
      </w:tr>
      <w:tr>
        <w:trPr>
          <w:cantSplit/>
        </w:trPr>
        <w:tc>
          <w:tcPr>
            <w:tcW w:type="dxa" w:w="31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child leaves the activity area</w:t>
            </w:r>
          </w:p>
        </w:tc>
        <w:tc>
          <w:tcPr>
            <w:tcW w:type="dxa" w:w="70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Agree a missing-person response with the host. Raise the alarm immediately, keep other children with their adults, account for the group and use the named emergency lead. Do not send the helper away without cover.</w:t>
            </w:r>
          </w:p>
        </w:tc>
      </w:tr>
      <w:tr>
        <w:trPr>
          <w:cantSplit/>
        </w:trPr>
        <w:tc>
          <w:tcPr>
            <w:tcW w:type="dxa" w:w="31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family is late or unwell</w:t>
            </w:r>
          </w:p>
        </w:tc>
        <w:tc>
          <w:tcPr>
            <w:tcW w:type="dxa" w:w="70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Confirm an arrival cut-off, named contact and illness policy in the family information sheet. Do not restart the whole activity or transfer a child to an unprepared adult.</w:t>
            </w:r>
          </w:p>
        </w:tc>
      </w:tr>
      <w:tr>
        <w:trPr>
          <w:cantSplit/>
        </w:trPr>
        <w:tc>
          <w:tcPr>
            <w:tcW w:type="dxa" w:w="31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The site becomes too hot, crowded or unsafe</w:t>
            </w:r>
          </w:p>
        </w:tc>
        <w:tc>
          <w:tcPr>
            <w:tcW w:type="dxa" w:w="70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CJ and the host stop the activity. Use the agreed safe exit or postponement plan. Confirm who contacts families and handles any cost or refund questions.</w:t>
            </w:r>
          </w:p>
        </w:tc>
      </w:tr>
      <w:tr>
        <w:trPr>
          <w:cantSplit/>
        </w:trPr>
        <w:tc>
          <w:tcPr>
            <w:tcW w:type="dxa" w:w="316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Interest is high but attendance is uncertain</w:t>
            </w:r>
          </w:p>
        </w:tc>
        <w:tc>
          <w:tcPr>
            <w:tcW w:type="dxa" w:w="705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Confirm household interest, availability and adult support individually before planning capacity. Keep the first group within the reviewed limit; do not overbook to compensate for possible absences.</w:t>
            </w:r>
          </w:p>
        </w:tc>
      </w:tr>
    </w:tbl>
    <w:p>
      <w:pPr>
        <w:pStyle w:val="Heading2"/>
      </w:pPr>
      <w:r>
        <w:t>Keep the two person team manageable</w:t>
      </w:r>
    </w:p>
    <w:p>
      <w:r>
        <w:t>Before offering dates, estimate CJ and helper hours for preparation, the visit and follow-up. Set one review slot each week while recruiting, and give every active enquiry a follow-up date. Only the monthly retention review is part of the published notice; this weekly slot is a proposed working routine.</w:t>
      </w:r>
    </w:p>
    <w:p>
      <w:r>
        <w:t>CJ handles suitability, consent and concerns. The helper checks the materials and logistics list. Store support and emergency details separately from the interest tracker with agreed access and retention. Do not collect them through public free-text fields.</w:t>
      </w:r>
    </w:p>
    <w:p>
      <w:r>
        <w:t>After the pilot, record one host observation, one child choice, one adult strategy and one change for next time. A pause or early departure can be an appropriate adjustment. Repeat only when useful work and safe, manageable support can both be provided.</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APC Community Crew  |  Scouting review edition  |  21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F766E"/>
        <w:sz w:val="18"/>
      </w:rPr>
      <w:t>AUTISM PATHWAYS CONSULTING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