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1A"/>
          <w:sz w:val="36"/>
        </w:rPr>
        <w:t>Procédure : ajouter un nouveau partenaire ou type d'opération</w:t>
      </w:r>
    </w:p>
    <w:p>
      <w:r>
        <w:rPr>
          <w:i/>
          <w:color w:val="595959"/>
          <w:sz w:val="21"/>
        </w:rPr>
        <w:t>Document complémentaire à « Documentation technique et guide du système », Rhétorès × Kaizen Institute</w:t>
      </w:r>
    </w:p>
    <w:p>
      <w:r>
        <w:rPr>
          <w:b w:val="0"/>
          <w:i w:val="0"/>
          <w:color w:val="595959"/>
          <w:sz w:val="19"/>
        </w:rPr>
        <w:t>Version 04/09/2026 · à lire avec le document de référence (section 3, Le moteur de remplissage), déposé dans le même dossier Documentation du chantier SharePoint.</w:t>
      </w:r>
    </w:p>
    <w:p/>
    <w:p>
      <w:pPr>
        <w:pStyle w:val="Heading1"/>
      </w:pPr>
      <w:r>
        <w:rPr>
          <w:b/>
          <w:color w:val="B8860B"/>
          <w:sz w:val="28"/>
        </w:rPr>
        <w:t>1. Objet</w:t>
      </w:r>
    </w:p>
    <w:p>
      <w:r>
        <w:rPr>
          <w:b w:val="0"/>
          <w:i w:val="0"/>
          <w:color w:val="1A1A1A"/>
          <w:sz w:val="21"/>
        </w:rPr>
        <w:t>Le document de référence explique comment le système fonctionne aujourd'hui (Generali, Swiss Life). Celui-ci explique comment l'étendre : ajouter un nouveau partenaire (nouvel assureur) ou un nouveau type d'opération chez un partenaire déjà couvert (par exemple une souscription ou un rachat partiel chez Generali). Objectif : que l'équipe Rhétorès puisse le faire seule, sans dépendre de Kaizen à chaque nouvelle demande.</w:t>
      </w:r>
    </w:p>
    <w:p>
      <w:pPr>
        <w:pStyle w:val="Heading1"/>
      </w:pPr>
      <w:r>
        <w:rPr>
          <w:b/>
          <w:color w:val="B8860B"/>
          <w:sz w:val="28"/>
        </w:rPr>
        <w:t>2. Ce qui ne change jamais</w:t>
      </w:r>
    </w:p>
    <w:p>
      <w:pPr>
        <w:pStyle w:val="ListBullet"/>
      </w:pPr>
      <w:r>
        <w:rPr>
          <w:color w:val="1A1A1A"/>
          <w:sz w:val="21"/>
        </w:rPr>
        <w:t>O2S reste le système de référence, en lecture seule (uniquement des GET) : le moteur ne l'écrit jamais.</w:t>
      </w:r>
    </w:p>
    <w:p>
      <w:pPr>
        <w:pStyle w:val="ListBullet"/>
      </w:pPr>
      <w:r>
        <w:rPr>
          <w:color w:val="1A1A1A"/>
          <w:sz w:val="21"/>
        </w:rPr>
        <w:t>Aucun nom de champ n'est inventé : chaque champ du mapping vient du PDF lui-même (jamais d'un formulaire similaire supposé identique).</w:t>
      </w:r>
    </w:p>
    <w:p>
      <w:pPr>
        <w:pStyle w:val="ListBullet"/>
      </w:pPr>
      <w:r>
        <w:rPr>
          <w:color w:val="1A1A1A"/>
          <w:sz w:val="21"/>
        </w:rPr>
        <w:t>Aucun échec silencieux : un champ non trouvé dans la fiche client reste vide plutôt que rempli avec une valeur devinée.</w:t>
      </w:r>
    </w:p>
    <w:p>
      <w:pPr>
        <w:pStyle w:val="ListBullet"/>
      </w:pPr>
      <w:r>
        <w:rPr>
          <w:color w:val="1A1A1A"/>
          <w:sz w:val="21"/>
        </w:rPr>
        <w:t>Le gestionnaire garde toujours la main : l'outil pré-remplit, l'humain vérifie et complète avant signature.</w:t>
      </w:r>
    </w:p>
    <w:p>
      <w:pPr>
        <w:pStyle w:val="Heading1"/>
      </w:pPr>
      <w:r>
        <w:rPr>
          <w:b/>
          <w:color w:val="B8860B"/>
          <w:sz w:val="28"/>
        </w:rPr>
        <w:t>3. Vue d'ensemble en 4 étapes</w:t>
      </w:r>
    </w:p>
    <w:p>
      <w:pPr>
        <w:pStyle w:val="ListNumber"/>
      </w:pPr>
      <w:r>
        <w:rPr>
          <w:color w:val="1A1A1A"/>
          <w:sz w:val="21"/>
        </w:rPr>
        <w:t>Récupérer le formulaire PDF remplissable du partenaire et lire les noms réels de ses champs.</w:t>
      </w:r>
    </w:p>
    <w:p>
      <w:pPr>
        <w:pStyle w:val="ListNumber"/>
      </w:pPr>
      <w:r>
        <w:rPr>
          <w:color w:val="1A1A1A"/>
          <w:sz w:val="21"/>
        </w:rPr>
        <w:t>Écrire le mapping : un dictionnaire qui relie chaque champ PDF à une donnée de la fiche client O2S.</w:t>
      </w:r>
    </w:p>
    <w:p>
      <w:pPr>
        <w:pStyle w:val="ListNumber"/>
      </w:pPr>
      <w:r>
        <w:rPr>
          <w:color w:val="1A1A1A"/>
          <w:sz w:val="21"/>
        </w:rPr>
        <w:t>Enregistrer le formulaire dans le registre des modèles du moteur (TEMPLATES) et y relier le mapping.</w:t>
      </w:r>
    </w:p>
    <w:p>
      <w:pPr>
        <w:pStyle w:val="ListNumber"/>
      </w:pPr>
      <w:r>
        <w:rPr>
          <w:color w:val="1A1A1A"/>
          <w:sz w:val="21"/>
        </w:rPr>
        <w:t>Si le partenaire a sa propre catégorie de document GED : vérifier si les workflows d'accompagnement (relance SMS, dépôt SharePoint) doivent être adaptés.</w:t>
      </w:r>
    </w:p>
    <w:p>
      <w:pPr>
        <w:pStyle w:val="Heading1"/>
      </w:pPr>
      <w:r>
        <w:rPr>
          <w:b/>
          <w:color w:val="B8860B"/>
          <w:sz w:val="28"/>
        </w:rPr>
        <w:t>4. Détail étape par étape</w:t>
      </w:r>
    </w:p>
    <w:p>
      <w:pPr>
        <w:pStyle w:val="Heading2"/>
      </w:pPr>
      <w:r>
        <w:rPr>
          <w:b/>
          <w:color w:val="1A1A1A"/>
          <w:sz w:val="24"/>
        </w:rPr>
        <w:t>4.1 Obtenir les noms de champs du PDF</w:t>
      </w:r>
    </w:p>
    <w:p>
      <w:r>
        <w:rPr>
          <w:b w:val="0"/>
          <w:i w:val="0"/>
          <w:color w:val="1A1A1A"/>
          <w:sz w:val="21"/>
        </w:rPr>
        <w:t>Les noms de champs ne se devinent pas et ne se copient pas d'un autre partenaire : chaque assureur nomme ses champs différemment (Generali utilise des codes type CAR004, BACMA_%_25 ; un nouveau partenaire aura sa propre nomenclature). Un outil de lecture de formulaire PDF (ou le script interne utilisé pour les modèles existants) liste les champs et leurs libellés/infobulles. C'est ce nom exact, tel qu'il apparaît dans le PDF, qui sert de clé dans le mapping.</w:t>
      </w:r>
    </w:p>
    <w:p>
      <w:pPr>
        <w:pStyle w:val="Heading2"/>
      </w:pPr>
      <w:r>
        <w:rPr>
          <w:b/>
          <w:color w:val="1A1A1A"/>
          <w:sz w:val="24"/>
        </w:rPr>
        <w:t>4.2 Écrire le mapping</w:t>
      </w:r>
    </w:p>
    <w:p>
      <w:r>
        <w:rPr>
          <w:b w:val="0"/>
          <w:i w:val="0"/>
          <w:color w:val="1A1A1A"/>
          <w:sz w:val="21"/>
        </w:rPr>
        <w:t>Le mapping est un dictionnaire Python : {"nom_du_champ_pdf": ("chemin", "dans", "la_fiche_client")}. Il vit dans app/mappings/mappings_extension.py, à côté des mappings Generali/Swiss Life existants. Exemple réel (Generali Versement) :</w:t>
      </w:r>
    </w:p>
    <w:p>
      <w:pPr>
        <w:ind w:left="432"/>
        <w:shd w:fill="F2F2F2"/>
      </w:pPr>
      <w:r>
        <w:rPr>
          <w:rFonts w:ascii="Consolas" w:hAnsi="Consolas"/>
          <w:color w:val="2A2A2A"/>
          <w:sz w:val="18"/>
        </w:rPr>
        <w:t>"CAR004": ("souscripteur", "nom"),</w:t>
        <w:br/>
        <w:t>"CAR005": ("souscripteur", "prenom"),</w:t>
        <w:br/>
        <w:t>"CAR021": ("souscripteur", "telephone_mobile"),</w:t>
      </w:r>
    </w:p>
    <w:p>
      <w:r>
        <w:rPr>
          <w:b w:val="0"/>
          <w:i w:val="0"/>
          <w:color w:val="1A1A1A"/>
          <w:sz w:val="21"/>
        </w:rPr>
        <w:t>Le chemin de droite doit correspondre à une donnée réellement présente dans la fiche client renvoyée par O2S (identité, adresse, contrat...). Si la donnée n'existe pas dans O2S pour ce type d'opération (cas du Versement : les objectifs et le patrimoine détaillé viennent du document d'adéquation, pas de la fiche standard), le mapping doit pointer vers cette source alternative, voir 5.2.</w:t>
      </w:r>
    </w:p>
    <w:p>
      <w:pPr>
        <w:pStyle w:val="Heading2"/>
      </w:pPr>
      <w:r>
        <w:rPr>
          <w:b/>
          <w:color w:val="1A1A1A"/>
          <w:sz w:val="24"/>
        </w:rPr>
        <w:t>4.3 Enregistrer le nouveau formulaire</w:t>
      </w:r>
    </w:p>
    <w:p>
      <w:r>
        <w:rPr>
          <w:b w:val="0"/>
          <w:i w:val="0"/>
          <w:color w:val="1A1A1A"/>
          <w:sz w:val="21"/>
        </w:rPr>
        <w:t>Dans app/fill_engine.py, le registre TEMPLATES associe un identifiant de formulaire (ex. "generali_rachat") au fichier PDF modèle (dans app/templates/) et au mapping écrit à l'étape précédente :</w:t>
      </w:r>
    </w:p>
    <w:p>
      <w:pPr>
        <w:ind w:left="432"/>
        <w:shd w:fill="F2F2F2"/>
      </w:pPr>
      <w:r>
        <w:rPr>
          <w:rFonts w:ascii="Consolas" w:hAnsi="Consolas"/>
          <w:color w:val="2A2A2A"/>
          <w:sz w:val="18"/>
        </w:rPr>
        <w:t>TEMPLATES["nouveau_partenaire_operation"] = {"path": "templates/....pdf"}</w:t>
        <w:br/>
        <w:t>TEMPLATES["nouveau_partenaire_operation"]["mapping"] = NOUVEAU_PARTENAIRE_MAPPING</w:t>
      </w:r>
    </w:p>
    <w:p>
      <w:r>
        <w:rPr>
          <w:b w:val="0"/>
          <w:i w:val="0"/>
          <w:color w:val="1A1A1A"/>
          <w:sz w:val="21"/>
        </w:rPr>
        <w:t>C'est cet identifiant qui apparaît ensuite dans le sélecteur du dashboard (/04 ou un nouveau module dédié) pour que le gestionnaire choisisse le bon formulaire.</w:t>
      </w:r>
    </w:p>
    <w:p>
      <w:pPr>
        <w:pStyle w:val="Heading2"/>
      </w:pPr>
      <w:r>
        <w:rPr>
          <w:b/>
          <w:color w:val="1A1A1A"/>
          <w:sz w:val="24"/>
        </w:rPr>
        <w:t>4.4 Cases à cocher</w:t>
      </w:r>
    </w:p>
    <w:p>
      <w:r>
        <w:rPr>
          <w:b w:val="0"/>
          <w:i w:val="0"/>
          <w:color w:val="1A1A1A"/>
          <w:sz w:val="21"/>
        </w:rPr>
        <w:t>Les cases à cocher (civilité, résidence fiscale, montant/pourcentage, etc.) ne se remplissent pas comme du texte : elles ont leur propre logique par formulaire, car leur position et leurs valeurs possibles varient d'un partenaire à l'autre. Voir les fonctions dédiées existantes (_set_civilite_checkboxes, _set_versement_checkboxes) comme modèle à dupliquer et adapter pour le nouveau formulaire, jamais à réutiliser telles quelles pour un autre partenaire.</w:t>
      </w:r>
    </w:p>
    <w:p>
      <w:pPr>
        <w:pStyle w:val="Heading1"/>
      </w:pPr>
      <w:r>
        <w:rPr>
          <w:b/>
          <w:color w:val="B8860B"/>
          <w:sz w:val="28"/>
        </w:rPr>
        <w:t>5. Cas particuliers à connaître</w:t>
      </w:r>
    </w:p>
    <w:p>
      <w:pPr>
        <w:pStyle w:val="ListBullet"/>
      </w:pPr>
      <w:r>
        <w:rPr>
          <w:color w:val="1A1A1A"/>
          <w:sz w:val="21"/>
        </w:rPr>
        <w:t>Les positions par support (ISIN) d'un contrat ne sont pas exposées par l'API O2S : on lit le PDF de déclaration d'adéquation à la place. Un nouveau partenaire aura probablement la même limite : vérifier avant de supposer que la donnée existe en API.</w:t>
      </w:r>
    </w:p>
    <w:p>
      <w:pPr>
        <w:pStyle w:val="ListBullet"/>
      </w:pPr>
      <w:r>
        <w:rPr>
          <w:color w:val="1A1A1A"/>
          <w:sz w:val="21"/>
        </w:rPr>
        <w:t>Un projet O2S peut passer au statut « Fermé » une fois l'opération engagée, auquel cas /projects ne le renvoie plus, mais le document reste accessible dans la GED (voir la logique de versement_from_o2s.py comme modèle). À prévoir dès la conception du mapping si le nouveau type d'opération suit un cycle de vie similaire.</w:t>
      </w:r>
    </w:p>
    <w:p>
      <w:pPr>
        <w:pStyle w:val="ListBullet"/>
      </w:pPr>
      <w:r>
        <w:rPr>
          <w:color w:val="1A1A1A"/>
          <w:sz w:val="21"/>
        </w:rPr>
        <w:t>Un champ mal orthographié ou une position mal identifiée passe souvent inaperçu à l'écran (le PDF s'affiche correctement) mais produit une valeur fausse sur un document destiné à signature : toujours vérifier par la position exacte du champ (rect) contre le texte du modèle, jamais par supposition.</w:t>
      </w:r>
    </w:p>
    <w:p>
      <w:pPr>
        <w:pStyle w:val="Heading1"/>
      </w:pPr>
      <w:r>
        <w:rPr>
          <w:b/>
          <w:color w:val="B8860B"/>
          <w:sz w:val="28"/>
        </w:rPr>
        <w:t>6. Checklist de validation avant mise en production</w:t>
      </w:r>
    </w:p>
    <w:p>
      <w:pPr>
        <w:pStyle w:val="ListBullet"/>
      </w:pPr>
      <w:r>
        <w:rPr>
          <w:color w:val="1A1A1A"/>
          <w:sz w:val="21"/>
        </w:rPr>
        <w:t>Test sur au moins un client réel (pas de données fictives) avec un contrat existant chez ce partenaire.</w:t>
      </w:r>
    </w:p>
    <w:p>
      <w:pPr>
        <w:pStyle w:val="ListBullet"/>
      </w:pPr>
      <w:r>
        <w:rPr>
          <w:color w:val="1A1A1A"/>
          <w:sz w:val="21"/>
        </w:rPr>
        <w:t>Vérifier le taux de remplissage (fill_rate_pct) : un taux anormalement bas signale des champs mal mappés.</w:t>
      </w:r>
    </w:p>
    <w:p>
      <w:pPr>
        <w:pStyle w:val="ListBullet"/>
      </w:pPr>
      <w:r>
        <w:rPr>
          <w:color w:val="1A1A1A"/>
          <w:sz w:val="21"/>
        </w:rPr>
        <w:t>Vérifier qu'aucune valeur n'est devinée : un champ sans donnée source doit rester vide, jamais rempli par défaut.</w:t>
      </w:r>
    </w:p>
    <w:p>
      <w:pPr>
        <w:pStyle w:val="ListBullet"/>
      </w:pPr>
      <w:r>
        <w:rPr>
          <w:color w:val="1A1A1A"/>
          <w:sz w:val="21"/>
        </w:rPr>
        <w:t>Vérifier chaque case à cocher une par une sur le PDF généré, pas seulement le texte.</w:t>
      </w:r>
    </w:p>
    <w:p>
      <w:pPr>
        <w:pStyle w:val="ListBullet"/>
      </w:pPr>
      <w:r>
        <w:rPr>
          <w:color w:val="1A1A1A"/>
          <w:sz w:val="21"/>
        </w:rPr>
        <w:t>Confirmer avec le gestionnaire concerné que le document généré est exploitable tel quel (avant complément manuel).</w:t>
      </w:r>
    </w:p>
    <w:p>
      <w:pPr>
        <w:pStyle w:val="Heading1"/>
      </w:pPr>
      <w:r>
        <w:rPr>
          <w:b/>
          <w:color w:val="B8860B"/>
          <w:sz w:val="28"/>
        </w:rPr>
        <w:t>7. Qui fait quoi</w:t>
      </w:r>
    </w:p>
    <w:p>
      <w:r>
        <w:rPr>
          <w:b w:val="0"/>
          <w:i w:val="0"/>
          <w:color w:val="595959"/>
          <w:sz w:val="21"/>
        </w:rPr>
        <w:t>Cette procédure suppose une ressource côté Rhétorès en mesure de lire et modifier un mapping Python (niveau technique proche de celui déjà requis pour la maintenance du pipeline de déploiement, voir la note de possession du pipeline, section 9 point 6 du schéma d'architecture). Tant que cette ressource n'est pas désignée, toute extension à un nouveau partenaire reste une demande à adresser à Kaizen.</w:t>
      </w:r>
    </w:p>
    <w:p/>
    <w:p>
      <w:r>
        <w:rPr>
          <w:i/>
          <w:color w:val="595959"/>
          <w:sz w:val="18"/>
        </w:rPr>
        <w:t>Document interne Rhétorès × Kaizen Institute, à déposer dans le dossier Documentation du chantier sur le SharePoint, à côté du document de référence. Relu avant diffusion.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