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36"/>
        </w:rPr>
        <w:t>Procédure : augmentation d'un versement programmé (Himalia, Generali)</w:t>
      </w:r>
    </w:p>
    <w:p>
      <w:r>
        <w:rPr>
          <w:i/>
          <w:color w:val="595959"/>
          <w:sz w:val="21"/>
        </w:rPr>
        <w:t>Brouillon issu d'un exemple réel, à valider avec Rhétorès avant intégration au chatbot</w:t>
      </w:r>
    </w:p>
    <w:p>
      <w:r>
        <w:rPr>
          <w:i w:val="0"/>
          <w:color w:val="595959"/>
          <w:sz w:val="19"/>
        </w:rPr>
        <w:t>Source : transcription de l'enregistrement de Thibaud Simonnet, 31/07/2026 (12 min 29). Un seul cas traité jusqu'ici : ce document décrit ce cas précis, pas encore une règle générale. À confirmer ou compléter avec d'autres exemples avant diffusion.</w:t>
      </w:r>
    </w:p>
    <w:p/>
    <w:p>
      <w:pPr>
        <w:pStyle w:val="Heading1"/>
      </w:pPr>
      <w:r>
        <w:rPr>
          <w:b/>
          <w:color w:val="B8860B"/>
          <w:sz w:val="28"/>
        </w:rPr>
        <w:t>1. Objet</w:t>
      </w:r>
    </w:p>
    <w:p>
      <w:r>
        <w:rPr>
          <w:i w:val="0"/>
          <w:color w:val="1A1A1A"/>
          <w:sz w:val="21"/>
        </w:rPr>
        <w:t>Cette procédure décrit comment traiter, dans O2S puis sur le bordereau Generali, une demande d'augmentation d'un versement programmé existant sur un contrat Himalia. Elle sert de matière première pour le chatbot de capitalisation des connaissances : à relire et valider avant d'être ajoutée à sa base documentaire.</w:t>
      </w:r>
    </w:p>
    <w:p>
      <w:pPr>
        <w:pStyle w:val="Heading1"/>
      </w:pPr>
      <w:r>
        <w:rPr>
          <w:b/>
          <w:color w:val="B8860B"/>
          <w:sz w:val="28"/>
        </w:rPr>
        <w:t>2. Avant de commencer</w:t>
      </w:r>
    </w:p>
    <w:p>
      <w:pPr>
        <w:pStyle w:val="ListBullet"/>
      </w:pPr>
      <w:r>
        <w:rPr>
          <w:color w:val="1A1A1A"/>
          <w:sz w:val="21"/>
        </w:rPr>
        <w:t>Récupérer le numéro de contrat dans O2S, onglet portefeuille (icône valise) du client, et le reporter sur le bordereau.</w:t>
      </w:r>
    </w:p>
    <w:p>
      <w:pPr>
        <w:pStyle w:val="ListBullet"/>
      </w:pPr>
      <w:r>
        <w:rPr>
          <w:color w:val="1A1A1A"/>
          <w:sz w:val="21"/>
        </w:rPr>
        <w:t>Le bordereau à utiliser est celui d'augmentation de versement programmé (pas celui de mise en place initiale : ici le versement programmé existe déjà).</w:t>
      </w:r>
    </w:p>
    <w:p>
      <w:pPr>
        <w:pStyle w:val="Heading1"/>
      </w:pPr>
      <w:r>
        <w:rPr>
          <w:b/>
          <w:color w:val="B8860B"/>
          <w:sz w:val="28"/>
        </w:rPr>
        <w:t>3. Page 1, onglet Général</w:t>
      </w:r>
    </w:p>
    <w:p>
      <w:pPr>
        <w:pStyle w:val="ListNumber"/>
      </w:pPr>
      <w:r>
        <w:rPr>
          <w:color w:val="1A1A1A"/>
          <w:sz w:val="21"/>
        </w:rPr>
        <w:t>Ancienneté de la relation client : vérifier qu'elle dépasse un an (dans l'exemple traité, relation ouverte le 14/11/2023).</w:t>
      </w:r>
    </w:p>
    <w:p>
      <w:pPr>
        <w:pStyle w:val="ListNumber"/>
      </w:pPr>
      <w:r>
        <w:rPr>
          <w:color w:val="1A1A1A"/>
          <w:sz w:val="21"/>
        </w:rPr>
        <w:t>Nom et prénom du souscripteur.</w:t>
      </w:r>
    </w:p>
    <w:p>
      <w:pPr>
        <w:pStyle w:val="ListNumber"/>
      </w:pPr>
      <w:r>
        <w:rPr>
          <w:color w:val="1A1A1A"/>
          <w:sz w:val="21"/>
        </w:rPr>
        <w:t>Date de naissance, code postal de naissance, ville de naissance.</w:t>
      </w:r>
    </w:p>
    <w:p>
      <w:pPr>
        <w:pStyle w:val="ListNumber"/>
      </w:pPr>
      <w:r>
        <w:rPr>
          <w:color w:val="1A1A1A"/>
          <w:sz w:val="21"/>
        </w:rPr>
        <w:t>Numéro de sécurité sociale : non requis pour cette opération.</w:t>
      </w:r>
    </w:p>
    <w:p>
      <w:pPr>
        <w:pStyle w:val="ListNumber"/>
      </w:pPr>
      <w:r>
        <w:rPr>
          <w:color w:val="1A1A1A"/>
          <w:sz w:val="21"/>
        </w:rPr>
        <w:t>Nationalité et résidence fiscale.</w:t>
      </w:r>
    </w:p>
    <w:p>
      <w:pPr>
        <w:pStyle w:val="ListNumber"/>
      </w:pPr>
      <w:r>
        <w:rPr>
          <w:color w:val="1A1A1A"/>
          <w:sz w:val="21"/>
        </w:rPr>
        <w:t>Type de pièce d'identité fournie.</w:t>
      </w:r>
    </w:p>
    <w:p>
      <w:pPr>
        <w:pStyle w:val="ListNumber"/>
      </w:pPr>
      <w:r>
        <w:rPr>
          <w:color w:val="1A1A1A"/>
          <w:sz w:val="21"/>
        </w:rPr>
        <w:t>Situation familiale (ex. célibataire).</w:t>
      </w:r>
    </w:p>
    <w:p>
      <w:pPr>
        <w:pStyle w:val="Heading1"/>
      </w:pPr>
      <w:r>
        <w:rPr>
          <w:b/>
          <w:color w:val="B8860B"/>
          <w:sz w:val="28"/>
        </w:rPr>
        <w:t>4. Onglet Coordonnées</w:t>
      </w:r>
    </w:p>
    <w:p>
      <w:pPr>
        <w:pStyle w:val="ListBullet"/>
      </w:pPr>
      <w:r>
        <w:rPr>
          <w:color w:val="1A1A1A"/>
          <w:sz w:val="21"/>
        </w:rPr>
        <w:t>Adresse complète, département, ville.</w:t>
      </w:r>
    </w:p>
    <w:p>
      <w:pPr>
        <w:pStyle w:val="ListBullet"/>
      </w:pPr>
      <w:r>
        <w:rPr>
          <w:color w:val="1A1A1A"/>
          <w:sz w:val="21"/>
        </w:rPr>
        <w:t>Code postal : si absent de la fiche, le déduire du département renseigné (à vérifier, pas une règle automatique fiable).</w:t>
      </w:r>
    </w:p>
    <w:p>
      <w:pPr>
        <w:pStyle w:val="ListBullet"/>
      </w:pPr>
      <w:r>
        <w:rPr>
          <w:color w:val="1A1A1A"/>
          <w:sz w:val="21"/>
        </w:rPr>
        <w:t>Téléphone mobile et email.</w:t>
      </w:r>
    </w:p>
    <w:p>
      <w:pPr>
        <w:pStyle w:val="Heading1"/>
      </w:pPr>
      <w:r>
        <w:rPr>
          <w:b/>
          <w:color w:val="B8860B"/>
          <w:sz w:val="28"/>
        </w:rPr>
        <w:t>5. Page 2, activité et connaissance client</w:t>
      </w:r>
    </w:p>
    <w:p>
      <w:pPr>
        <w:pStyle w:val="ListBullet"/>
      </w:pPr>
      <w:r>
        <w:rPr>
          <w:color w:val="1A1A1A"/>
          <w:sz w:val="21"/>
        </w:rPr>
        <w:t>Profession et statut d'activité (ex. fonction publique, en activité). Le code CSP peut être absent : ne pas le forcer s'il n'est pas indiqué.</w:t>
      </w:r>
    </w:p>
    <w:p>
      <w:pPr>
        <w:pStyle w:val="ListBullet"/>
      </w:pPr>
      <w:r>
        <w:rPr>
          <w:color w:val="1A1A1A"/>
          <w:sz w:val="21"/>
        </w:rPr>
        <w:t>Changement d'adresse récent : sans objet ici.</w:t>
      </w:r>
    </w:p>
    <w:p>
      <w:pPr>
        <w:pStyle w:val="ListBullet"/>
      </w:pPr>
      <w:r>
        <w:rPr>
          <w:color w:val="1A1A1A"/>
          <w:sz w:val="21"/>
        </w:rPr>
        <w:t>Personne morale : non, dans le cas d'un particulier.</w:t>
      </w:r>
    </w:p>
    <w:p>
      <w:pPr>
        <w:pStyle w:val="ListBullet"/>
      </w:pPr>
      <w:r>
        <w:rPr>
          <w:color w:val="1A1A1A"/>
          <w:sz w:val="21"/>
        </w:rPr>
        <w:t>Personnalité politiquement exposée (PPE) : vérifier l'absence d'alerte sur la fiche avant de cocher non.</w:t>
      </w:r>
    </w:p>
    <w:p>
      <w:pPr>
        <w:pStyle w:val="Heading1"/>
      </w:pPr>
      <w:r>
        <w:rPr>
          <w:b/>
          <w:color w:val="B8860B"/>
          <w:sz w:val="28"/>
        </w:rPr>
        <w:t>6. Patrimoine et revenus</w:t>
      </w:r>
    </w:p>
    <w:p>
      <w:r>
        <w:rPr>
          <w:i w:val="0"/>
          <w:color w:val="1A1A1A"/>
          <w:sz w:val="21"/>
        </w:rPr>
        <w:t>Ces informations se trouvent dans l'onglet Patrimoine et revenus de la fiche client. Elles alimentent deux champs du bordereau : le revenu annuel (par fourchette) et le patrimoine total (par fourchette), puis sa répartition.</w:t>
      </w:r>
    </w:p>
    <w:tbl>
      <w:tblPr>
        <w:tblStyle w:val="LightGrid-Accent1"/>
        <w:tblW w:type="auto" w:w="0"/>
        <w:tblLook w:firstColumn="1" w:firstRow="1" w:lastColumn="0" w:lastRow="0" w:noHBand="0" w:noVBand="1" w:val="04A0"/>
      </w:tblPr>
      <w:tblGrid>
        <w:gridCol w:w="4320"/>
        <w:gridCol w:w="4320"/>
      </w:tblGrid>
      <w:tr>
        <w:tc>
          <w:tcPr>
            <w:tcW w:type="dxa" w:w="3744"/>
            <w:shd w:fill="404040"/>
          </w:tcPr>
          <w:p>
            <w:r/>
            <w:r>
              <w:rPr>
                <w:b/>
                <w:color w:val="FFFFFF"/>
                <w:sz w:val="19"/>
              </w:rPr>
              <w:t>Champ</w:t>
            </w:r>
          </w:p>
        </w:tc>
        <w:tc>
          <w:tcPr>
            <w:tcW w:type="dxa" w:w="5184"/>
            <w:shd w:fill="404040"/>
          </w:tcPr>
          <w:p>
            <w:r/>
            <w:r>
              <w:rPr>
                <w:b/>
                <w:color w:val="FFFFFF"/>
                <w:sz w:val="19"/>
              </w:rPr>
              <w:t>Exemple traité</w:t>
            </w:r>
          </w:p>
        </w:tc>
      </w:tr>
      <w:tr>
        <w:tc>
          <w:tcPr>
            <w:tcW w:type="dxa" w:w="3744"/>
          </w:tcPr>
          <w:p>
            <w:r/>
            <w:r>
              <w:rPr>
                <w:color w:val="1A1A1A"/>
                <w:sz w:val="19"/>
              </w:rPr>
              <w:t>Revenu annuel</w:t>
            </w:r>
          </w:p>
        </w:tc>
        <w:tc>
          <w:tcPr>
            <w:tcW w:type="dxa" w:w="5184"/>
          </w:tcPr>
          <w:p>
            <w:r/>
            <w:r>
              <w:rPr>
                <w:color w:val="1A1A1A"/>
                <w:sz w:val="19"/>
              </w:rPr>
              <w:t>dans la fourchette 50 000 à 75 000 €</w:t>
            </w:r>
          </w:p>
        </w:tc>
      </w:tr>
      <w:tr>
        <w:tc>
          <w:tcPr>
            <w:tcW w:type="dxa" w:w="3744"/>
          </w:tcPr>
          <w:p>
            <w:r/>
            <w:r>
              <w:rPr>
                <w:color w:val="1A1A1A"/>
                <w:sz w:val="19"/>
              </w:rPr>
              <w:t>Patrimoine total</w:t>
            </w:r>
          </w:p>
        </w:tc>
        <w:tc>
          <w:tcPr>
            <w:tcW w:type="dxa" w:w="5184"/>
          </w:tcPr>
          <w:p>
            <w:r/>
            <w:r>
              <w:rPr>
                <w:color w:val="1A1A1A"/>
                <w:sz w:val="19"/>
              </w:rPr>
              <w:t>dans la fourchette 300 000 à 500 000 €</w:t>
            </w:r>
          </w:p>
        </w:tc>
      </w:tr>
      <w:tr>
        <w:tc>
          <w:tcPr>
            <w:tcW w:type="dxa" w:w="3744"/>
          </w:tcPr>
          <w:p>
            <w:r/>
            <w:r>
              <w:rPr>
                <w:color w:val="1A1A1A"/>
                <w:sz w:val="19"/>
              </w:rPr>
              <w:t>Répartition, immobilier</w:t>
            </w:r>
          </w:p>
        </w:tc>
        <w:tc>
          <w:tcPr>
            <w:tcW w:type="dxa" w:w="5184"/>
          </w:tcPr>
          <w:p>
            <w:r/>
            <w:r>
              <w:rPr>
                <w:color w:val="1A1A1A"/>
                <w:sz w:val="19"/>
              </w:rPr>
              <w:t>48 %</w:t>
            </w:r>
          </w:p>
        </w:tc>
      </w:tr>
      <w:tr>
        <w:tc>
          <w:tcPr>
            <w:tcW w:type="dxa" w:w="3744"/>
          </w:tcPr>
          <w:p>
            <w:r/>
            <w:r>
              <w:rPr>
                <w:color w:val="1A1A1A"/>
                <w:sz w:val="19"/>
              </w:rPr>
              <w:t>Répartition, portefeuille titres</w:t>
            </w:r>
          </w:p>
        </w:tc>
        <w:tc>
          <w:tcPr>
            <w:tcW w:type="dxa" w:w="5184"/>
          </w:tcPr>
          <w:p>
            <w:r/>
            <w:r>
              <w:rPr>
                <w:color w:val="1A1A1A"/>
                <w:sz w:val="19"/>
              </w:rPr>
              <w:t>2 %</w:t>
            </w:r>
          </w:p>
        </w:tc>
      </w:tr>
      <w:tr>
        <w:tc>
          <w:tcPr>
            <w:tcW w:type="dxa" w:w="3744"/>
          </w:tcPr>
          <w:p>
            <w:r/>
            <w:r>
              <w:rPr>
                <w:color w:val="1A1A1A"/>
                <w:sz w:val="19"/>
              </w:rPr>
              <w:t>Répartition, assurance vie</w:t>
            </w:r>
          </w:p>
        </w:tc>
        <w:tc>
          <w:tcPr>
            <w:tcW w:type="dxa" w:w="5184"/>
          </w:tcPr>
          <w:p>
            <w:r/>
            <w:r>
              <w:rPr>
                <w:color w:val="1A1A1A"/>
                <w:sz w:val="19"/>
              </w:rPr>
              <w:t>33 %</w:t>
            </w:r>
          </w:p>
        </w:tc>
      </w:tr>
      <w:tr>
        <w:tc>
          <w:tcPr>
            <w:tcW w:type="dxa" w:w="3744"/>
          </w:tcPr>
          <w:p>
            <w:r/>
            <w:r>
              <w:rPr>
                <w:color w:val="1A1A1A"/>
                <w:sz w:val="19"/>
              </w:rPr>
              <w:t>Répartition, placement bancaire</w:t>
            </w:r>
          </w:p>
        </w:tc>
        <w:tc>
          <w:tcPr>
            <w:tcW w:type="dxa" w:w="5184"/>
          </w:tcPr>
          <w:p>
            <w:r/>
            <w:r>
              <w:rPr>
                <w:color w:val="1A1A1A"/>
                <w:sz w:val="19"/>
              </w:rPr>
              <w:t>17 %</w:t>
            </w:r>
          </w:p>
        </w:tc>
      </w:tr>
    </w:tbl>
    <w:p/>
    <w:p>
      <w:r>
        <w:rPr>
          <w:i/>
          <w:color w:val="595959"/>
          <w:sz w:val="18"/>
        </w:rPr>
        <w:t>La répartition vient du graphique en camembert de l'onglet Patrimoine et revenus, pas d'un champ chiffré direct : elle se lit visuellement, poste par poste.</w:t>
      </w:r>
    </w:p>
    <w:p>
      <w:pPr>
        <w:pStyle w:val="Heading1"/>
      </w:pPr>
      <w:r>
        <w:rPr>
          <w:b/>
          <w:color w:val="B8860B"/>
          <w:sz w:val="28"/>
        </w:rPr>
        <w:t>7. Connaissance de l'opération</w:t>
      </w:r>
    </w:p>
    <w:p>
      <w:pPr>
        <w:pStyle w:val="ListBullet"/>
      </w:pPr>
      <w:r>
        <w:rPr>
          <w:color w:val="1A1A1A"/>
          <w:sz w:val="21"/>
        </w:rPr>
        <w:t>Horizon d'investissement : par défaut, plus de 8 ans, sauf mention contraire explicite sur la fiche.</w:t>
      </w:r>
    </w:p>
    <w:p>
      <w:pPr>
        <w:pStyle w:val="ListBullet"/>
      </w:pPr>
      <w:r>
        <w:rPr>
          <w:color w:val="1A1A1A"/>
          <w:sz w:val="21"/>
        </w:rPr>
        <w:t>Montant à indiquer sur le bordereau : le montant total mensuel du nouveau versement programmé, pas seulement l'augmentation. Exemple : passage à 2 000 € par mois.</w:t>
      </w:r>
    </w:p>
    <w:p>
      <w:pPr>
        <w:pStyle w:val="ListBullet"/>
      </w:pPr>
      <w:r>
        <w:rPr>
          <w:color w:val="1A1A1A"/>
          <w:sz w:val="21"/>
        </w:rPr>
        <w:t>Régulation fiscale des fonds affectés : non, sauf indication contraire.</w:t>
      </w:r>
    </w:p>
    <w:p>
      <w:pPr>
        <w:pStyle w:val="ListBullet"/>
      </w:pPr>
      <w:r>
        <w:rPr>
          <w:color w:val="1A1A1A"/>
          <w:sz w:val="21"/>
        </w:rPr>
        <w:t>Type d'opération à cocher : versement programmé (récurrent), pas versement libre ponctuel. Puisqu'il s'agit d'une augmentation et non d'une mise en place, la case « mise en place » ne se coche pas.</w:t>
      </w:r>
    </w:p>
    <w:p>
      <w:pPr>
        <w:pStyle w:val="ListBullet"/>
      </w:pPr>
      <w:r>
        <w:rPr>
          <w:color w:val="1A1A1A"/>
          <w:sz w:val="21"/>
        </w:rPr>
        <w:t>Périodicité : mensuelle dans l'exemple traité (à adapter si le client a une périodicité différente).</w:t>
      </w:r>
    </w:p>
    <w:p>
      <w:pPr>
        <w:pStyle w:val="Heading1"/>
      </w:pPr>
      <w:r>
        <w:rPr>
          <w:b/>
          <w:color w:val="B8860B"/>
          <w:sz w:val="28"/>
        </w:rPr>
        <w:t>8. Allocation des fonds (nouvelle affectation)</w:t>
      </w:r>
    </w:p>
    <w:p>
      <w:r>
        <w:rPr>
          <w:i w:val="0"/>
          <w:color w:val="1A1A1A"/>
          <w:sz w:val="21"/>
        </w:rPr>
        <w:t>L'information ne vient pas de la fiche client mais du projet en cours associé au contrat, dans O2S :</w:t>
      </w:r>
    </w:p>
    <w:p>
      <w:pPr>
        <w:pStyle w:val="ListNumber"/>
      </w:pPr>
      <w:r>
        <w:rPr>
          <w:color w:val="1A1A1A"/>
          <w:sz w:val="21"/>
        </w:rPr>
        <w:t>Ouvrir le projet le plus récent lié à l'augmentation des versements programmés.</w:t>
      </w:r>
    </w:p>
    <w:p>
      <w:pPr>
        <w:pStyle w:val="ListNumber"/>
      </w:pPr>
      <w:r>
        <w:rPr>
          <w:color w:val="1A1A1A"/>
          <w:sz w:val="21"/>
        </w:rPr>
        <w:t>Onglet Transactions, ligne concernée, menu (trois points) puis « versement complémentaire, modification de la recommandation ».</w:t>
      </w:r>
    </w:p>
    <w:p>
      <w:pPr>
        <w:pStyle w:val="ListNumber"/>
      </w:pPr>
      <w:r>
        <w:rPr>
          <w:color w:val="1A1A1A"/>
          <w:sz w:val="21"/>
        </w:rPr>
        <w:t>Onglet Détails de cette ligne : identifier le ou les fonds dédiés à la nouvelle allocation (code ISIN et intitulé).</w:t>
      </w:r>
    </w:p>
    <w:p>
      <w:pPr>
        <w:pStyle w:val="ListNumber"/>
      </w:pPr>
      <w:r>
        <w:rPr>
          <w:color w:val="1A1A1A"/>
          <w:sz w:val="21"/>
        </w:rPr>
        <w:t>Reporter code ISIN et intitulé sur le bordereau. Si un seul fonds est concerné, l'allocation est de 100 % ; avec plusieurs fonds, répartir en pourcentage selon le projet.</w:t>
      </w:r>
    </w:p>
    <w:p>
      <w:pPr>
        <w:pStyle w:val="Heading1"/>
      </w:pPr>
      <w:r>
        <w:rPr>
          <w:b/>
          <w:color w:val="B8860B"/>
          <w:sz w:val="28"/>
        </w:rPr>
        <w:t>9. Moyen de paiement</w:t>
      </w:r>
    </w:p>
    <w:p>
      <w:pPr>
        <w:pStyle w:val="ListBullet"/>
      </w:pPr>
      <w:r>
        <w:rPr>
          <w:color w:val="1A1A1A"/>
          <w:sz w:val="21"/>
        </w:rPr>
        <w:t>Récupérer le RIB dans les pièces officielles du client (SharePoint ou O2S selon où il a été déposé).</w:t>
      </w:r>
    </w:p>
    <w:p>
      <w:pPr>
        <w:pStyle w:val="ListBullet"/>
      </w:pPr>
      <w:r>
        <w:rPr>
          <w:color w:val="1A1A1A"/>
          <w:sz w:val="21"/>
        </w:rPr>
        <w:t>Vérifier que le compte appartient bien au souscripteur (le prélèvement se fait sur son compte, pas celui d'un tiers).</w:t>
      </w:r>
    </w:p>
    <w:p>
      <w:pPr>
        <w:pStyle w:val="ListBullet"/>
      </w:pPr>
      <w:r>
        <w:rPr>
          <w:color w:val="1A1A1A"/>
          <w:sz w:val="21"/>
        </w:rPr>
        <w:t>Vérifier que l'établissement est situé en France (condition du bordereau).</w:t>
      </w:r>
    </w:p>
    <w:p>
      <w:pPr>
        <w:pStyle w:val="Heading1"/>
      </w:pPr>
      <w:r>
        <w:rPr>
          <w:b/>
          <w:color w:val="B8860B"/>
          <w:sz w:val="28"/>
        </w:rPr>
        <w:t>10. Frais</w:t>
      </w:r>
    </w:p>
    <w:p>
      <w:r>
        <w:rPr>
          <w:i w:val="0"/>
          <w:color w:val="1A1A1A"/>
          <w:sz w:val="21"/>
        </w:rPr>
        <w:t>Les frais applicables au versement programmé se trouvent dans le projet, onglet Détails, section « frais variables » : chercher la ligne correspondant au versement libre programmé (exemple traité : 4,5 %). Ne pas réutiliser un taux d'un autre type d'opération sans vérifier la ligne exacte.</w:t>
      </w:r>
    </w:p>
    <w:p>
      <w:pPr>
        <w:pStyle w:val="Heading1"/>
      </w:pPr>
      <w:r>
        <w:rPr>
          <w:b/>
          <w:color w:val="B8860B"/>
          <w:sz w:val="28"/>
        </w:rPr>
        <w:t>11. Finalisation</w:t>
      </w:r>
    </w:p>
    <w:p>
      <w:pPr>
        <w:pStyle w:val="ListBullet"/>
      </w:pPr>
      <w:r>
        <w:rPr>
          <w:color w:val="1A1A1A"/>
          <w:sz w:val="21"/>
        </w:rPr>
        <w:t>Renseigner la date du jour sur le bordereau.</w:t>
      </w:r>
    </w:p>
    <w:p>
      <w:pPr>
        <w:pStyle w:val="ListBullet"/>
      </w:pPr>
      <w:r>
        <w:rPr>
          <w:color w:val="1A1A1A"/>
          <w:sz w:val="21"/>
        </w:rPr>
        <w:t>Relire l'ensemble avant transmission : cette procédure a été construite sur un seul cas réel, certains champs (code CSP absent, code postal déduit) demandent une vérification au cas par cas.</w:t>
      </w:r>
    </w:p>
    <w:p>
      <w:pPr>
        <w:pStyle w:val="Heading1"/>
      </w:pPr>
      <w:r>
        <w:rPr>
          <w:b/>
          <w:color w:val="B8860B"/>
          <w:sz w:val="28"/>
        </w:rPr>
        <w:t>12. Prochaines étapes pour ce document</w:t>
      </w:r>
    </w:p>
    <w:p>
      <w:pPr>
        <w:pStyle w:val="ListBullet"/>
      </w:pPr>
      <w:r>
        <w:rPr>
          <w:color w:val="1A1A1A"/>
          <w:sz w:val="21"/>
        </w:rPr>
        <w:t>Confirmer avec Rhétorès que le déroulé ci-dessus est bien la règle générale, pas une particularité de ce client.</w:t>
      </w:r>
    </w:p>
    <w:p>
      <w:pPr>
        <w:pStyle w:val="ListBullet"/>
      </w:pPr>
      <w:r>
        <w:rPr>
          <w:color w:val="1A1A1A"/>
          <w:sz w:val="21"/>
        </w:rPr>
        <w:t>Traiter un deuxième exemple (idéalement un versement libre ponctuel plutôt que programmé) pour distinguer ce qui est spécifique à Himalia de ce qui est spécifique au type d'opération.</w:t>
      </w:r>
    </w:p>
    <w:p>
      <w:pPr>
        <w:pStyle w:val="ListBullet"/>
      </w:pPr>
      <w:r>
        <w:rPr>
          <w:color w:val="1A1A1A"/>
          <w:sz w:val="21"/>
        </w:rPr>
        <w:t>Une fois validé, verser ce document dans la base de connaissances du chatbot, au même titre que les procédures déjà fournies par Rhétorès.</w:t>
      </w:r>
    </w:p>
    <w:p/>
    <w:p>
      <w:r>
        <w:rPr>
          <w:i/>
          <w:color w:val="595959"/>
          <w:sz w:val="18"/>
        </w:rPr>
        <w:t>Brouillon Kaizen Institute, construit à partir d'un enregistrement Rhétorès. À faire valider par un gestionnaire côté Rhétorès avant diffusion ou intégration au chatbot.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