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3364"/>
          <w:sz w:val="76"/>
        </w:rPr>
        <w:t>API O2S</w:t>
      </w:r>
    </w:p>
    <w:p>
      <w:pPr>
        <w:jc w:val="center"/>
      </w:pPr>
      <w:r>
        <w:rPr>
          <w:i/>
          <w:color w:val="A88432"/>
          <w:sz w:val="30"/>
        </w:rPr>
        <w:t>Cartographie complète et guide d'extension</w:t>
      </w:r>
    </w:p>
    <w:p>
      <w:pPr>
        <w:spacing w:before="120"/>
        <w:jc w:val="center"/>
      </w:pPr>
      <w:r>
        <w:rPr>
          <w:color w:val="555F70"/>
          <w:sz w:val="21"/>
        </w:rPr>
        <w:t>Endpoints documentés, endpoints non documentés, endpoints refusés,</w:t>
        <w:br/>
        <w:t>et structure exploitable de la fiche client</w:t>
      </w:r>
    </w:p>
    <w:p>
      <w:pPr>
        <w:spacing w:before="1200"/>
        <w:jc w:val="center"/>
      </w:pPr>
      <w:r>
        <w:rPr>
          <w:b/>
          <w:color w:val="1F3364"/>
          <w:sz w:val="24"/>
        </w:rPr>
        <w:t>Rhétorès Finance × Kaizen Institute</w:t>
        <w:br/>
      </w:r>
      <w:r>
        <w:rPr>
          <w:b w:val="0"/>
          <w:color w:val="555F70"/>
          <w:sz w:val="21"/>
        </w:rPr>
        <w:t>Chantier : Remplissage automatisé des formulaires</w:t>
        <w:br/>
      </w:r>
      <w:r>
        <w:rPr>
          <w:b w:val="0"/>
          <w:color w:val="555F70"/>
          <w:sz w:val="21"/>
        </w:rPr>
        <w:t>Version du 31 juillet 2026</w:t>
        <w:br/>
      </w:r>
    </w:p>
    <w:p>
      <w:pPr>
        <w:spacing w:before="800"/>
        <w:jc w:val="center"/>
      </w:pPr>
      <w:r>
        <w:rPr>
          <w:i/>
          <w:color w:val="555F70"/>
          <w:sz w:val="18"/>
        </w:rPr>
        <w:t>Document établi à partir de l'exploration de l'API de production</w:t>
        <w:br/>
        <w:t>sur données réelles. Toutes les valeurs citées ont été vérifiées.</w:t>
      </w:r>
    </w:p>
    <w:p>
      <w:r>
        <w:br w:type="page"/>
      </w:r>
    </w:p>
    <w:p>
      <w:pPr>
        <w:pStyle w:val="Heading1"/>
      </w:pPr>
      <w:r>
        <w:t>1. Synthèse</w:t>
      </w:r>
    </w:p>
    <w:p>
      <w:pPr>
        <w:spacing w:after="120"/>
      </w:pPr>
      <w:r>
        <w:rPr>
          <w:b w:val="0"/>
          <w:i w:val="0"/>
          <w:sz w:val="21"/>
        </w:rPr>
        <w:t>L'API O2S expose officiellement 22 endpoints via sa spécification Swagger. L'exploration de l'API de production en révèle deux catégories supplémentaires, décisives pour le chantier :</w:t>
      </w:r>
    </w:p>
    <w:p>
      <w:pPr>
        <w:pStyle w:val="ListBullet"/>
        <w:spacing w:after="60"/>
      </w:pPr>
      <w:r>
        <w:rPr>
          <w:sz w:val="21"/>
        </w:rPr>
        <w:t>8 endpoints fonctionnels mais absents de la documentation, dont /projects qui porte le statut réel des opérations.</w:t>
      </w:r>
    </w:p>
    <w:p>
      <w:pPr>
        <w:pStyle w:val="ListBullet"/>
        <w:spacing w:after="60"/>
      </w:pPr>
      <w:r>
        <w:rPr>
          <w:sz w:val="21"/>
        </w:rPr>
        <w:t>4 endpoints qui existent côté serveur mais nous sont refusés (HTTP 403) faute de périmètre OAuth : /transactions, /operations, /patrimoine, /budget.</w:t>
      </w:r>
    </w:p>
    <w:p>
      <w:pPr>
        <w:spacing w:after="200"/>
      </w:pPr>
      <w:r>
        <w:rPr>
          <w:b w:val="0"/>
          <w:i w:val="0"/>
          <w:sz w:val="21"/>
        </w:rPr>
        <w:t>Deux de ces quatre refus sont déjà contournés : le patrimoine et les revenus se reconstituent intégralement depuis la fiche client. Il ne reste qu'un seul point réellement bloquant, le détail transactionnel d'un versement.</w:t>
      </w:r>
    </w:p>
    <w:p>
      <w:pPr>
        <w:pStyle w:val="Heading2"/>
      </w:pPr>
      <w:r>
        <w:t>Ce qui est acquis</w:t>
      </w:r>
    </w:p>
    <w:tbl>
      <w:tblPr>
        <w:tblStyle w:val="TableGrid"/>
        <w:tblW w:type="auto" w:w="0"/>
        <w:jc w:val="center"/>
        <w:tblLook w:firstColumn="1" w:firstRow="1" w:lastColumn="0" w:lastRow="0" w:noHBand="0" w:noVBand="1" w:val="04A0"/>
      </w:tblPr>
      <w:tblGrid>
        <w:gridCol w:w="3324"/>
        <w:gridCol w:w="3324"/>
        <w:gridCol w:w="3324"/>
      </w:tblGrid>
      <w:tr>
        <w:tc>
          <w:tcPr>
            <w:tcW w:type="dxa" w:w="4252"/>
            <w:shd w:val="clear" w:fill="1F3364"/>
          </w:tcPr>
          <w:p>
            <w:r/>
            <w:r>
              <w:rPr>
                <w:b/>
                <w:color w:val="FFFFFF"/>
                <w:sz w:val="18"/>
              </w:rPr>
              <w:t>Donnée</w:t>
            </w:r>
          </w:p>
        </w:tc>
        <w:tc>
          <w:tcPr>
            <w:tcW w:type="dxa" w:w="3118"/>
            <w:shd w:val="clear" w:fill="1F3364"/>
          </w:tcPr>
          <w:p>
            <w:r/>
            <w:r>
              <w:rPr>
                <w:b/>
                <w:color w:val="FFFFFF"/>
                <w:sz w:val="18"/>
              </w:rPr>
              <w:t>Source</w:t>
            </w:r>
          </w:p>
        </w:tc>
        <w:tc>
          <w:tcPr>
            <w:tcW w:type="dxa" w:w="2268"/>
            <w:shd w:val="clear" w:fill="1F3364"/>
          </w:tcPr>
          <w:p>
            <w:r/>
            <w:r>
              <w:rPr>
                <w:b/>
                <w:color w:val="FFFFFF"/>
                <w:sz w:val="18"/>
              </w:rPr>
              <w:t>État</w:t>
            </w:r>
          </w:p>
        </w:tc>
      </w:tr>
      <w:tr>
        <w:tc>
          <w:tcPr>
            <w:tcW w:type="dxa" w:w="4252"/>
          </w:tcPr>
          <w:p>
            <w:r/>
            <w:r>
              <w:rPr>
                <w:sz w:val="17"/>
              </w:rPr>
              <w:t>Identité complète du souscripteur</w:t>
            </w:r>
          </w:p>
        </w:tc>
        <w:tc>
          <w:tcPr>
            <w:tcW w:type="dxa" w:w="3118"/>
          </w:tcPr>
          <w:p>
            <w:r/>
            <w:r>
              <w:rPr>
                <w:rFonts w:ascii="Consolas" w:hAnsi="Consolas" w:eastAsia="Consolas"/>
                <w:sz w:val="17"/>
              </w:rPr>
              <w:t>GET /contacts/{id}</w:t>
            </w:r>
          </w:p>
        </w:tc>
        <w:tc>
          <w:tcPr>
            <w:tcW w:type="dxa" w:w="2268"/>
          </w:tcPr>
          <w:p>
            <w:r/>
            <w:r>
              <w:rPr>
                <w:sz w:val="17"/>
              </w:rPr>
              <w:t>Acquis</w:t>
            </w:r>
          </w:p>
        </w:tc>
      </w:tr>
      <w:tr>
        <w:tc>
          <w:tcPr>
            <w:tcW w:type="dxa" w:w="4252"/>
          </w:tcPr>
          <w:p>
            <w:r/>
            <w:r>
              <w:rPr>
                <w:sz w:val="17"/>
              </w:rPr>
              <w:t>Contrats et valorisations</w:t>
            </w:r>
          </w:p>
        </w:tc>
        <w:tc>
          <w:tcPr>
            <w:tcW w:type="dxa" w:w="3118"/>
          </w:tcPr>
          <w:p>
            <w:r/>
            <w:r>
              <w:rPr>
                <w:rFonts w:ascii="Consolas" w:hAnsi="Consolas" w:eastAsia="Consolas"/>
                <w:sz w:val="17"/>
              </w:rPr>
              <w:t>GET /comptes</w:t>
            </w:r>
          </w:p>
        </w:tc>
        <w:tc>
          <w:tcPr>
            <w:tcW w:type="dxa" w:w="2268"/>
          </w:tcPr>
          <w:p>
            <w:r/>
            <w:r>
              <w:rPr>
                <w:sz w:val="17"/>
              </w:rPr>
              <w:t>Acquis</w:t>
            </w:r>
          </w:p>
        </w:tc>
      </w:tr>
      <w:tr>
        <w:tc>
          <w:tcPr>
            <w:tcW w:type="dxa" w:w="4252"/>
          </w:tcPr>
          <w:p>
            <w:r/>
            <w:r>
              <w:rPr>
                <w:sz w:val="17"/>
              </w:rPr>
              <w:t>Statut réel des opérations</w:t>
            </w:r>
          </w:p>
        </w:tc>
        <w:tc>
          <w:tcPr>
            <w:tcW w:type="dxa" w:w="3118"/>
          </w:tcPr>
          <w:p>
            <w:r/>
            <w:r>
              <w:rPr>
                <w:rFonts w:ascii="Consolas" w:hAnsi="Consolas" w:eastAsia="Consolas"/>
                <w:sz w:val="17"/>
              </w:rPr>
              <w:t>GET /projects (non documenté)</w:t>
            </w:r>
          </w:p>
        </w:tc>
        <w:tc>
          <w:tcPr>
            <w:tcW w:type="dxa" w:w="2268"/>
          </w:tcPr>
          <w:p>
            <w:r/>
            <w:r>
              <w:rPr>
                <w:sz w:val="17"/>
              </w:rPr>
              <w:t>Acquis</w:t>
            </w:r>
          </w:p>
        </w:tc>
      </w:tr>
      <w:tr>
        <w:tc>
          <w:tcPr>
            <w:tcW w:type="dxa" w:w="4252"/>
          </w:tcPr>
          <w:p>
            <w:r/>
            <w:r>
              <w:rPr>
                <w:sz w:val="17"/>
              </w:rPr>
              <w:t>Patrimoine du foyer et sa répartition</w:t>
            </w:r>
          </w:p>
        </w:tc>
        <w:tc>
          <w:tcPr>
            <w:tcW w:type="dxa" w:w="3118"/>
          </w:tcPr>
          <w:p>
            <w:r/>
            <w:r>
              <w:rPr>
                <w:sz w:val="17"/>
              </w:rPr>
              <w:t>contacts/{id}.stocks[]</w:t>
            </w:r>
          </w:p>
        </w:tc>
        <w:tc>
          <w:tcPr>
            <w:tcW w:type="dxa" w:w="2268"/>
          </w:tcPr>
          <w:p>
            <w:r/>
            <w:r>
              <w:rPr>
                <w:sz w:val="17"/>
              </w:rPr>
              <w:t>Acquis (contournement)</w:t>
            </w:r>
          </w:p>
        </w:tc>
      </w:tr>
      <w:tr>
        <w:tc>
          <w:tcPr>
            <w:tcW w:type="dxa" w:w="4252"/>
          </w:tcPr>
          <w:p>
            <w:r/>
            <w:r>
              <w:rPr>
                <w:sz w:val="17"/>
              </w:rPr>
              <w:t>Revenus annuels du foyer</w:t>
            </w:r>
          </w:p>
        </w:tc>
        <w:tc>
          <w:tcPr>
            <w:tcW w:type="dxa" w:w="3118"/>
          </w:tcPr>
          <w:p>
            <w:r/>
            <w:r>
              <w:rPr>
                <w:sz w:val="17"/>
              </w:rPr>
              <w:t>contacts/{id}.fluxs[]</w:t>
            </w:r>
          </w:p>
        </w:tc>
        <w:tc>
          <w:tcPr>
            <w:tcW w:type="dxa" w:w="2268"/>
          </w:tcPr>
          <w:p>
            <w:r/>
            <w:r>
              <w:rPr>
                <w:sz w:val="17"/>
              </w:rPr>
              <w:t>Acquis (contournement)</w:t>
            </w:r>
          </w:p>
        </w:tc>
      </w:tr>
      <w:tr>
        <w:tc>
          <w:tcPr>
            <w:tcW w:type="dxa" w:w="4252"/>
          </w:tcPr>
          <w:p>
            <w:r/>
            <w:r>
              <w:rPr>
                <w:sz w:val="17"/>
              </w:rPr>
              <w:t>Identité réglementaire (nationalité, PPE, régime matrimonial…)</w:t>
            </w:r>
          </w:p>
        </w:tc>
        <w:tc>
          <w:tcPr>
            <w:tcW w:type="dxa" w:w="3118"/>
          </w:tcPr>
          <w:p>
            <w:r/>
            <w:r>
              <w:rPr>
                <w:sz w:val="17"/>
              </w:rPr>
              <w:t>contacts/{id}.personne</w:t>
            </w:r>
          </w:p>
        </w:tc>
        <w:tc>
          <w:tcPr>
            <w:tcW w:type="dxa" w:w="2268"/>
          </w:tcPr>
          <w:p>
            <w:r/>
            <w:r>
              <w:rPr>
                <w:sz w:val="17"/>
              </w:rPr>
              <w:t>Acquis</w:t>
            </w:r>
          </w:p>
        </w:tc>
      </w:tr>
      <w:tr>
        <w:tc>
          <w:tcPr>
            <w:tcW w:type="dxa" w:w="4252"/>
          </w:tcPr>
          <w:p>
            <w:r/>
            <w:r>
              <w:rPr>
                <w:sz w:val="17"/>
              </w:rPr>
              <w:t>ISIN et allocations d'un arbitrage</w:t>
            </w:r>
          </w:p>
        </w:tc>
        <w:tc>
          <w:tcPr>
            <w:tcW w:type="dxa" w:w="3118"/>
          </w:tcPr>
          <w:p>
            <w:r/>
            <w:r>
              <w:rPr>
                <w:sz w:val="17"/>
              </w:rPr>
              <w:t>PDF d'adéquation via GED</w:t>
            </w:r>
          </w:p>
        </w:tc>
        <w:tc>
          <w:tcPr>
            <w:tcW w:type="dxa" w:w="2268"/>
          </w:tcPr>
          <w:p>
            <w:r/>
            <w:r>
              <w:rPr>
                <w:sz w:val="17"/>
              </w:rPr>
              <w:t>Acquis (parsing)</w:t>
            </w:r>
          </w:p>
        </w:tc>
      </w:tr>
      <w:tr>
        <w:tc>
          <w:tcPr>
            <w:tcW w:type="dxa" w:w="4252"/>
          </w:tcPr>
          <w:p>
            <w:r/>
            <w:r>
              <w:rPr>
                <w:sz w:val="17"/>
              </w:rPr>
              <w:t>Montants d'un versement complémentaire</w:t>
            </w:r>
          </w:p>
        </w:tc>
        <w:tc>
          <w:tcPr>
            <w:tcW w:type="dxa" w:w="3118"/>
          </w:tcPr>
          <w:p>
            <w:r/>
            <w:r>
              <w:rPr>
                <w:sz w:val="17"/>
              </w:rPr>
              <w:t>PDF « DA VC » via GED</w:t>
            </w:r>
          </w:p>
        </w:tc>
        <w:tc>
          <w:tcPr>
            <w:tcW w:type="dxa" w:w="2268"/>
          </w:tcPr>
          <w:p>
            <w:r/>
            <w:r>
              <w:rPr>
                <w:sz w:val="17"/>
              </w:rPr>
              <w:t>Piste validée, à confirmer</w:t>
            </w:r>
          </w:p>
        </w:tc>
      </w:tr>
      <w:tr>
        <w:tc>
          <w:tcPr>
            <w:tcW w:type="dxa" w:w="4252"/>
          </w:tcPr>
          <w:p>
            <w:r/>
            <w:r>
              <w:rPr>
                <w:sz w:val="17"/>
              </w:rPr>
              <w:t>Détail transaction en temps réel</w:t>
            </w:r>
          </w:p>
        </w:tc>
        <w:tc>
          <w:tcPr>
            <w:tcW w:type="dxa" w:w="3118"/>
          </w:tcPr>
          <w:p>
            <w:r/>
            <w:r>
              <w:rPr>
                <w:rFonts w:ascii="Consolas" w:hAnsi="Consolas" w:eastAsia="Consolas"/>
                <w:sz w:val="17"/>
              </w:rPr>
              <w:t>GET /transactions</w:t>
            </w:r>
          </w:p>
        </w:tc>
        <w:tc>
          <w:tcPr>
            <w:tcW w:type="dxa" w:w="2268"/>
          </w:tcPr>
          <w:p>
            <w:r/>
            <w:r>
              <w:rPr>
                <w:sz w:val="17"/>
              </w:rPr>
              <w:t>BLOQUÉ — 403</w:t>
            </w:r>
          </w:p>
        </w:tc>
      </w:tr>
    </w:tbl>
    <w:p>
      <w:pPr>
        <w:spacing w:after="80"/>
      </w:pPr>
    </w:p>
    <w:p>
      <w:pPr>
        <w:pStyle w:val="Heading2"/>
      </w:pPr>
      <w:r>
        <w:t>La demande à porter à Generali</w:t>
      </w:r>
    </w:p>
    <w:p>
      <w:pPr>
        <w:spacing w:after="200"/>
      </w:pPr>
      <w:r>
        <w:rPr>
          <w:b w:val="0"/>
          <w:i w:val="0"/>
          <w:sz w:val="21"/>
        </w:rPr>
        <w:t>Le point à retenir pour la discussion avec Romain : il ne s'agit pas d'une donnée absente du système, mais d'un périmètre d'habilitation à ouvrir sur notre identifiant client OAuth. Un seul déblocage couvre les quatre routes concernées.</w:t>
      </w:r>
    </w:p>
    <w:p>
      <w:r>
        <w:br w:type="page"/>
      </w:r>
    </w:p>
    <w:p>
      <w:pPr>
        <w:pStyle w:val="Heading1"/>
      </w:pPr>
      <w:r>
        <w:t>2. Accès et authentification</w:t>
      </w:r>
    </w:p>
    <w:tbl>
      <w:tblPr>
        <w:tblStyle w:val="TableGrid"/>
        <w:tblW w:type="auto" w:w="0"/>
        <w:jc w:val="center"/>
        <w:tblLook w:firstColumn="1" w:firstRow="1" w:lastColumn="0" w:lastRow="0" w:noHBand="0" w:noVBand="1" w:val="04A0"/>
      </w:tblPr>
      <w:tblGrid>
        <w:gridCol w:w="4986"/>
        <w:gridCol w:w="4986"/>
      </w:tblGrid>
      <w:tr>
        <w:tc>
          <w:tcPr>
            <w:tcW w:type="dxa" w:w="2835"/>
            <w:shd w:val="clear" w:fill="1F3364"/>
          </w:tcPr>
          <w:p>
            <w:r/>
            <w:r>
              <w:rPr>
                <w:b/>
                <w:color w:val="FFFFFF"/>
                <w:sz w:val="18"/>
              </w:rPr>
              <w:t>Paramètre</w:t>
            </w:r>
          </w:p>
        </w:tc>
        <w:tc>
          <w:tcPr>
            <w:tcW w:type="dxa" w:w="6803"/>
            <w:shd w:val="clear" w:fill="1F3364"/>
          </w:tcPr>
          <w:p>
            <w:r/>
            <w:r>
              <w:rPr>
                <w:b/>
                <w:color w:val="FFFFFF"/>
                <w:sz w:val="18"/>
              </w:rPr>
              <w:t>Valeur</w:t>
            </w:r>
          </w:p>
        </w:tc>
      </w:tr>
      <w:tr>
        <w:tc>
          <w:tcPr>
            <w:tcW w:type="dxa" w:w="2835"/>
          </w:tcPr>
          <w:p>
            <w:r/>
            <w:r>
              <w:rPr>
                <w:sz w:val="17"/>
              </w:rPr>
              <w:t>URL de base</w:t>
            </w:r>
          </w:p>
        </w:tc>
        <w:tc>
          <w:tcPr>
            <w:tcW w:type="dxa" w:w="6803"/>
          </w:tcPr>
          <w:p>
            <w:r/>
            <w:r>
              <w:rPr>
                <w:sz w:val="17"/>
              </w:rPr>
              <w:t>https://api.office2s.com</w:t>
            </w:r>
          </w:p>
        </w:tc>
      </w:tr>
      <w:tr>
        <w:tc>
          <w:tcPr>
            <w:tcW w:type="dxa" w:w="2835"/>
          </w:tcPr>
          <w:p>
            <w:r/>
            <w:r>
              <w:rPr>
                <w:sz w:val="17"/>
              </w:rPr>
              <w:t>Authentification</w:t>
            </w:r>
          </w:p>
        </w:tc>
        <w:tc>
          <w:tcPr>
            <w:tcW w:type="dxa" w:w="6803"/>
          </w:tcPr>
          <w:p>
            <w:r/>
            <w:r>
              <w:rPr>
                <w:sz w:val="17"/>
              </w:rPr>
              <w:t>OAuth2 password grant</w:t>
            </w:r>
          </w:p>
        </w:tc>
      </w:tr>
      <w:tr>
        <w:tc>
          <w:tcPr>
            <w:tcW w:type="dxa" w:w="2835"/>
          </w:tcPr>
          <w:p>
            <w:r/>
            <w:r>
              <w:rPr>
                <w:sz w:val="17"/>
              </w:rPr>
              <w:t>Serveur d'identité</w:t>
            </w:r>
          </w:p>
        </w:tc>
        <w:tc>
          <w:tcPr>
            <w:tcW w:type="dxa" w:w="6803"/>
          </w:tcPr>
          <w:p>
            <w:r/>
            <w:r>
              <w:rPr>
                <w:sz w:val="17"/>
              </w:rPr>
              <w:t>auth.harvest.fr — Keycloak, realm AppUsers</w:t>
            </w:r>
          </w:p>
        </w:tc>
      </w:tr>
      <w:tr>
        <w:tc>
          <w:tcPr>
            <w:tcW w:type="dxa" w:w="2835"/>
          </w:tcPr>
          <w:p>
            <w:r/>
            <w:r>
              <w:rPr>
                <w:sz w:val="17"/>
              </w:rPr>
              <w:t>Jeton</w:t>
            </w:r>
          </w:p>
        </w:tc>
        <w:tc>
          <w:tcPr>
            <w:tcW w:type="dxa" w:w="6803"/>
          </w:tcPr>
          <w:p>
            <w:r/>
            <w:r>
              <w:rPr>
                <w:sz w:val="17"/>
              </w:rPr>
              <w:t>Bearer, mis en cache et renouvelé 60 s avant expiration</w:t>
            </w:r>
          </w:p>
        </w:tc>
      </w:tr>
      <w:tr>
        <w:tc>
          <w:tcPr>
            <w:tcW w:type="dxa" w:w="2835"/>
          </w:tcPr>
          <w:p>
            <w:r/>
            <w:r>
              <w:rPr>
                <w:sz w:val="17"/>
              </w:rPr>
              <w:t>Spécification</w:t>
            </w:r>
          </w:p>
        </w:tc>
        <w:tc>
          <w:tcPr>
            <w:tcW w:type="dxa" w:w="6803"/>
          </w:tcPr>
          <w:p>
            <w:r/>
            <w:r>
              <w:rPr>
                <w:rFonts w:ascii="Consolas" w:hAnsi="Consolas" w:eastAsia="Consolas"/>
                <w:sz w:val="17"/>
              </w:rPr>
              <w:t>GET /v2/api-docs — renvoie désormais 403 (accessible le 14/07, plus depuis)</w:t>
            </w:r>
          </w:p>
        </w:tc>
      </w:tr>
    </w:tbl>
    <w:p>
      <w:pPr>
        <w:spacing w:after="80"/>
      </w:pPr>
    </w:p>
    <w:p>
      <w:pPr>
        <w:spacing w:after="120"/>
      </w:pPr>
      <w:r>
        <w:rPr>
          <w:b w:val="0"/>
          <w:i/>
          <w:color w:val="555F70"/>
          <w:sz w:val="19"/>
        </w:rPr>
        <w:t>La spécification n'étant plus accessible, elle est conservée en cache local (o2s_api_spec_cache.json). Elle ne doit plus être sollicitée.</w:t>
      </w:r>
    </w:p>
    <w:p>
      <w:pPr>
        <w:pStyle w:val="Heading1"/>
      </w:pPr>
      <w:r>
        <w:t>3. Endpoints documentés</w:t>
      </w:r>
    </w:p>
    <w:p>
      <w:pPr>
        <w:spacing w:after="120"/>
      </w:pPr>
      <w:r>
        <w:rPr>
          <w:b w:val="0"/>
          <w:i w:val="0"/>
          <w:sz w:val="21"/>
        </w:rPr>
        <w:t>Les 22 endpoints du groupe « default » de la spécification officielle.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948"/>
            <w:shd w:val="clear" w:fill="1F3364"/>
          </w:tcPr>
          <w:p>
            <w:r/>
            <w:r>
              <w:rPr>
                <w:b/>
                <w:color w:val="FFFFFF"/>
                <w:sz w:val="18"/>
              </w:rPr>
              <w:t>Endpoint</w:t>
            </w:r>
          </w:p>
        </w:tc>
        <w:tc>
          <w:tcPr>
            <w:tcW w:type="dxa" w:w="1701"/>
            <w:shd w:val="clear" w:fill="1F3364"/>
          </w:tcPr>
          <w:p>
            <w:r/>
            <w:r>
              <w:rPr>
                <w:b/>
                <w:color w:val="FFFFFF"/>
                <w:sz w:val="18"/>
              </w:rPr>
              <w:t>Méthodes</w:t>
            </w:r>
          </w:p>
        </w:tc>
        <w:tc>
          <w:tcPr>
            <w:tcW w:type="dxa" w:w="3402"/>
            <w:shd w:val="clear" w:fill="1F3364"/>
          </w:tcPr>
          <w:p>
            <w:r/>
            <w:r>
              <w:rPr>
                <w:b/>
                <w:color w:val="FFFFFF"/>
                <w:sz w:val="18"/>
              </w:rPr>
              <w:t>Rôle</w:t>
            </w:r>
          </w:p>
        </w:tc>
        <w:tc>
          <w:tcPr>
            <w:tcW w:type="dxa" w:w="1587"/>
            <w:shd w:val="clear" w:fill="1F3364"/>
          </w:tcPr>
          <w:p>
            <w:r/>
            <w:r>
              <w:rPr>
                <w:b/>
                <w:color w:val="FFFFFF"/>
                <w:sz w:val="18"/>
              </w:rPr>
              <w:t>Exploité</w:t>
            </w:r>
          </w:p>
        </w:tc>
      </w:tr>
      <w:tr>
        <w:tc>
          <w:tcPr>
            <w:tcW w:type="dxa" w:w="2948"/>
          </w:tcPr>
          <w:p>
            <w:r/>
            <w:r>
              <w:rPr>
                <w:rFonts w:ascii="Consolas" w:hAnsi="Consolas" w:eastAsia="Consolas"/>
                <w:sz w:val="17"/>
              </w:rPr>
              <w:t>/contacts</w:t>
            </w:r>
          </w:p>
        </w:tc>
        <w:tc>
          <w:tcPr>
            <w:tcW w:type="dxa" w:w="1701"/>
          </w:tcPr>
          <w:p>
            <w:r/>
            <w:r>
              <w:rPr>
                <w:sz w:val="17"/>
              </w:rPr>
              <w:t>GET, POST</w:t>
            </w:r>
          </w:p>
        </w:tc>
        <w:tc>
          <w:tcPr>
            <w:tcW w:type="dxa" w:w="3402"/>
          </w:tcPr>
          <w:p>
            <w:r/>
            <w:r>
              <w:rPr>
                <w:sz w:val="17"/>
              </w:rPr>
              <w:t>Liste et recherche de clients</w:t>
            </w:r>
          </w:p>
        </w:tc>
        <w:tc>
          <w:tcPr>
            <w:tcW w:type="dxa" w:w="1587"/>
          </w:tcPr>
          <w:p>
            <w:r/>
            <w:r>
              <w:rPr>
                <w:sz w:val="17"/>
              </w:rPr>
              <w:t>Oui</w:t>
            </w:r>
          </w:p>
        </w:tc>
      </w:tr>
      <w:tr>
        <w:tc>
          <w:tcPr>
            <w:tcW w:type="dxa" w:w="2948"/>
          </w:tcPr>
          <w:p>
            <w:r/>
            <w:r>
              <w:rPr>
                <w:rFonts w:ascii="Consolas" w:hAnsi="Consolas" w:eastAsia="Consolas"/>
                <w:sz w:val="17"/>
              </w:rPr>
              <w:t>/contacts/{id}</w:t>
            </w:r>
          </w:p>
        </w:tc>
        <w:tc>
          <w:tcPr>
            <w:tcW w:type="dxa" w:w="1701"/>
          </w:tcPr>
          <w:p>
            <w:r/>
            <w:r>
              <w:rPr>
                <w:sz w:val="17"/>
              </w:rPr>
              <w:t>GET, PUT, DELETE</w:t>
            </w:r>
          </w:p>
        </w:tc>
        <w:tc>
          <w:tcPr>
            <w:tcW w:type="dxa" w:w="3402"/>
          </w:tcPr>
          <w:p>
            <w:r/>
            <w:r>
              <w:rPr>
                <w:sz w:val="17"/>
              </w:rPr>
              <w:t>Fiche client complète (voir §6)</w:t>
            </w:r>
          </w:p>
        </w:tc>
        <w:tc>
          <w:tcPr>
            <w:tcW w:type="dxa" w:w="1587"/>
          </w:tcPr>
          <w:p>
            <w:r/>
            <w:r>
              <w:rPr>
                <w:sz w:val="17"/>
              </w:rPr>
              <w:t>Oui</w:t>
            </w:r>
          </w:p>
        </w:tc>
      </w:tr>
      <w:tr>
        <w:tc>
          <w:tcPr>
            <w:tcW w:type="dxa" w:w="2948"/>
          </w:tcPr>
          <w:p>
            <w:r/>
            <w:r>
              <w:rPr>
                <w:rFonts w:ascii="Consolas" w:hAnsi="Consolas" w:eastAsia="Consolas"/>
                <w:sz w:val="17"/>
              </w:rPr>
              <w:t>/comptes</w:t>
            </w:r>
          </w:p>
        </w:tc>
        <w:tc>
          <w:tcPr>
            <w:tcW w:type="dxa" w:w="1701"/>
          </w:tcPr>
          <w:p>
            <w:r/>
            <w:r>
              <w:rPr>
                <w:sz w:val="17"/>
              </w:rPr>
              <w:t>GET, POST</w:t>
            </w:r>
          </w:p>
        </w:tc>
        <w:tc>
          <w:tcPr>
            <w:tcW w:type="dxa" w:w="3402"/>
          </w:tcPr>
          <w:p>
            <w:r/>
            <w:r>
              <w:rPr>
                <w:sz w:val="17"/>
              </w:rPr>
              <w:t>Liste des contrats</w:t>
            </w:r>
          </w:p>
        </w:tc>
        <w:tc>
          <w:tcPr>
            <w:tcW w:type="dxa" w:w="1587"/>
          </w:tcPr>
          <w:p>
            <w:r/>
            <w:r>
              <w:rPr>
                <w:sz w:val="17"/>
              </w:rPr>
              <w:t>Oui</w:t>
            </w:r>
          </w:p>
        </w:tc>
      </w:tr>
      <w:tr>
        <w:tc>
          <w:tcPr>
            <w:tcW w:type="dxa" w:w="2948"/>
          </w:tcPr>
          <w:p>
            <w:r/>
            <w:r>
              <w:rPr>
                <w:rFonts w:ascii="Consolas" w:hAnsi="Consolas" w:eastAsia="Consolas"/>
                <w:sz w:val="17"/>
              </w:rPr>
              <w:t>/comptes/{id}</w:t>
            </w:r>
          </w:p>
        </w:tc>
        <w:tc>
          <w:tcPr>
            <w:tcW w:type="dxa" w:w="1701"/>
          </w:tcPr>
          <w:p>
            <w:r/>
            <w:r>
              <w:rPr>
                <w:sz w:val="17"/>
              </w:rPr>
              <w:t>GET, PUT</w:t>
            </w:r>
          </w:p>
        </w:tc>
        <w:tc>
          <w:tcPr>
            <w:tcW w:type="dxa" w:w="3402"/>
          </w:tcPr>
          <w:p>
            <w:r/>
            <w:r>
              <w:rPr>
                <w:sz w:val="17"/>
              </w:rPr>
              <w:t>Détail contrat, placement.statut</w:t>
            </w:r>
          </w:p>
        </w:tc>
        <w:tc>
          <w:tcPr>
            <w:tcW w:type="dxa" w:w="1587"/>
          </w:tcPr>
          <w:p>
            <w:r/>
            <w:r>
              <w:rPr>
                <w:sz w:val="17"/>
              </w:rPr>
              <w:t>Oui</w:t>
            </w:r>
          </w:p>
        </w:tc>
      </w:tr>
      <w:tr>
        <w:tc>
          <w:tcPr>
            <w:tcW w:type="dxa" w:w="2948"/>
          </w:tcPr>
          <w:p>
            <w:r/>
            <w:r>
              <w:rPr>
                <w:rFonts w:ascii="Consolas" w:hAnsi="Consolas" w:eastAsia="Consolas"/>
                <w:sz w:val="17"/>
              </w:rPr>
              <w:t>/comptes/{id}/situations</w:t>
            </w:r>
          </w:p>
        </w:tc>
        <w:tc>
          <w:tcPr>
            <w:tcW w:type="dxa" w:w="1701"/>
          </w:tcPr>
          <w:p>
            <w:r/>
            <w:r>
              <w:rPr>
                <w:sz w:val="17"/>
              </w:rPr>
              <w:t>PUT</w:t>
            </w:r>
          </w:p>
        </w:tc>
        <w:tc>
          <w:tcPr>
            <w:tcW w:type="dxa" w:w="3402"/>
          </w:tcPr>
          <w:p>
            <w:r/>
            <w:r>
              <w:rPr>
                <w:sz w:val="17"/>
              </w:rPr>
              <w:t>Écriture de situation (pas de GET)</w:t>
            </w:r>
          </w:p>
        </w:tc>
        <w:tc>
          <w:tcPr>
            <w:tcW w:type="dxa" w:w="1587"/>
          </w:tcPr>
          <w:p>
            <w:r/>
            <w:r>
              <w:rPr>
                <w:sz w:val="17"/>
              </w:rPr>
              <w:t>Non</w:t>
            </w:r>
          </w:p>
        </w:tc>
      </w:tr>
      <w:tr>
        <w:tc>
          <w:tcPr>
            <w:tcW w:type="dxa" w:w="2948"/>
          </w:tcPr>
          <w:p>
            <w:r/>
            <w:r>
              <w:rPr>
                <w:rFonts w:ascii="Consolas" w:hAnsi="Consolas" w:eastAsia="Consolas"/>
                <w:sz w:val="17"/>
              </w:rPr>
              <w:t>/documents</w:t>
            </w:r>
          </w:p>
        </w:tc>
        <w:tc>
          <w:tcPr>
            <w:tcW w:type="dxa" w:w="1701"/>
          </w:tcPr>
          <w:p>
            <w:r/>
            <w:r>
              <w:rPr>
                <w:sz w:val="17"/>
              </w:rPr>
              <w:t>GET, POST</w:t>
            </w:r>
          </w:p>
        </w:tc>
        <w:tc>
          <w:tcPr>
            <w:tcW w:type="dxa" w:w="3402"/>
          </w:tcPr>
          <w:p>
            <w:r/>
            <w:r>
              <w:rPr>
                <w:sz w:val="17"/>
              </w:rPr>
              <w:t>Liste et dépôt de documents</w:t>
            </w:r>
          </w:p>
        </w:tc>
        <w:tc>
          <w:tcPr>
            <w:tcW w:type="dxa" w:w="1587"/>
          </w:tcPr>
          <w:p>
            <w:r/>
            <w:r>
              <w:rPr>
                <w:sz w:val="17"/>
              </w:rPr>
              <w:t>Oui</w:t>
            </w:r>
          </w:p>
        </w:tc>
      </w:tr>
      <w:tr>
        <w:tc>
          <w:tcPr>
            <w:tcW w:type="dxa" w:w="2948"/>
          </w:tcPr>
          <w:p>
            <w:r/>
            <w:r>
              <w:rPr>
                <w:rFonts w:ascii="Consolas" w:hAnsi="Consolas" w:eastAsia="Consolas"/>
                <w:sz w:val="17"/>
              </w:rPr>
              <w:t>/documents/{id}</w:t>
            </w:r>
          </w:p>
        </w:tc>
        <w:tc>
          <w:tcPr>
            <w:tcW w:type="dxa" w:w="1701"/>
          </w:tcPr>
          <w:p>
            <w:r/>
            <w:r>
              <w:rPr>
                <w:sz w:val="17"/>
              </w:rPr>
              <w:t>GET, PUT, DELETE</w:t>
            </w:r>
          </w:p>
        </w:tc>
        <w:tc>
          <w:tcPr>
            <w:tcW w:type="dxa" w:w="3402"/>
          </w:tcPr>
          <w:p>
            <w:r/>
            <w:r>
              <w:rPr>
                <w:sz w:val="17"/>
              </w:rPr>
              <w:t>Détail et contenu base64</w:t>
            </w:r>
          </w:p>
        </w:tc>
        <w:tc>
          <w:tcPr>
            <w:tcW w:type="dxa" w:w="1587"/>
          </w:tcPr>
          <w:p>
            <w:r/>
            <w:r>
              <w:rPr>
                <w:sz w:val="17"/>
              </w:rPr>
              <w:t>Oui</w:t>
            </w:r>
          </w:p>
        </w:tc>
      </w:tr>
      <w:tr>
        <w:tc>
          <w:tcPr>
            <w:tcW w:type="dxa" w:w="2948"/>
          </w:tcPr>
          <w:p>
            <w:r/>
            <w:r>
              <w:rPr>
                <w:rFonts w:ascii="Consolas" w:hAnsi="Consolas" w:eastAsia="Consolas"/>
                <w:sz w:val="17"/>
              </w:rPr>
              <w:t>/categories-documents</w:t>
            </w:r>
          </w:p>
        </w:tc>
        <w:tc>
          <w:tcPr>
            <w:tcW w:type="dxa" w:w="1701"/>
          </w:tcPr>
          <w:p>
            <w:r/>
            <w:r>
              <w:rPr>
                <w:sz w:val="17"/>
              </w:rPr>
              <w:t>GET</w:t>
            </w:r>
          </w:p>
        </w:tc>
        <w:tc>
          <w:tcPr>
            <w:tcW w:type="dxa" w:w="3402"/>
          </w:tcPr>
          <w:p>
            <w:r/>
            <w:r>
              <w:rPr>
                <w:sz w:val="17"/>
              </w:rPr>
              <w:t>34 catégories de GED</w:t>
            </w:r>
          </w:p>
        </w:tc>
        <w:tc>
          <w:tcPr>
            <w:tcW w:type="dxa" w:w="1587"/>
          </w:tcPr>
          <w:p>
            <w:r/>
            <w:r>
              <w:rPr>
                <w:sz w:val="17"/>
              </w:rPr>
              <w:t>Oui</w:t>
            </w:r>
          </w:p>
        </w:tc>
      </w:tr>
      <w:tr>
        <w:tc>
          <w:tcPr>
            <w:tcW w:type="dxa" w:w="2948"/>
          </w:tcPr>
          <w:p>
            <w:r/>
            <w:r>
              <w:rPr>
                <w:rFonts w:ascii="Consolas" w:hAnsi="Consolas" w:eastAsia="Consolas"/>
                <w:sz w:val="17"/>
              </w:rPr>
              <w:t>/agences</w:t>
            </w:r>
          </w:p>
        </w:tc>
        <w:tc>
          <w:tcPr>
            <w:tcW w:type="dxa" w:w="1701"/>
          </w:tcPr>
          <w:p>
            <w:r/>
            <w:r>
              <w:rPr>
                <w:sz w:val="17"/>
              </w:rPr>
              <w:t>GET, POST</w:t>
            </w:r>
          </w:p>
        </w:tc>
        <w:tc>
          <w:tcPr>
            <w:tcW w:type="dxa" w:w="3402"/>
          </w:tcPr>
          <w:p>
            <w:r/>
            <w:r>
              <w:rPr>
                <w:sz w:val="17"/>
              </w:rPr>
              <w:t>Agences (vide — cabinet mono-agence)</w:t>
            </w:r>
          </w:p>
        </w:tc>
        <w:tc>
          <w:tcPr>
            <w:tcW w:type="dxa" w:w="1587"/>
          </w:tcPr>
          <w:p>
            <w:r/>
            <w:r>
              <w:rPr>
                <w:sz w:val="17"/>
              </w:rPr>
              <w:t>Non</w:t>
            </w:r>
          </w:p>
        </w:tc>
      </w:tr>
      <w:tr>
        <w:tc>
          <w:tcPr>
            <w:tcW w:type="dxa" w:w="2948"/>
          </w:tcPr>
          <w:p>
            <w:r/>
            <w:r>
              <w:rPr>
                <w:rFonts w:ascii="Consolas" w:hAnsi="Consolas" w:eastAsia="Consolas"/>
                <w:sz w:val="17"/>
              </w:rPr>
              <w:t>/utilisateurs</w:t>
            </w:r>
          </w:p>
        </w:tc>
        <w:tc>
          <w:tcPr>
            <w:tcW w:type="dxa" w:w="1701"/>
          </w:tcPr>
          <w:p>
            <w:r/>
            <w:r>
              <w:rPr>
                <w:sz w:val="17"/>
              </w:rPr>
              <w:t>GET, POST</w:t>
            </w:r>
          </w:p>
        </w:tc>
        <w:tc>
          <w:tcPr>
            <w:tcW w:type="dxa" w:w="3402"/>
          </w:tcPr>
          <w:p>
            <w:r/>
            <w:r>
              <w:rPr>
                <w:sz w:val="17"/>
              </w:rPr>
              <w:t>Équipe Rhétorès (conseillers)</w:t>
            </w:r>
          </w:p>
        </w:tc>
        <w:tc>
          <w:tcPr>
            <w:tcW w:type="dxa" w:w="1587"/>
          </w:tcPr>
          <w:p>
            <w:r/>
            <w:r>
              <w:rPr>
                <w:sz w:val="17"/>
              </w:rPr>
              <w:t>Non — opportunité</w:t>
            </w:r>
          </w:p>
        </w:tc>
      </w:tr>
      <w:tr>
        <w:tc>
          <w:tcPr>
            <w:tcW w:type="dxa" w:w="2948"/>
          </w:tcPr>
          <w:p>
            <w:r/>
            <w:r>
              <w:rPr>
                <w:rFonts w:ascii="Consolas" w:hAnsi="Consolas" w:eastAsia="Consolas"/>
                <w:sz w:val="17"/>
              </w:rPr>
              <w:t>/relations</w:t>
            </w:r>
          </w:p>
        </w:tc>
        <w:tc>
          <w:tcPr>
            <w:tcW w:type="dxa" w:w="1701"/>
          </w:tcPr>
          <w:p>
            <w:r/>
            <w:r>
              <w:rPr>
                <w:sz w:val="17"/>
              </w:rPr>
              <w:t>GET, POST</w:t>
            </w:r>
          </w:p>
        </w:tc>
        <w:tc>
          <w:tcPr>
            <w:tcW w:type="dxa" w:w="3402"/>
          </w:tcPr>
          <w:p>
            <w:r/>
            <w:r>
              <w:rPr>
                <w:sz w:val="17"/>
              </w:rPr>
              <w:t>Lien client ↔ conseiller</w:t>
            </w:r>
          </w:p>
        </w:tc>
        <w:tc>
          <w:tcPr>
            <w:tcW w:type="dxa" w:w="1587"/>
          </w:tcPr>
          <w:p>
            <w:r/>
            <w:r>
              <w:rPr>
                <w:sz w:val="17"/>
              </w:rPr>
              <w:t>Non — opportunité</w:t>
            </w:r>
          </w:p>
        </w:tc>
      </w:tr>
      <w:tr>
        <w:tc>
          <w:tcPr>
            <w:tcW w:type="dxa" w:w="2948"/>
          </w:tcPr>
          <w:p>
            <w:r/>
            <w:r>
              <w:rPr>
                <w:rFonts w:ascii="Consolas" w:hAnsi="Consolas" w:eastAsia="Consolas"/>
                <w:sz w:val="17"/>
              </w:rPr>
              <w:t>/profils</w:t>
            </w:r>
          </w:p>
        </w:tc>
        <w:tc>
          <w:tcPr>
            <w:tcW w:type="dxa" w:w="1701"/>
          </w:tcPr>
          <w:p>
            <w:r/>
            <w:r>
              <w:rPr>
                <w:sz w:val="17"/>
              </w:rPr>
              <w:t>GET</w:t>
            </w:r>
          </w:p>
        </w:tc>
        <w:tc>
          <w:tcPr>
            <w:tcW w:type="dxa" w:w="3402"/>
          </w:tcPr>
          <w:p>
            <w:r/>
            <w:r>
              <w:rPr>
                <w:sz w:val="17"/>
              </w:rPr>
              <w:t>64 profils utilisateur</w:t>
            </w:r>
          </w:p>
        </w:tc>
        <w:tc>
          <w:tcPr>
            <w:tcW w:type="dxa" w:w="1587"/>
          </w:tcPr>
          <w:p>
            <w:r/>
            <w:r>
              <w:rPr>
                <w:sz w:val="17"/>
              </w:rPr>
              <w:t>Non</w:t>
            </w:r>
          </w:p>
        </w:tc>
      </w:tr>
      <w:tr>
        <w:tc>
          <w:tcPr>
            <w:tcW w:type="dxa" w:w="2948"/>
          </w:tcPr>
          <w:p>
            <w:r/>
            <w:r>
              <w:rPr>
                <w:rFonts w:ascii="Consolas" w:hAnsi="Consolas" w:eastAsia="Consolas"/>
                <w:sz w:val="17"/>
              </w:rPr>
              <w:t>/referentiels/contact-professions</w:t>
            </w:r>
          </w:p>
        </w:tc>
        <w:tc>
          <w:tcPr>
            <w:tcW w:type="dxa" w:w="1701"/>
          </w:tcPr>
          <w:p>
            <w:r/>
            <w:r>
              <w:rPr>
                <w:sz w:val="17"/>
              </w:rPr>
              <w:t>GET</w:t>
            </w:r>
          </w:p>
        </w:tc>
        <w:tc>
          <w:tcPr>
            <w:tcW w:type="dxa" w:w="3402"/>
          </w:tcPr>
          <w:p>
            <w:r/>
            <w:r>
              <w:rPr>
                <w:sz w:val="17"/>
              </w:rPr>
              <w:t>186 professions normalisées</w:t>
            </w:r>
          </w:p>
        </w:tc>
        <w:tc>
          <w:tcPr>
            <w:tcW w:type="dxa" w:w="1587"/>
          </w:tcPr>
          <w:p>
            <w:r/>
            <w:r>
              <w:rPr>
                <w:sz w:val="17"/>
              </w:rPr>
              <w:t>Non — opportunité</w:t>
            </w:r>
          </w:p>
        </w:tc>
      </w:tr>
      <w:tr>
        <w:tc>
          <w:tcPr>
            <w:tcW w:type="dxa" w:w="2948"/>
          </w:tcPr>
          <w:p>
            <w:r/>
            <w:r>
              <w:rPr>
                <w:rFonts w:ascii="Consolas" w:hAnsi="Consolas" w:eastAsia="Consolas"/>
                <w:sz w:val="17"/>
              </w:rPr>
              <w:t>/referentiels/contact-capacites</w:t>
            </w:r>
          </w:p>
        </w:tc>
        <w:tc>
          <w:tcPr>
            <w:tcW w:type="dxa" w:w="1701"/>
          </w:tcPr>
          <w:p>
            <w:r/>
            <w:r>
              <w:rPr>
                <w:sz w:val="17"/>
              </w:rPr>
              <w:t>GET</w:t>
            </w:r>
          </w:p>
        </w:tc>
        <w:tc>
          <w:tcPr>
            <w:tcW w:type="dxa" w:w="3402"/>
          </w:tcPr>
          <w:p>
            <w:r/>
            <w:r>
              <w:rPr>
                <w:sz w:val="17"/>
              </w:rPr>
              <w:t>10 capacités juridiques</w:t>
            </w:r>
          </w:p>
        </w:tc>
        <w:tc>
          <w:tcPr>
            <w:tcW w:type="dxa" w:w="1587"/>
          </w:tcPr>
          <w:p>
            <w:r/>
            <w:r>
              <w:rPr>
                <w:sz w:val="17"/>
              </w:rPr>
              <w:t>Non</w:t>
            </w:r>
          </w:p>
        </w:tc>
      </w:tr>
      <w:tr>
        <w:tc>
          <w:tcPr>
            <w:tcW w:type="dxa" w:w="2948"/>
          </w:tcPr>
          <w:p>
            <w:r/>
            <w:r>
              <w:rPr>
                <w:rFonts w:ascii="Consolas" w:hAnsi="Consolas" w:eastAsia="Consolas"/>
                <w:sz w:val="17"/>
              </w:rPr>
              <w:t>/referentiels/contact-origines</w:t>
            </w:r>
          </w:p>
        </w:tc>
        <w:tc>
          <w:tcPr>
            <w:tcW w:type="dxa" w:w="1701"/>
          </w:tcPr>
          <w:p>
            <w:r/>
            <w:r>
              <w:rPr>
                <w:sz w:val="17"/>
              </w:rPr>
              <w:t>GET</w:t>
            </w:r>
          </w:p>
        </w:tc>
        <w:tc>
          <w:tcPr>
            <w:tcW w:type="dxa" w:w="3402"/>
          </w:tcPr>
          <w:p>
            <w:r/>
            <w:r>
              <w:rPr>
                <w:sz w:val="17"/>
              </w:rPr>
              <w:t>103 origines de relation</w:t>
            </w:r>
          </w:p>
        </w:tc>
        <w:tc>
          <w:tcPr>
            <w:tcW w:type="dxa" w:w="1587"/>
          </w:tcPr>
          <w:p>
            <w:r/>
            <w:r>
              <w:rPr>
                <w:sz w:val="17"/>
              </w:rPr>
              <w:t>Non</w:t>
            </w:r>
          </w:p>
        </w:tc>
      </w:tr>
      <w:tr>
        <w:tc>
          <w:tcPr>
            <w:tcW w:type="dxa" w:w="2948"/>
          </w:tcPr>
          <w:p>
            <w:r/>
            <w:r>
              <w:rPr>
                <w:rFonts w:ascii="Consolas" w:hAnsi="Consolas" w:eastAsia="Consolas"/>
                <w:sz w:val="17"/>
              </w:rPr>
              <w:t>/referentiels/contact-qualites</w:t>
            </w:r>
          </w:p>
        </w:tc>
        <w:tc>
          <w:tcPr>
            <w:tcW w:type="dxa" w:w="1701"/>
          </w:tcPr>
          <w:p>
            <w:r/>
            <w:r>
              <w:rPr>
                <w:sz w:val="17"/>
              </w:rPr>
              <w:t>GET</w:t>
            </w:r>
          </w:p>
        </w:tc>
        <w:tc>
          <w:tcPr>
            <w:tcW w:type="dxa" w:w="3402"/>
          </w:tcPr>
          <w:p>
            <w:r/>
            <w:r>
              <w:rPr>
                <w:sz w:val="17"/>
              </w:rPr>
              <w:t>35 niveaux de qualité</w:t>
            </w:r>
          </w:p>
        </w:tc>
        <w:tc>
          <w:tcPr>
            <w:tcW w:type="dxa" w:w="1587"/>
          </w:tcPr>
          <w:p>
            <w:r/>
            <w:r>
              <w:rPr>
                <w:sz w:val="17"/>
              </w:rPr>
              <w:t>Non</w:t>
            </w:r>
          </w:p>
        </w:tc>
      </w:tr>
    </w:tbl>
    <w:p>
      <w:pPr>
        <w:spacing w:after="80"/>
      </w:pPr>
    </w:p>
    <w:p>
      <w:pPr>
        <w:spacing w:after="120"/>
      </w:pPr>
      <w:r>
        <w:rPr>
          <w:b w:val="0"/>
          <w:i/>
          <w:color w:val="555F70"/>
          <w:sz w:val="19"/>
        </w:rPr>
        <w:t>S'y ajoutent les variantes /{id} des ressources agences et utilisateurs, ainsi que le groupe « management » (12 endpoints Spring Boot Actuator, sans intérêt métier). Le groupe « openapi » est vide.</w:t>
      </w:r>
    </w:p>
    <w:p>
      <w:r>
        <w:br w:type="page"/>
      </w:r>
    </w:p>
    <w:p>
      <w:pPr>
        <w:pStyle w:val="Heading1"/>
      </w:pPr>
      <w:r>
        <w:t>4. Endpoints non documentés mais fonctionnels</w:t>
      </w:r>
    </w:p>
    <w:p>
      <w:pPr>
        <w:spacing w:after="120"/>
      </w:pPr>
      <w:r>
        <w:rPr>
          <w:b w:val="0"/>
          <w:i w:val="0"/>
          <w:sz w:val="21"/>
        </w:rPr>
        <w:t>Absents des trois groupes Swagger, ces endpoints répondent en 200 sur la production. Vérifiés sur données réelles.</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fill="1F3364"/>
          </w:tcPr>
          <w:p>
            <w:r/>
            <w:r>
              <w:rPr>
                <w:b/>
                <w:color w:val="FFFFFF"/>
                <w:sz w:val="18"/>
              </w:rPr>
              <w:t>Endpoint</w:t>
            </w:r>
          </w:p>
        </w:tc>
        <w:tc>
          <w:tcPr>
            <w:tcW w:type="dxa" w:w="3118"/>
            <w:shd w:val="clear" w:fill="1F3364"/>
          </w:tcPr>
          <w:p>
            <w:r/>
            <w:r>
              <w:rPr>
                <w:b/>
                <w:color w:val="FFFFFF"/>
                <w:sz w:val="18"/>
              </w:rPr>
              <w:t>Rôle</w:t>
            </w:r>
          </w:p>
        </w:tc>
        <w:tc>
          <w:tcPr>
            <w:tcW w:type="dxa" w:w="3685"/>
            <w:shd w:val="clear" w:fill="1F3364"/>
          </w:tcPr>
          <w:p>
            <w:r/>
            <w:r>
              <w:rPr>
                <w:b/>
                <w:color w:val="FFFFFF"/>
                <w:sz w:val="18"/>
              </w:rPr>
              <w:t>Point clé</w:t>
            </w:r>
          </w:p>
        </w:tc>
      </w:tr>
      <w:tr>
        <w:tc>
          <w:tcPr>
            <w:tcW w:type="dxa" w:w="2835"/>
          </w:tcPr>
          <w:p>
            <w:r/>
            <w:r>
              <w:rPr>
                <w:rFonts w:ascii="Consolas" w:hAnsi="Consolas" w:eastAsia="Consolas"/>
                <w:sz w:val="17"/>
              </w:rPr>
              <w:t>/projects?personId={id}</w:t>
            </w:r>
          </w:p>
        </w:tc>
        <w:tc>
          <w:tcPr>
            <w:tcW w:type="dxa" w:w="3118"/>
          </w:tcPr>
          <w:p>
            <w:r/>
            <w:r>
              <w:rPr>
                <w:sz w:val="17"/>
              </w:rPr>
              <w:t>Opérations et projets du client</w:t>
            </w:r>
          </w:p>
        </w:tc>
        <w:tc>
          <w:tcPr>
            <w:tcW w:type="dxa" w:w="3685"/>
          </w:tcPr>
          <w:p>
            <w:r/>
            <w:r>
              <w:rPr>
                <w:sz w:val="17"/>
              </w:rPr>
              <w:t>Ne renvoie QUE les projets actifs — voir §4.2</w:t>
            </w:r>
          </w:p>
        </w:tc>
      </w:tr>
      <w:tr>
        <w:tc>
          <w:tcPr>
            <w:tcW w:type="dxa" w:w="2835"/>
          </w:tcPr>
          <w:p>
            <w:r/>
            <w:r>
              <w:rPr>
                <w:rFonts w:ascii="Consolas" w:hAnsi="Consolas" w:eastAsia="Consolas"/>
                <w:sz w:val="17"/>
              </w:rPr>
              <w:t>/projects/{id}</w:t>
            </w:r>
          </w:p>
        </w:tc>
        <w:tc>
          <w:tcPr>
            <w:tcW w:type="dxa" w:w="3118"/>
          </w:tcPr>
          <w:p>
            <w:r/>
            <w:r>
              <w:rPr>
                <w:sz w:val="17"/>
              </w:rPr>
              <w:t>Détail d'un projet</w:t>
            </w:r>
          </w:p>
        </w:tc>
        <w:tc>
          <w:tcPr>
            <w:tcW w:type="dxa" w:w="3685"/>
          </w:tcPr>
          <w:p>
            <w:r/>
            <w:r>
              <w:rPr>
                <w:sz w:val="17"/>
              </w:rPr>
              <w:t>Statut, profil de risque MiFID, horizon, contrat visé</w:t>
            </w:r>
          </w:p>
        </w:tc>
      </w:tr>
      <w:tr>
        <w:tc>
          <w:tcPr>
            <w:tcW w:type="dxa" w:w="2835"/>
          </w:tcPr>
          <w:p>
            <w:r/>
            <w:r>
              <w:rPr>
                <w:rFonts w:ascii="Consolas" w:hAnsi="Consolas" w:eastAsia="Consolas"/>
                <w:sz w:val="17"/>
              </w:rPr>
              <w:t>/accounts?personId={id}</w:t>
            </w:r>
          </w:p>
        </w:tc>
        <w:tc>
          <w:tcPr>
            <w:tcW w:type="dxa" w:w="3118"/>
          </w:tcPr>
          <w:p>
            <w:r/>
            <w:r>
              <w:rPr>
                <w:sz w:val="17"/>
              </w:rPr>
              <w:t>Comptes (jumeau anglais de /comptes)</w:t>
            </w:r>
          </w:p>
        </w:tc>
        <w:tc>
          <w:tcPr>
            <w:tcW w:type="dxa" w:w="3685"/>
          </w:tcPr>
          <w:p>
            <w:r/>
            <w:r>
              <w:rPr>
                <w:sz w:val="17"/>
              </w:rPr>
              <w:t>accountId, accountNumber, label, productId</w:t>
            </w:r>
          </w:p>
        </w:tc>
      </w:tr>
      <w:tr>
        <w:tc>
          <w:tcPr>
            <w:tcW w:type="dxa" w:w="2835"/>
          </w:tcPr>
          <w:p>
            <w:r/>
            <w:r>
              <w:rPr>
                <w:rFonts w:ascii="Consolas" w:hAnsi="Consolas" w:eastAsia="Consolas"/>
                <w:sz w:val="17"/>
              </w:rPr>
              <w:t>/products</w:t>
            </w:r>
          </w:p>
        </w:tc>
        <w:tc>
          <w:tcPr>
            <w:tcW w:type="dxa" w:w="3118"/>
          </w:tcPr>
          <w:p>
            <w:r/>
            <w:r>
              <w:rPr>
                <w:sz w:val="17"/>
              </w:rPr>
              <w:t>Catalogue produits partenaires (20)</w:t>
            </w:r>
          </w:p>
        </w:tc>
        <w:tc>
          <w:tcPr>
            <w:tcW w:type="dxa" w:w="3685"/>
          </w:tcPr>
          <w:p>
            <w:r/>
            <w:r>
              <w:rPr>
                <w:sz w:val="17"/>
              </w:rPr>
              <w:t>Mapping produit vers institution</w:t>
            </w:r>
          </w:p>
        </w:tc>
      </w:tr>
      <w:tr>
        <w:tc>
          <w:tcPr>
            <w:tcW w:type="dxa" w:w="2835"/>
          </w:tcPr>
          <w:p>
            <w:r/>
            <w:r>
              <w:rPr>
                <w:rFonts w:ascii="Consolas" w:hAnsi="Consolas" w:eastAsia="Consolas"/>
                <w:sz w:val="17"/>
              </w:rPr>
              <w:t>/institutions</w:t>
            </w:r>
          </w:p>
        </w:tc>
        <w:tc>
          <w:tcPr>
            <w:tcW w:type="dxa" w:w="3118"/>
          </w:tcPr>
          <w:p>
            <w:r/>
            <w:r>
              <w:rPr>
                <w:sz w:val="17"/>
              </w:rPr>
              <w:t>Établissements partenaires (20)</w:t>
            </w:r>
          </w:p>
        </w:tc>
        <w:tc>
          <w:tcPr>
            <w:tcW w:type="dxa" w:w="3685"/>
          </w:tcPr>
          <w:p>
            <w:r/>
            <w:r>
              <w:rPr>
                <w:sz w:val="17"/>
              </w:rPr>
              <w:t>institutionId vers libellé</w:t>
            </w:r>
          </w:p>
        </w:tc>
      </w:tr>
    </w:tbl>
    <w:p>
      <w:pPr>
        <w:spacing w:after="80"/>
      </w:pPr>
    </w:p>
    <w:p>
      <w:pPr>
        <w:pStyle w:val="Heading2"/>
      </w:pPr>
      <w:r>
        <w:t>4.1 Le paramètre personId, jamais contactId</w:t>
      </w:r>
    </w:p>
    <w:p>
      <w:pPr>
        <w:spacing w:after="120"/>
      </w:pPr>
      <w:r>
        <w:rPr>
          <w:b w:val="0"/>
          <w:i w:val="0"/>
          <w:sz w:val="21"/>
        </w:rPr>
        <w:t>Sur /projects, le filtrage ne fonctionne qu'avec personId. Avec contactId, le serveur renvoie une donnée qui n'appartient pas au client interrogé — vérifié le 31/07 : sur un contact donné, personId renvoie son projet réel, contactId renvoie le projet d'un autre dossier. Cette nuance vaut pour toute la famille d'endpoints anglophones.</w:t>
      </w:r>
    </w:p>
    <w:p>
      <w:pPr>
        <w:spacing w:after="120"/>
      </w:pPr>
      <w:r>
        <w:rPr>
          <w:b/>
          <w:i w:val="0"/>
          <w:sz w:val="21"/>
        </w:rPr>
        <w:t>À l'inverse, /documents attend contactId ; avec ressourceId le serveur répond 422.</w:t>
      </w:r>
    </w:p>
    <w:p>
      <w:pPr>
        <w:pStyle w:val="Heading2"/>
      </w:pPr>
      <w:r>
        <w:t>4.2 Limite majeure : les projets fermés sont invisibles</w:t>
      </w:r>
    </w:p>
    <w:p>
      <w:pPr>
        <w:spacing w:after="120"/>
      </w:pPr>
      <w:r>
        <w:rPr>
          <w:b w:val="0"/>
          <w:i w:val="0"/>
          <w:sz w:val="21"/>
        </w:rPr>
        <w:t>Le serveur exclut lui-même les projets Fermés et Archivés. Paramètres testés sans aucun effet :</w:t>
      </w:r>
    </w:p>
    <w:p>
      <w:pPr>
        <w:spacing w:after="160"/>
        <w:ind w:left="283"/>
      </w:pPr>
      <w:r>
        <w:rPr>
          <w:rFonts w:ascii="Consolas" w:hAnsi="Consolas" w:eastAsia="Consolas"/>
          <w:sz w:val="17"/>
        </w:rPr>
        <w:t>status=ALL   includeClosed=true   statut=TOUS   archived=true   all=true   size=100</w:t>
      </w:r>
    </w:p>
    <w:p>
      <w:pPr>
        <w:spacing w:after="120"/>
      </w:pPr>
      <w:r>
        <w:rPr>
          <w:b w:val="0"/>
          <w:i w:val="0"/>
          <w:sz w:val="21"/>
        </w:rPr>
        <w:t>Conséquence concrète : un projet de versement complémentaire au statut « Fermée » reste visible dans l'interface O2S mais demeure introuvable par l'API.</w:t>
      </w:r>
    </w:p>
    <w:p>
      <w:pPr>
        <w:pStyle w:val="Heading2"/>
      </w:pPr>
      <w:r>
        <w:t>4.3 Le contournement par la GED</w:t>
      </w:r>
    </w:p>
    <w:p>
      <w:pPr>
        <w:spacing w:after="120"/>
      </w:pPr>
      <w:r>
        <w:rPr>
          <w:b w:val="0"/>
          <w:i w:val="0"/>
          <w:sz w:val="21"/>
        </w:rPr>
        <w:t>Les documents des projets fermés, eux, restent accessibles. C'est la voie de récupération :</w:t>
      </w:r>
    </w:p>
    <w:p>
      <w:pPr>
        <w:spacing w:after="160"/>
        <w:ind w:left="283"/>
      </w:pPr>
      <w:r>
        <w:rPr>
          <w:rFonts w:ascii="Consolas" w:hAnsi="Consolas" w:eastAsia="Consolas"/>
          <w:sz w:val="17"/>
        </w:rPr>
        <w:t>GET /documents?contactId={id}&amp;limit=100      →  liste complète (60 documents sur le cas testé)</w:t>
        <w:br/>
        <w:t>GET /documents/{docId}?contenu=true          →  contenu.donnees = PDF encodé en base64</w:t>
      </w:r>
    </w:p>
    <w:p>
      <w:pPr>
        <w:spacing w:after="120"/>
      </w:pPr>
      <w:r>
        <w:rPr>
          <w:b w:val="0"/>
          <w:i w:val="0"/>
          <w:sz w:val="21"/>
        </w:rPr>
        <w:t>Sur le dossier testé, le document « DA VC.pdf » (Déclaration d'Adéquation Versement Complémentaire) contient les montants de l'opération ainsi que le tableau d'allocation détaillé. C'est la même technique que celle déjà en production pour l'arbitrage. La donnée de versement est donc atteignable sans déblocage préalable côté Generali.</w:t>
      </w:r>
    </w:p>
    <w:p>
      <w:pPr>
        <w:spacing w:after="120"/>
      </w:pPr>
      <w:r>
        <w:rPr>
          <w:b w:val="0"/>
          <w:i/>
          <w:color w:val="B32D2D"/>
          <w:sz w:val="21"/>
        </w:rPr>
        <w:t>Réserve : il reste à confirmer qu'un document équivalent est bien produit systématiquement à chaque opération de versement.</w:t>
      </w:r>
    </w:p>
    <w:p>
      <w:r>
        <w:br w:type="page"/>
      </w:r>
    </w:p>
    <w:p>
      <w:pPr>
        <w:pStyle w:val="Heading1"/>
      </w:pPr>
      <w:r>
        <w:t>5. Endpoints refusés — le périmètre à débloquer</w:t>
      </w:r>
    </w:p>
    <w:p>
      <w:pPr>
        <w:pStyle w:val="Heading2"/>
      </w:pPr>
      <w:r>
        <w:t>5.1 Comment distinguer « interdit » de « inexistant »</w:t>
      </w:r>
    </w:p>
    <w:p>
      <w:pPr>
        <w:spacing w:after="120"/>
      </w:pPr>
      <w:r>
        <w:rPr>
          <w:b w:val="0"/>
          <w:i w:val="0"/>
          <w:sz w:val="21"/>
        </w:rPr>
        <w:t>L'API renvoie deux erreurs très différentes, ce qui permet de savoir avec certitude si une route existe côté serveur :</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val="clear" w:fill="1F3364"/>
          </w:tcPr>
          <w:p>
            <w:r/>
            <w:r>
              <w:rPr>
                <w:b/>
                <w:color w:val="FFFFFF"/>
                <w:sz w:val="18"/>
              </w:rPr>
              <w:t>Réponse</w:t>
            </w:r>
          </w:p>
        </w:tc>
        <w:tc>
          <w:tcPr>
            <w:tcW w:type="dxa" w:w="3572"/>
            <w:shd w:val="clear" w:fill="1F3364"/>
          </w:tcPr>
          <w:p>
            <w:r/>
            <w:r>
              <w:rPr>
                <w:b/>
                <w:color w:val="FFFFFF"/>
                <w:sz w:val="18"/>
              </w:rPr>
              <w:t>Signification</w:t>
            </w:r>
          </w:p>
        </w:tc>
        <w:tc>
          <w:tcPr>
            <w:tcW w:type="dxa" w:w="3685"/>
            <w:shd w:val="clear" w:fill="1F3364"/>
          </w:tcPr>
          <w:p>
            <w:r/>
            <w:r>
              <w:rPr>
                <w:b/>
                <w:color w:val="FFFFFF"/>
                <w:sz w:val="18"/>
              </w:rPr>
              <w:t>Exemples</w:t>
            </w:r>
          </w:p>
        </w:tc>
      </w:tr>
      <w:tr>
        <w:tc>
          <w:tcPr>
            <w:tcW w:type="dxa" w:w="2381"/>
          </w:tcPr>
          <w:p>
            <w:r/>
            <w:r>
              <w:rPr>
                <w:sz w:val="17"/>
              </w:rPr>
              <w:t>403 — Access Denied</w:t>
            </w:r>
          </w:p>
        </w:tc>
        <w:tc>
          <w:tcPr>
            <w:tcW w:type="dxa" w:w="3572"/>
          </w:tcPr>
          <w:p>
            <w:r/>
            <w:r>
              <w:rPr>
                <w:sz w:val="17"/>
              </w:rPr>
              <w:t>La route EXISTE, notre habilitation ne la couvre pas</w:t>
            </w:r>
          </w:p>
        </w:tc>
        <w:tc>
          <w:tcPr>
            <w:tcW w:type="dxa" w:w="3685"/>
          </w:tcPr>
          <w:p>
            <w:r/>
            <w:r>
              <w:rPr>
                <w:rFonts w:ascii="Consolas" w:hAnsi="Consolas" w:eastAsia="Consolas"/>
                <w:sz w:val="17"/>
              </w:rPr>
              <w:t>/transactions, /patrimoine, /budget, /operations</w:t>
            </w:r>
          </w:p>
        </w:tc>
      </w:tr>
      <w:tr>
        <w:tc>
          <w:tcPr>
            <w:tcW w:type="dxa" w:w="2381"/>
          </w:tcPr>
          <w:p>
            <w:r/>
            <w:r>
              <w:rPr>
                <w:sz w:val="17"/>
              </w:rPr>
              <w:t>500 — No static resource</w:t>
            </w:r>
          </w:p>
        </w:tc>
        <w:tc>
          <w:tcPr>
            <w:tcW w:type="dxa" w:w="3572"/>
          </w:tcPr>
          <w:p>
            <w:r/>
            <w:r>
              <w:rPr>
                <w:sz w:val="17"/>
              </w:rPr>
              <w:t>La route N'EXISTE PAS</w:t>
            </w:r>
          </w:p>
        </w:tc>
        <w:tc>
          <w:tcPr>
            <w:tcW w:type="dxa" w:w="3685"/>
          </w:tcPr>
          <w:p>
            <w:r/>
            <w:r>
              <w:rPr>
                <w:rFonts w:ascii="Consolas" w:hAnsi="Consolas" w:eastAsia="Consolas"/>
                <w:sz w:val="17"/>
              </w:rPr>
              <w:t>/comptes/{id}/transactions, /contacts/{id}/patrimoine</w:t>
            </w:r>
          </w:p>
        </w:tc>
      </w:tr>
    </w:tbl>
    <w:p>
      <w:pPr>
        <w:spacing w:after="80"/>
      </w:pPr>
    </w:p>
    <w:p>
      <w:pPr>
        <w:pStyle w:val="Heading2"/>
      </w:pPr>
      <w:r>
        <w:t>5.2 Les quatre routes concernées</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fill="1F3364"/>
          </w:tcPr>
          <w:p>
            <w:r/>
            <w:r>
              <w:rPr>
                <w:b/>
                <w:color w:val="FFFFFF"/>
                <w:sz w:val="18"/>
              </w:rPr>
              <w:t>Endpoint</w:t>
            </w:r>
          </w:p>
        </w:tc>
        <w:tc>
          <w:tcPr>
            <w:tcW w:type="dxa" w:w="3685"/>
            <w:shd w:val="clear" w:fill="1F3364"/>
          </w:tcPr>
          <w:p>
            <w:r/>
            <w:r>
              <w:rPr>
                <w:b/>
                <w:color w:val="FFFFFF"/>
                <w:sz w:val="18"/>
              </w:rPr>
              <w:t>Contenu attendu</w:t>
            </w:r>
          </w:p>
        </w:tc>
        <w:tc>
          <w:tcPr>
            <w:tcW w:type="dxa" w:w="3402"/>
            <w:shd w:val="clear" w:fill="1F3364"/>
          </w:tcPr>
          <w:p>
            <w:r/>
            <w:r>
              <w:rPr>
                <w:b/>
                <w:color w:val="FFFFFF"/>
                <w:sz w:val="18"/>
              </w:rPr>
              <w:t>Impact sur le chantier</w:t>
            </w:r>
          </w:p>
        </w:tc>
      </w:tr>
      <w:tr>
        <w:tc>
          <w:tcPr>
            <w:tcW w:type="dxa" w:w="2551"/>
          </w:tcPr>
          <w:p>
            <w:r/>
            <w:r>
              <w:rPr>
                <w:rFonts w:ascii="Consolas" w:hAnsi="Consolas" w:eastAsia="Consolas"/>
                <w:sz w:val="17"/>
              </w:rPr>
              <w:t>/transactions?compteId=</w:t>
            </w:r>
          </w:p>
        </w:tc>
        <w:tc>
          <w:tcPr>
            <w:tcW w:type="dxa" w:w="3685"/>
          </w:tcPr>
          <w:p>
            <w:r/>
            <w:r>
              <w:rPr>
                <w:sz w:val="17"/>
              </w:rPr>
              <w:t>Versement brut, frais variables, payeur de prime, origine des fonds, moyen de paiement</w:t>
            </w:r>
          </w:p>
        </w:tc>
        <w:tc>
          <w:tcPr>
            <w:tcW w:type="dxa" w:w="3402"/>
          </w:tcPr>
          <w:p>
            <w:r/>
            <w:r>
              <w:rPr>
                <w:sz w:val="17"/>
              </w:rPr>
              <w:t>Sections « Versement libre » et « Mode de règlement » du bulletin Generali</w:t>
            </w:r>
          </w:p>
        </w:tc>
      </w:tr>
      <w:tr>
        <w:tc>
          <w:tcPr>
            <w:tcW w:type="dxa" w:w="2551"/>
          </w:tcPr>
          <w:p>
            <w:r/>
            <w:r>
              <w:rPr>
                <w:rFonts w:ascii="Consolas" w:hAnsi="Consolas" w:eastAsia="Consolas"/>
                <w:sz w:val="17"/>
              </w:rPr>
              <w:t>/operations?compteId=</w:t>
            </w:r>
          </w:p>
        </w:tc>
        <w:tc>
          <w:tcPr>
            <w:tcW w:type="dxa" w:w="3685"/>
          </w:tcPr>
          <w:p>
            <w:r/>
            <w:r>
              <w:rPr>
                <w:sz w:val="17"/>
              </w:rPr>
              <w:t>Famille opérations</w:t>
            </w:r>
          </w:p>
        </w:tc>
        <w:tc>
          <w:tcPr>
            <w:tcW w:type="dxa" w:w="3402"/>
          </w:tcPr>
          <w:p>
            <w:r/>
            <w:r>
              <w:rPr>
                <w:sz w:val="17"/>
              </w:rPr>
              <w:t>Idem</w:t>
            </w:r>
          </w:p>
        </w:tc>
      </w:tr>
      <w:tr>
        <w:tc>
          <w:tcPr>
            <w:tcW w:type="dxa" w:w="2551"/>
          </w:tcPr>
          <w:p>
            <w:r/>
            <w:r>
              <w:rPr>
                <w:rFonts w:ascii="Consolas" w:hAnsi="Consolas" w:eastAsia="Consolas"/>
                <w:sz w:val="17"/>
              </w:rPr>
              <w:t>/patrimoine?personId=</w:t>
            </w:r>
          </w:p>
        </w:tc>
        <w:tc>
          <w:tcPr>
            <w:tcW w:type="dxa" w:w="3685"/>
          </w:tcPr>
          <w:p>
            <w:r/>
            <w:r>
              <w:rPr>
                <w:sz w:val="17"/>
              </w:rPr>
              <w:t>Onglet Patrimoine agrégé</w:t>
            </w:r>
          </w:p>
        </w:tc>
        <w:tc>
          <w:tcPr>
            <w:tcW w:type="dxa" w:w="3402"/>
          </w:tcPr>
          <w:p>
            <w:r/>
            <w:r>
              <w:rPr>
                <w:sz w:val="17"/>
              </w:rPr>
              <w:t>Contourné — voir §6.1</w:t>
            </w:r>
          </w:p>
        </w:tc>
      </w:tr>
      <w:tr>
        <w:tc>
          <w:tcPr>
            <w:tcW w:type="dxa" w:w="2551"/>
          </w:tcPr>
          <w:p>
            <w:r/>
            <w:r>
              <w:rPr>
                <w:rFonts w:ascii="Consolas" w:hAnsi="Consolas" w:eastAsia="Consolas"/>
                <w:sz w:val="17"/>
              </w:rPr>
              <w:t>/budget?personId=</w:t>
            </w:r>
          </w:p>
        </w:tc>
        <w:tc>
          <w:tcPr>
            <w:tcW w:type="dxa" w:w="3685"/>
          </w:tcPr>
          <w:p>
            <w:r/>
            <w:r>
              <w:rPr>
                <w:sz w:val="17"/>
              </w:rPr>
              <w:t>Onglet Budget agrégé</w:t>
            </w:r>
          </w:p>
        </w:tc>
        <w:tc>
          <w:tcPr>
            <w:tcW w:type="dxa" w:w="3402"/>
          </w:tcPr>
          <w:p>
            <w:r/>
            <w:r>
              <w:rPr>
                <w:sz w:val="17"/>
              </w:rPr>
              <w:t>Contourné — voir §6.2</w:t>
            </w:r>
          </w:p>
        </w:tc>
      </w:tr>
    </w:tbl>
    <w:p>
      <w:pPr>
        <w:spacing w:after="80"/>
      </w:pPr>
    </w:p>
    <w:p>
      <w:pPr>
        <w:spacing w:after="120"/>
      </w:pPr>
      <w:r>
        <w:rPr>
          <w:b/>
          <w:i w:val="0"/>
          <w:sz w:val="21"/>
        </w:rPr>
        <w:t>Formulation proposée pour la demande : ouvrir le périmètre d'habilitation de notre client_id OAuth sur la famille /transactions. Un seul déblocage couvre les quatre routes ; deux sont déjà contournées, seule la première reste réellement bloquante.</w:t>
      </w:r>
    </w:p>
    <w:p>
      <w:r>
        <w:br w:type="page"/>
      </w:r>
    </w:p>
    <w:p>
      <w:pPr>
        <w:pStyle w:val="Heading1"/>
      </w:pPr>
      <w:r>
        <w:t>6. Structure de la fiche client</w:t>
      </w:r>
    </w:p>
    <w:p>
      <w:pPr>
        <w:spacing w:after="120"/>
      </w:pPr>
      <w:r>
        <w:rPr>
          <w:b w:val="0"/>
          <w:i w:val="0"/>
          <w:sz w:val="21"/>
        </w:rPr>
        <w:t>GET /contacts/{id} — blocs de premier niveau :</w:t>
      </w:r>
    </w:p>
    <w:p>
      <w:pPr>
        <w:spacing w:after="160"/>
        <w:ind w:left="283"/>
      </w:pPr>
      <w:r>
        <w:rPr>
          <w:rFonts w:ascii="Consolas" w:hAnsi="Consolas" w:eastAsia="Consolas"/>
          <w:sz w:val="17"/>
        </w:rPr>
        <w:t>id · libelle · dateCreation · dateMaj · refExternes · informationsCommerciales</w:t>
        <w:br/>
        <w:t>confidentialite · personne · organisationId · adresses[] · fluxs[] · stocks[]</w:t>
        <w:br/>
        <w:t>indicateurs · dispositions[]</w:t>
      </w:r>
    </w:p>
    <w:p>
      <w:pPr>
        <w:pStyle w:val="Heading2"/>
      </w:pPr>
      <w:r>
        <w:t>6.1 stocks[] — le patrimoine (onglet « Patrimoine »)</w:t>
      </w:r>
    </w:p>
    <w:p>
      <w:pPr>
        <w:spacing w:after="120"/>
      </w:pPr>
      <w:r>
        <w:rPr>
          <w:b w:val="0"/>
          <w:i w:val="0"/>
          <w:sz w:val="21"/>
        </w:rPr>
        <w:t>Chaque élément décrit un actif :</w:t>
      </w:r>
    </w:p>
    <w:p>
      <w:pPr>
        <w:spacing w:after="160"/>
        <w:ind w:left="283"/>
      </w:pPr>
      <w:r>
        <w:rPr>
          <w:rFonts w:ascii="Consolas" w:hAnsi="Consolas" w:eastAsia="Consolas"/>
          <w:sz w:val="17"/>
        </w:rPr>
        <w:t>{</w:t>
        <w:br/>
        <w:t xml:space="preserve">  "libelle":    "CONTRAT EXEMPLE - 12345678",</w:t>
        <w:br/>
        <w:t xml:space="preserve">  "valeur":     { "montant": 135479.07 },</w:t>
        <w:br/>
        <w:t xml:space="preserve">  "modeles":    { "familles": [{ "code": "O2S_ContratsStandard" }] },</w:t>
        <w:br/>
        <w:t xml:space="preserve">  "detenteurs": { "code": "UNIQUE",</w:t>
        <w:br/>
        <w:t xml:space="preserve">                  "detenteurs": [{ "pleinePropriete": { "part": 100 },</w:t>
        <w:br/>
        <w:t xml:space="preserve">                                   "personneId": "..." }] }</w:t>
        <w:br/>
        <w:t>}</w:t>
      </w:r>
    </w:p>
    <w:p>
      <w:pPr>
        <w:spacing w:after="120"/>
      </w:pPr>
      <w:r>
        <w:rPr>
          <w:b/>
          <w:i w:val="0"/>
          <w:sz w:val="21"/>
        </w:rPr>
        <w:t>Trois règles vérifiées sur données réelles :</w:t>
      </w:r>
    </w:p>
    <w:p>
      <w:pPr>
        <w:pStyle w:val="ListBullet"/>
        <w:spacing w:after="60"/>
      </w:pPr>
      <w:r>
        <w:rPr>
          <w:sz w:val="21"/>
        </w:rPr>
        <w:t>Le patrimoine « du foyer » est la somme des actifs des DEUX conjoints. Contrôle chiffré sur un dossier réel : 488 218 € pour le souscripteur, 328 601 € pour le conjoint, soit 816 819 €, contre 817 274 € affichés par l'interface O2S. L'écart de 455 € correspond à la fluctuation d'un contrat entre deux relevés. Méthode confirmée.</w:t>
      </w:r>
    </w:p>
    <w:p>
      <w:pPr>
        <w:pStyle w:val="ListBullet"/>
        <w:spacing w:after="60"/>
      </w:pPr>
      <w:r>
        <w:rPr>
          <w:sz w:val="21"/>
        </w:rPr>
        <w:t>Il faut pondérer par la quote-part. Le champ detenteurs[].{pleinePropriete|usufruit|nuePropriete}.part peut valoir 50. Cas réel : un immeuble de 1 300 000 € détenu à 50 % doit compter pour 650 000 €. Sans pondération, le patrimoine est surévalué de 650 000 €. La règle reste cohérente en sommant les deux fiches : un bien détenu à parts égales par le couple totalise bien 100 %.</w:t>
      </w:r>
    </w:p>
    <w:p>
      <w:pPr>
        <w:pStyle w:val="ListBullet"/>
        <w:spacing w:after="60"/>
      </w:pPr>
      <w:r>
        <w:rPr>
          <w:sz w:val="21"/>
        </w:rPr>
        <w:t>La résidence principale apparaît sur les deux fiches comme deux actifs distincts, chacun en usufruit à 100 %. L'interface O2S les additionne également. Point à arbitrer avec Rhétorès si un dédoublonnage est souhaité.</w:t>
      </w:r>
    </w:p>
    <w:p>
      <w:pPr>
        <w:spacing w:after="60"/>
      </w:pPr>
      <w:r>
        <w:rPr>
          <w:b/>
          <w:i w:val="0"/>
          <w:sz w:val="21"/>
        </w:rPr>
        <w:t>Familles d'actifs rencontrées :</w:t>
      </w:r>
    </w:p>
    <w:p>
      <w:pPr>
        <w:spacing w:after="160"/>
        <w:ind w:left="283"/>
      </w:pPr>
      <w:r>
        <w:rPr>
          <w:rFonts w:ascii="Consolas" w:hAnsi="Consolas" w:eastAsia="Consolas"/>
          <w:sz w:val="17"/>
        </w:rPr>
        <w:t>O2S_ResidencePrincipale · O2S_PartsDeSCPI_ORDINAIRE · O2S_CompteTitre</w:t>
        <w:br/>
        <w:t>O2S_ContratsStandard · O2S_LivretA · O2S_LivretDeveloppementDurable</w:t>
        <w:br/>
        <w:t>O2S_PEL · O2S_ComptesCourants · O2S_PEE · O2S_AutresPlacementsDivers</w:t>
      </w:r>
    </w:p>
    <w:p>
      <w:pPr>
        <w:pStyle w:val="Heading2"/>
      </w:pPr>
      <w:r>
        <w:t>6.2 fluxs[] — les revenus et charges (onglet « Budget »)</w:t>
      </w:r>
    </w:p>
    <w:p>
      <w:pPr>
        <w:spacing w:after="160"/>
        <w:ind w:left="283"/>
      </w:pPr>
      <w:r>
        <w:rPr>
          <w:rFonts w:ascii="Consolas" w:hAnsi="Consolas" w:eastAsia="Consolas"/>
          <w:sz w:val="17"/>
        </w:rPr>
        <w:t>{</w:t>
        <w:br/>
        <w:t xml:space="preserve">  "id":                "aaaaaaaa-bbbb-11ee-...",</w:t>
        <w:br/>
        <w:t xml:space="preserve">  "libelle":           "Rentes viagères à titre onéreux",</w:t>
        <w:br/>
        <w:t xml:space="preserve">  "evaluationMontant": { "valeur": 1983 },</w:t>
        <w:br/>
        <w:t xml:space="preserve">  "echeance":          { "periodicite": { "code": "A" } },</w:t>
        <w:br/>
        <w:t xml:space="preserve">  "titulaires":        { "code": "COUPLE", "personneIds": ["...", "..."] },</w:t>
        <w:br/>
        <w:t xml:space="preserve">  "modeles":           { "familles": [{ "code": "REVENU_RentesTitreOnereux" }] }</w:t>
        <w:br/>
        <w:t>}</w:t>
      </w:r>
    </w:p>
    <w:p>
      <w:pPr>
        <w:spacing w:after="120"/>
      </w:pPr>
      <w:r>
        <w:rPr>
          <w:b/>
          <w:i w:val="0"/>
          <w:sz w:val="21"/>
        </w:rPr>
        <w:t>Trois règles vérifiées :</w:t>
      </w:r>
    </w:p>
    <w:p>
      <w:pPr>
        <w:pStyle w:val="ListBullet"/>
        <w:spacing w:after="60"/>
      </w:pPr>
      <w:r>
        <w:rPr>
          <w:sz w:val="21"/>
        </w:rPr>
        <w:t>Le code dit « BIG » (celui qui ne commence pas par O2S_) distingue la nature : REVENU_ ou CHARGE_. Sans ce filtre, l'impôt sur le revenu est compté comme un revenu.</w:t>
      </w:r>
    </w:p>
    <w:p>
      <w:pPr>
        <w:pStyle w:val="ListBullet"/>
        <w:spacing w:after="60"/>
      </w:pPr>
      <w:r>
        <w:rPr>
          <w:sz w:val="21"/>
        </w:rPr>
        <w:t>Les flux marqués COUPLE portent le MÊME identifiant sur les deux fiches conjoint. Les fusionner par identifiant les dédoublonne naturellement ; les flux UNIQUE ont des identifiants distincts.</w:t>
      </w:r>
    </w:p>
    <w:p>
      <w:pPr>
        <w:pStyle w:val="ListBullet"/>
        <w:spacing w:after="60"/>
      </w:pPr>
      <w:r>
        <w:rPr>
          <w:sz w:val="21"/>
        </w:rPr>
        <w:t>Certaines fiches portent des entrées héritées sans identifiant et sans code REVENU_, en doublon d'un flux structuré. Elles doivent être ignorées : mieux vaut un champ vide qu'un chiffre faux.</w:t>
      </w:r>
    </w:p>
    <w:p>
      <w:pPr>
        <w:pStyle w:val="Heading2"/>
      </w:pPr>
      <w:r>
        <w:t>6.3 Avertissement : le champ indicateurs.revenu</w:t>
      </w:r>
    </w:p>
    <w:p>
      <w:pPr>
        <w:spacing w:after="120"/>
      </w:pPr>
      <w:r>
        <w:rPr>
          <w:b/>
          <w:i w:val="0"/>
          <w:color w:val="B32D2D"/>
          <w:sz w:val="21"/>
        </w:rPr>
        <w:t>Ce champ, à la racine de la fiche, semble donner le revenu du client. Il ne doit pas être utilisé tel quel :</w:t>
      </w:r>
    </w:p>
    <w:p>
      <w:pPr>
        <w:pStyle w:val="ListBullet"/>
        <w:spacing w:after="60"/>
      </w:pPr>
      <w:r>
        <w:rPr>
          <w:sz w:val="21"/>
        </w:rPr>
        <w:t>Il est absent de certaines fiches, alors même que les flux portent un revenu réel.</w:t>
      </w:r>
    </w:p>
    <w:p>
      <w:pPr>
        <w:pStyle w:val="ListBullet"/>
        <w:spacing w:after="60"/>
      </w:pPr>
      <w:r>
        <w:rPr>
          <w:sz w:val="21"/>
        </w:rPr>
        <w:t>Il vaut parfois exactement un flux marqué COUPLE — l'additionner entre conjoints double-compte alors les revenus communs.</w:t>
      </w:r>
    </w:p>
    <w:p>
      <w:pPr>
        <w:pStyle w:val="ListBullet"/>
        <w:spacing w:after="60"/>
      </w:pPr>
      <w:r>
        <w:rPr>
          <w:sz w:val="21"/>
        </w:rPr>
        <w:t>Sur un autre dossier, il ne correspond à aucune combinaison simple des flux : il s'agit d'un agrégat opaque, vraisemblablement net.</w:t>
      </w:r>
    </w:p>
    <w:p>
      <w:pPr>
        <w:spacing w:after="120"/>
      </w:pPr>
      <w:r>
        <w:rPr>
          <w:b/>
          <w:i w:val="0"/>
          <w:sz w:val="21"/>
        </w:rPr>
        <w:t>Le revenu du foyer doit toujours être recalculé depuis fluxs[].</w:t>
      </w:r>
    </w:p>
    <w:p>
      <w:r>
        <w:br w:type="page"/>
      </w:r>
    </w:p>
    <w:p>
      <w:pPr>
        <w:pStyle w:val="Heading2"/>
      </w:pPr>
      <w:r>
        <w:t>6.4 personne — l'identité réglementaire</w:t>
      </w:r>
    </w:p>
    <w:tbl>
      <w:tblPr>
        <w:tblStyle w:val="TableGrid"/>
        <w:tblW w:type="auto" w:w="0"/>
        <w:jc w:val="center"/>
        <w:tblLook w:firstColumn="1" w:firstRow="1" w:lastColumn="0" w:lastRow="0" w:noHBand="0" w:noVBand="1" w:val="04A0"/>
      </w:tblPr>
      <w:tblGrid>
        <w:gridCol w:w="3324"/>
        <w:gridCol w:w="3324"/>
        <w:gridCol w:w="3324"/>
      </w:tblGrid>
      <w:tr>
        <w:tc>
          <w:tcPr>
            <w:tcW w:type="dxa" w:w="3572"/>
            <w:shd w:val="clear" w:fill="1F3364"/>
          </w:tcPr>
          <w:p>
            <w:r/>
            <w:r>
              <w:rPr>
                <w:b/>
                <w:color w:val="FFFFFF"/>
                <w:sz w:val="18"/>
              </w:rPr>
              <w:t>Chemin</w:t>
            </w:r>
          </w:p>
        </w:tc>
        <w:tc>
          <w:tcPr>
            <w:tcW w:type="dxa" w:w="2665"/>
            <w:shd w:val="clear" w:fill="1F3364"/>
          </w:tcPr>
          <w:p>
            <w:r/>
            <w:r>
              <w:rPr>
                <w:b/>
                <w:color w:val="FFFFFF"/>
                <w:sz w:val="18"/>
              </w:rPr>
              <w:t>Contenu</w:t>
            </w:r>
          </w:p>
        </w:tc>
        <w:tc>
          <w:tcPr>
            <w:tcW w:type="dxa" w:w="3402"/>
            <w:shd w:val="clear" w:fill="1F3364"/>
          </w:tcPr>
          <w:p>
            <w:r/>
            <w:r>
              <w:rPr>
                <w:b/>
                <w:color w:val="FFFFFF"/>
                <w:sz w:val="18"/>
              </w:rPr>
              <w:t>Usage bulletin Generali</w:t>
            </w:r>
          </w:p>
        </w:tc>
      </w:tr>
      <w:tr>
        <w:tc>
          <w:tcPr>
            <w:tcW w:type="dxa" w:w="3572"/>
          </w:tcPr>
          <w:p>
            <w:r/>
            <w:r>
              <w:rPr>
                <w:sz w:val="17"/>
              </w:rPr>
              <w:t>personnePhysique.civilite</w:t>
            </w:r>
          </w:p>
        </w:tc>
        <w:tc>
          <w:tcPr>
            <w:tcW w:type="dxa" w:w="2665"/>
          </w:tcPr>
          <w:p>
            <w:r/>
            <w:r>
              <w:rPr>
                <w:sz w:val="17"/>
              </w:rPr>
              <w:t>M / MME</w:t>
            </w:r>
          </w:p>
        </w:tc>
        <w:tc>
          <w:tcPr>
            <w:tcW w:type="dxa" w:w="3402"/>
          </w:tcPr>
          <w:p>
            <w:r/>
            <w:r>
              <w:rPr>
                <w:sz w:val="17"/>
              </w:rPr>
              <w:t>Case Monsieur / Madame</w:t>
            </w:r>
          </w:p>
        </w:tc>
      </w:tr>
      <w:tr>
        <w:tc>
          <w:tcPr>
            <w:tcW w:type="dxa" w:w="3572"/>
          </w:tcPr>
          <w:p>
            <w:r/>
            <w:r>
              <w:rPr>
                <w:sz w:val="17"/>
              </w:rPr>
              <w:t>personnePhysique.dateNaissance</w:t>
            </w:r>
          </w:p>
        </w:tc>
        <w:tc>
          <w:tcPr>
            <w:tcW w:type="dxa" w:w="2665"/>
          </w:tcPr>
          <w:p>
            <w:r/>
            <w:r>
              <w:rPr>
                <w:sz w:val="17"/>
              </w:rPr>
              <w:t>Format ISO AAAA-MM-JJ</w:t>
            </w:r>
          </w:p>
        </w:tc>
        <w:tc>
          <w:tcPr>
            <w:tcW w:type="dxa" w:w="3402"/>
          </w:tcPr>
          <w:p>
            <w:r/>
            <w:r>
              <w:rPr>
                <w:sz w:val="17"/>
              </w:rPr>
              <w:t>Date de naissance</w:t>
            </w:r>
          </w:p>
        </w:tc>
      </w:tr>
      <w:tr>
        <w:tc>
          <w:tcPr>
            <w:tcW w:type="dxa" w:w="3572"/>
          </w:tcPr>
          <w:p>
            <w:r/>
            <w:r>
              <w:rPr>
                <w:sz w:val="17"/>
              </w:rPr>
              <w:t>donneesNominatives.nom / nomNaissance / prenoms[]</w:t>
            </w:r>
          </w:p>
        </w:tc>
        <w:tc>
          <w:tcPr>
            <w:tcW w:type="dxa" w:w="2665"/>
          </w:tcPr>
          <w:p>
            <w:r/>
            <w:r>
              <w:rPr>
                <w:sz w:val="17"/>
              </w:rPr>
              <w:t>Identité</w:t>
            </w:r>
          </w:p>
        </w:tc>
        <w:tc>
          <w:tcPr>
            <w:tcW w:type="dxa" w:w="3402"/>
          </w:tcPr>
          <w:p>
            <w:r/>
            <w:r>
              <w:rPr>
                <w:sz w:val="17"/>
              </w:rPr>
              <w:t>Nom, nom de naissance, prénom</w:t>
            </w:r>
          </w:p>
        </w:tc>
      </w:tr>
      <w:tr>
        <w:tc>
          <w:tcPr>
            <w:tcW w:type="dxa" w:w="3572"/>
          </w:tcPr>
          <w:p>
            <w:r/>
            <w:r>
              <w:rPr>
                <w:sz w:val="17"/>
              </w:rPr>
              <w:t>nationalite.nationalites[0].code</w:t>
            </w:r>
          </w:p>
        </w:tc>
        <w:tc>
          <w:tcPr>
            <w:tcW w:type="dxa" w:w="2665"/>
          </w:tcPr>
          <w:p>
            <w:r/>
            <w:r>
              <w:rPr>
                <w:sz w:val="17"/>
              </w:rPr>
              <w:t>Code ISO (FR)</w:t>
            </w:r>
          </w:p>
        </w:tc>
        <w:tc>
          <w:tcPr>
            <w:tcW w:type="dxa" w:w="3402"/>
          </w:tcPr>
          <w:p>
            <w:r/>
            <w:r>
              <w:rPr>
                <w:sz w:val="17"/>
              </w:rPr>
              <w:t>Case Nationalité</w:t>
            </w:r>
          </w:p>
        </w:tc>
      </w:tr>
      <w:tr>
        <w:tc>
          <w:tcPr>
            <w:tcW w:type="dxa" w:w="3572"/>
          </w:tcPr>
          <w:p>
            <w:r/>
            <w:r>
              <w:rPr>
                <w:sz w:val="17"/>
              </w:rPr>
              <w:t>residencesFiscales.domiciliations[0].codePays</w:t>
            </w:r>
          </w:p>
        </w:tc>
        <w:tc>
          <w:tcPr>
            <w:tcW w:type="dxa" w:w="2665"/>
          </w:tcPr>
          <w:p>
            <w:r/>
            <w:r>
              <w:rPr>
                <w:sz w:val="17"/>
              </w:rPr>
              <w:t>Code ISO (FR)</w:t>
            </w:r>
          </w:p>
        </w:tc>
        <w:tc>
          <w:tcPr>
            <w:tcW w:type="dxa" w:w="3402"/>
          </w:tcPr>
          <w:p>
            <w:r/>
            <w:r>
              <w:rPr>
                <w:sz w:val="17"/>
              </w:rPr>
              <w:t>Case Résidence fiscale</w:t>
            </w:r>
          </w:p>
        </w:tc>
      </w:tr>
      <w:tr>
        <w:tc>
          <w:tcPr>
            <w:tcW w:type="dxa" w:w="3572"/>
          </w:tcPr>
          <w:p>
            <w:r/>
            <w:r>
              <w:rPr>
                <w:sz w:val="17"/>
              </w:rPr>
              <w:t>situationFamiliale.situationMaritale</w:t>
            </w:r>
          </w:p>
        </w:tc>
        <w:tc>
          <w:tcPr>
            <w:tcW w:type="dxa" w:w="2665"/>
          </w:tcPr>
          <w:p>
            <w:r/>
            <w:r>
              <w:rPr>
                <w:sz w:val="17"/>
              </w:rPr>
              <w:t>M, C, …</w:t>
            </w:r>
          </w:p>
        </w:tc>
        <w:tc>
          <w:tcPr>
            <w:tcW w:type="dxa" w:w="3402"/>
          </w:tcPr>
          <w:p>
            <w:r/>
            <w:r>
              <w:rPr>
                <w:sz w:val="17"/>
              </w:rPr>
              <w:t>Situation familiale</w:t>
            </w:r>
          </w:p>
        </w:tc>
      </w:tr>
      <w:tr>
        <w:tc>
          <w:tcPr>
            <w:tcW w:type="dxa" w:w="3572"/>
          </w:tcPr>
          <w:p>
            <w:r/>
            <w:r>
              <w:rPr>
                <w:sz w:val="17"/>
              </w:rPr>
              <w:t>situationFamiliale.regimeMatrimonial</w:t>
            </w:r>
          </w:p>
        </w:tc>
        <w:tc>
          <w:tcPr>
            <w:tcW w:type="dxa" w:w="2665"/>
          </w:tcPr>
          <w:p>
            <w:r/>
            <w:r>
              <w:rPr>
                <w:sz w:val="17"/>
              </w:rPr>
              <w:t>SEPARATION, …</w:t>
            </w:r>
          </w:p>
        </w:tc>
        <w:tc>
          <w:tcPr>
            <w:tcW w:type="dxa" w:w="3402"/>
          </w:tcPr>
          <w:p>
            <w:r/>
            <w:r>
              <w:rPr>
                <w:sz w:val="17"/>
              </w:rPr>
              <w:t>Régime matrimonial</w:t>
            </w:r>
          </w:p>
        </w:tc>
      </w:tr>
      <w:tr>
        <w:tc>
          <w:tcPr>
            <w:tcW w:type="dxa" w:w="3572"/>
          </w:tcPr>
          <w:p>
            <w:r/>
            <w:r>
              <w:rPr>
                <w:sz w:val="17"/>
              </w:rPr>
              <w:t>pieceIdentite.typePieceIdentite</w:t>
            </w:r>
          </w:p>
        </w:tc>
        <w:tc>
          <w:tcPr>
            <w:tcW w:type="dxa" w:w="2665"/>
          </w:tcPr>
          <w:p>
            <w:r/>
            <w:r>
              <w:rPr>
                <w:sz w:val="17"/>
              </w:rPr>
              <w:t>CNI, PASSEPORT</w:t>
            </w:r>
          </w:p>
        </w:tc>
        <w:tc>
          <w:tcPr>
            <w:tcW w:type="dxa" w:w="3402"/>
          </w:tcPr>
          <w:p>
            <w:r/>
            <w:r>
              <w:rPr>
                <w:sz w:val="17"/>
              </w:rPr>
              <w:t>Case Document présenté</w:t>
            </w:r>
          </w:p>
        </w:tc>
      </w:tr>
      <w:tr>
        <w:tc>
          <w:tcPr>
            <w:tcW w:type="dxa" w:w="3572"/>
          </w:tcPr>
          <w:p>
            <w:r/>
            <w:r>
              <w:rPr>
                <w:sz w:val="17"/>
              </w:rPr>
              <w:t>expositionPolitique.expose</w:t>
            </w:r>
          </w:p>
        </w:tc>
        <w:tc>
          <w:tcPr>
            <w:tcW w:type="dxa" w:w="2665"/>
          </w:tcPr>
          <w:p>
            <w:r/>
            <w:r>
              <w:rPr>
                <w:sz w:val="17"/>
              </w:rPr>
              <w:t>OUI / NON</w:t>
            </w:r>
          </w:p>
        </w:tc>
        <w:tc>
          <w:tcPr>
            <w:tcW w:type="dxa" w:w="3402"/>
          </w:tcPr>
          <w:p>
            <w:r/>
            <w:r>
              <w:rPr>
                <w:sz w:val="17"/>
              </w:rPr>
              <w:t>PPE — première question</w:t>
            </w:r>
          </w:p>
        </w:tc>
      </w:tr>
      <w:tr>
        <w:tc>
          <w:tcPr>
            <w:tcW w:type="dxa" w:w="3572"/>
          </w:tcPr>
          <w:p>
            <w:r/>
            <w:r>
              <w:rPr>
                <w:sz w:val="17"/>
              </w:rPr>
              <w:t>expositionPolitique.liensPpe[0].expose</w:t>
            </w:r>
          </w:p>
        </w:tc>
        <w:tc>
          <w:tcPr>
            <w:tcW w:type="dxa" w:w="2665"/>
          </w:tcPr>
          <w:p>
            <w:r/>
            <w:r>
              <w:rPr>
                <w:sz w:val="17"/>
              </w:rPr>
              <w:t>OUI / NON</w:t>
            </w:r>
          </w:p>
        </w:tc>
        <w:tc>
          <w:tcPr>
            <w:tcW w:type="dxa" w:w="3402"/>
          </w:tcPr>
          <w:p>
            <w:r/>
            <w:r>
              <w:rPr>
                <w:sz w:val="17"/>
              </w:rPr>
              <w:t>PPE — seconde question</w:t>
            </w:r>
          </w:p>
        </w:tc>
      </w:tr>
      <w:tr>
        <w:tc>
          <w:tcPr>
            <w:tcW w:type="dxa" w:w="3572"/>
          </w:tcPr>
          <w:p>
            <w:r/>
            <w:r>
              <w:rPr>
                <w:sz w:val="17"/>
              </w:rPr>
              <w:t>profession.professions[0].profession</w:t>
            </w:r>
          </w:p>
        </w:tc>
        <w:tc>
          <w:tcPr>
            <w:tcW w:type="dxa" w:w="2665"/>
          </w:tcPr>
          <w:p>
            <w:r/>
            <w:r>
              <w:rPr>
                <w:sz w:val="17"/>
              </w:rPr>
              <w:t>libelleProfession + applCsp</w:t>
            </w:r>
          </w:p>
        </w:tc>
        <w:tc>
          <w:tcPr>
            <w:tcW w:type="dxa" w:w="3402"/>
          </w:tcPr>
          <w:p>
            <w:r/>
            <w:r>
              <w:rPr>
                <w:sz w:val="17"/>
              </w:rPr>
              <w:t>Profession et case Activité</w:t>
            </w:r>
          </w:p>
        </w:tc>
      </w:tr>
      <w:tr>
        <w:tc>
          <w:tcPr>
            <w:tcW w:type="dxa" w:w="3572"/>
          </w:tcPr>
          <w:p>
            <w:r/>
            <w:r>
              <w:rPr>
                <w:sz w:val="17"/>
              </w:rPr>
              <w:t>capaciteJuridique.type</w:t>
            </w:r>
          </w:p>
        </w:tc>
        <w:tc>
          <w:tcPr>
            <w:tcW w:type="dxa" w:w="2665"/>
          </w:tcPr>
          <w:p>
            <w:r/>
            <w:r>
              <w:rPr>
                <w:sz w:val="17"/>
              </w:rPr>
              <w:t>MAJEUR_CAPABLE</w:t>
            </w:r>
          </w:p>
        </w:tc>
        <w:tc>
          <w:tcPr>
            <w:tcW w:type="dxa" w:w="3402"/>
          </w:tcPr>
          <w:p>
            <w:r/>
            <w:r>
              <w:rPr>
                <w:sz w:val="17"/>
              </w:rPr>
              <w:t>Capacité juridique</w:t>
            </w:r>
          </w:p>
        </w:tc>
      </w:tr>
      <w:tr>
        <w:tc>
          <w:tcPr>
            <w:tcW w:type="dxa" w:w="3572"/>
          </w:tcPr>
          <w:p>
            <w:r/>
            <w:r>
              <w:rPr>
                <w:sz w:val="17"/>
              </w:rPr>
              <w:t>situationFiscale</w:t>
            </w:r>
          </w:p>
        </w:tc>
        <w:tc>
          <w:tcPr>
            <w:tcW w:type="dxa" w:w="2665"/>
          </w:tcPr>
          <w:p>
            <w:r/>
            <w:r>
              <w:rPr>
                <w:sz w:val="17"/>
              </w:rPr>
              <w:t>Parts fiscales, TMI, IFI</w:t>
            </w:r>
          </w:p>
        </w:tc>
        <w:tc>
          <w:tcPr>
            <w:tcW w:type="dxa" w:w="3402"/>
          </w:tcPr>
          <w:p>
            <w:r/>
            <w:r>
              <w:rPr>
                <w:sz w:val="17"/>
              </w:rPr>
              <w:t>Non exploité — opportunité</w:t>
            </w:r>
          </w:p>
        </w:tc>
      </w:tr>
      <w:tr>
        <w:tc>
          <w:tcPr>
            <w:tcW w:type="dxa" w:w="3572"/>
          </w:tcPr>
          <w:p>
            <w:r/>
            <w:r>
              <w:rPr>
                <w:sz w:val="17"/>
              </w:rPr>
              <w:t>profil.scores[]</w:t>
            </w:r>
          </w:p>
        </w:tc>
        <w:tc>
          <w:tcPr>
            <w:tcW w:type="dxa" w:w="2665"/>
          </w:tcPr>
          <w:p>
            <w:r/>
            <w:r>
              <w:rPr>
                <w:sz w:val="17"/>
              </w:rPr>
              <w:t>Scores MiFID</w:t>
            </w:r>
          </w:p>
        </w:tc>
        <w:tc>
          <w:tcPr>
            <w:tcW w:type="dxa" w:w="3402"/>
          </w:tcPr>
          <w:p>
            <w:r/>
            <w:r>
              <w:rPr>
                <w:sz w:val="17"/>
              </w:rPr>
              <w:t>Non exploité — opportunité</w:t>
            </w:r>
          </w:p>
        </w:tc>
      </w:tr>
      <w:tr>
        <w:tc>
          <w:tcPr>
            <w:tcW w:type="dxa" w:w="3572"/>
          </w:tcPr>
          <w:p>
            <w:r/>
            <w:r>
              <w:rPr>
                <w:sz w:val="17"/>
              </w:rPr>
              <w:t>lieuNaissance</w:t>
            </w:r>
          </w:p>
        </w:tc>
        <w:tc>
          <w:tcPr>
            <w:tcW w:type="dxa" w:w="2665"/>
          </w:tcPr>
          <w:p>
            <w:r/>
            <w:r>
              <w:rPr>
                <w:sz w:val="17"/>
              </w:rPr>
              <w:t>Commune, département, pays</w:t>
            </w:r>
          </w:p>
        </w:tc>
        <w:tc>
          <w:tcPr>
            <w:tcW w:type="dxa" w:w="3402"/>
          </w:tcPr>
          <w:p>
            <w:r/>
            <w:r>
              <w:rPr>
                <w:sz w:val="17"/>
              </w:rPr>
              <w:t>Lieu de naissance</w:t>
            </w:r>
          </w:p>
        </w:tc>
      </w:tr>
    </w:tbl>
    <w:p>
      <w:pPr>
        <w:spacing w:after="80"/>
      </w:pPr>
    </w:p>
    <w:p>
      <w:pPr>
        <w:spacing w:after="120"/>
      </w:pPr>
      <w:r>
        <w:rPr>
          <w:b/>
          <w:i w:val="0"/>
          <w:color w:val="B32D2D"/>
          <w:sz w:val="21"/>
        </w:rPr>
        <w:t>Attention : nationalité et résidence fiscale renvoient des codes ISO (FR), pas des libellés. Tout test comparant à « France » échoue silencieusement.</w:t>
      </w:r>
    </w:p>
    <w:p>
      <w:pPr>
        <w:spacing w:after="120"/>
      </w:pPr>
      <w:r>
        <w:rPr>
          <w:b w:val="0"/>
          <w:i w:val="0"/>
          <w:color w:val="B32D2D"/>
          <w:sz w:val="21"/>
        </w:rPr>
        <w:t>Attention : lieuNaissance.departement.code contient tantôt le code postal complet à 5 chiffres, tantôt le code département à 2 chiffres. Un repli local est nécessaire.</w:t>
      </w:r>
    </w:p>
    <w:p>
      <w:pPr>
        <w:pStyle w:val="Heading2"/>
      </w:pPr>
      <w:r>
        <w:t>6.5 Identifier le conjoint</w:t>
      </w:r>
    </w:p>
    <w:p>
      <w:pPr>
        <w:spacing w:after="120"/>
      </w:pPr>
      <w:r>
        <w:rPr>
          <w:b w:val="0"/>
          <w:i w:val="0"/>
          <w:sz w:val="21"/>
        </w:rPr>
        <w:t>L'API n'expose aucun champ conjoint direct : l'onglet « Conjoint » de l'interface n'a pas d'équivalent REST identifié. La méthode retenue consiste à parcourir fluxs[].titulaires puis stocks[].detenteurs, et à retenir, sur les entrées marquées COUPLE, l'identifiant de personne différent du contact courant.</w:t>
      </w:r>
    </w:p>
    <w:p>
      <w:pPr>
        <w:spacing w:after="120"/>
      </w:pPr>
      <w:r>
        <w:rPr>
          <w:b w:val="0"/>
          <w:i/>
          <w:sz w:val="21"/>
        </w:rPr>
        <w:t>Limite connue : certaines fiches portent un identifiant conjoint à null alors que le client est marié. Le conjoint est alors introuvable et les montants « du foyer » ne couvrent que le souscripteur. Ce cas doit être signalé explicitement plutôt que présenté comme un total foyer.</w:t>
      </w:r>
    </w:p>
    <w:p>
      <w:r>
        <w:br w:type="page"/>
      </w:r>
    </w:p>
    <w:p>
      <w:pPr>
        <w:pStyle w:val="Heading1"/>
      </w:pPr>
      <w:r>
        <w:t>7. Champs de statut par ressource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shd w:val="clear" w:fill="1F3364"/>
          </w:tcPr>
          <w:p>
            <w:r/>
            <w:r>
              <w:rPr>
                <w:b/>
                <w:color w:val="FFFFFF"/>
                <w:sz w:val="18"/>
              </w:rPr>
              <w:t>Ressource</w:t>
            </w:r>
          </w:p>
        </w:tc>
        <w:tc>
          <w:tcPr>
            <w:tcW w:type="dxa" w:w="1984"/>
            <w:shd w:val="clear" w:fill="1F3364"/>
          </w:tcPr>
          <w:p>
            <w:r/>
            <w:r>
              <w:rPr>
                <w:b/>
                <w:color w:val="FFFFFF"/>
                <w:sz w:val="18"/>
              </w:rPr>
              <w:t>Champ</w:t>
            </w:r>
          </w:p>
        </w:tc>
        <w:tc>
          <w:tcPr>
            <w:tcW w:type="dxa" w:w="3118"/>
            <w:shd w:val="clear" w:fill="1F3364"/>
          </w:tcPr>
          <w:p>
            <w:r/>
            <w:r>
              <w:rPr>
                <w:b/>
                <w:color w:val="FFFFFF"/>
                <w:sz w:val="18"/>
              </w:rPr>
              <w:t>Valeurs</w:t>
            </w:r>
          </w:p>
        </w:tc>
        <w:tc>
          <w:tcPr>
            <w:tcW w:type="dxa" w:w="2381"/>
            <w:shd w:val="clear" w:fill="1F3364"/>
          </w:tcPr>
          <w:p>
            <w:r/>
            <w:r>
              <w:rPr>
                <w:b/>
                <w:color w:val="FFFFFF"/>
                <w:sz w:val="18"/>
              </w:rPr>
              <w:t>Source</w:t>
            </w:r>
          </w:p>
        </w:tc>
      </w:tr>
      <w:tr>
        <w:tc>
          <w:tcPr>
            <w:tcW w:type="dxa" w:w="2154"/>
          </w:tcPr>
          <w:p>
            <w:r/>
            <w:r>
              <w:rPr>
                <w:sz w:val="17"/>
              </w:rPr>
              <w:t>Compte / Contrat</w:t>
            </w:r>
          </w:p>
        </w:tc>
        <w:tc>
          <w:tcPr>
            <w:tcW w:type="dxa" w:w="1984"/>
          </w:tcPr>
          <w:p>
            <w:r/>
            <w:r>
              <w:rPr>
                <w:sz w:val="17"/>
              </w:rPr>
              <w:t>placement.statut</w:t>
            </w:r>
          </w:p>
        </w:tc>
        <w:tc>
          <w:tcPr>
            <w:tcW w:type="dxa" w:w="3118"/>
          </w:tcPr>
          <w:p>
            <w:r/>
            <w:r>
              <w:rPr>
                <w:sz w:val="17"/>
              </w:rPr>
              <w:t>ACTIF, CLOS</w:t>
            </w:r>
          </w:p>
        </w:tc>
        <w:tc>
          <w:tcPr>
            <w:tcW w:type="dxa" w:w="2381"/>
          </w:tcPr>
          <w:p>
            <w:r/>
            <w:r>
              <w:rPr>
                <w:rFonts w:ascii="Consolas" w:hAnsi="Consolas" w:eastAsia="Consolas"/>
                <w:sz w:val="17"/>
              </w:rPr>
              <w:t>/comptes/{id} — documenté</w:t>
            </w:r>
          </w:p>
        </w:tc>
      </w:tr>
      <w:tr>
        <w:tc>
          <w:tcPr>
            <w:tcW w:type="dxa" w:w="2154"/>
          </w:tcPr>
          <w:p>
            <w:r/>
            <w:r>
              <w:rPr>
                <w:sz w:val="17"/>
              </w:rPr>
              <w:t>Projet / Opération</w:t>
            </w:r>
          </w:p>
        </w:tc>
        <w:tc>
          <w:tcPr>
            <w:tcW w:type="dxa" w:w="1984"/>
          </w:tcPr>
          <w:p>
            <w:r/>
            <w:r>
              <w:rPr>
                <w:sz w:val="17"/>
              </w:rPr>
              <w:t>status</w:t>
            </w:r>
          </w:p>
        </w:tc>
        <w:tc>
          <w:tcPr>
            <w:tcW w:type="dxa" w:w="3118"/>
          </w:tcPr>
          <w:p>
            <w:r/>
            <w:r>
              <w:rPr>
                <w:sz w:val="17"/>
              </w:rPr>
              <w:t>PROJET_SUIVI, PROJET_EN_TRAITEMENT (fermés exclus)</w:t>
            </w:r>
          </w:p>
        </w:tc>
        <w:tc>
          <w:tcPr>
            <w:tcW w:type="dxa" w:w="2381"/>
          </w:tcPr>
          <w:p>
            <w:r/>
            <w:r>
              <w:rPr>
                <w:rFonts w:ascii="Consolas" w:hAnsi="Consolas" w:eastAsia="Consolas"/>
                <w:sz w:val="17"/>
              </w:rPr>
              <w:t>/projects/{id} — non documenté</w:t>
            </w:r>
          </w:p>
        </w:tc>
      </w:tr>
      <w:tr>
        <w:tc>
          <w:tcPr>
            <w:tcW w:type="dxa" w:w="2154"/>
          </w:tcPr>
          <w:p>
            <w:r/>
            <w:r>
              <w:rPr>
                <w:sz w:val="17"/>
              </w:rPr>
              <w:t>Utilisateur</w:t>
            </w:r>
          </w:p>
        </w:tc>
        <w:tc>
          <w:tcPr>
            <w:tcW w:type="dxa" w:w="1984"/>
          </w:tcPr>
          <w:p>
            <w:r/>
            <w:r>
              <w:rPr>
                <w:sz w:val="17"/>
              </w:rPr>
              <w:t>statut</w:t>
            </w:r>
          </w:p>
        </w:tc>
        <w:tc>
          <w:tcPr>
            <w:tcW w:type="dxa" w:w="3118"/>
          </w:tcPr>
          <w:p>
            <w:r/>
            <w:r>
              <w:rPr>
                <w:sz w:val="17"/>
              </w:rPr>
              <w:t>ACTIVE, DESACTIVE</w:t>
            </w:r>
          </w:p>
        </w:tc>
        <w:tc>
          <w:tcPr>
            <w:tcW w:type="dxa" w:w="2381"/>
          </w:tcPr>
          <w:p>
            <w:r/>
            <w:r>
              <w:rPr>
                <w:rFonts w:ascii="Consolas" w:hAnsi="Consolas" w:eastAsia="Consolas"/>
                <w:sz w:val="17"/>
              </w:rPr>
              <w:t>/utilisateurs/{id}/statut — documenté</w:t>
            </w:r>
          </w:p>
        </w:tc>
      </w:tr>
      <w:tr>
        <w:tc>
          <w:tcPr>
            <w:tcW w:type="dxa" w:w="2154"/>
          </w:tcPr>
          <w:p>
            <w:r/>
            <w:r>
              <w:rPr>
                <w:sz w:val="17"/>
              </w:rPr>
              <w:t>Document</w:t>
            </w:r>
          </w:p>
        </w:tc>
        <w:tc>
          <w:tcPr>
            <w:tcW w:type="dxa" w:w="1984"/>
          </w:tcPr>
          <w:p>
            <w:r/>
            <w:r>
              <w:rPr>
                <w:sz w:val="17"/>
              </w:rPr>
              <w:t>aucun</w:t>
            </w:r>
          </w:p>
        </w:tc>
        <w:tc>
          <w:tcPr>
            <w:tcW w:type="dxa" w:w="3118"/>
          </w:tcPr>
          <w:p>
            <w:r/>
            <w:r>
              <w:rPr>
                <w:sz w:val="17"/>
              </w:rPr>
              <w:t>—</w:t>
            </w:r>
          </w:p>
        </w:tc>
        <w:tc>
          <w:tcPr>
            <w:tcW w:type="dxa" w:w="2381"/>
          </w:tcPr>
          <w:p>
            <w:r/>
            <w:r>
              <w:rPr>
                <w:sz w:val="17"/>
              </w:rPr>
              <w:t>le statut vit sur le projet</w:t>
            </w:r>
          </w:p>
        </w:tc>
      </w:tr>
    </w:tbl>
    <w:p>
      <w:pPr>
        <w:spacing w:after="80"/>
      </w:pPr>
    </w:p>
    <w:p>
      <w:pPr>
        <w:pStyle w:val="Heading1"/>
      </w:pPr>
      <w:r>
        <w:t>8. Ce que l'API ne fournit pas</w:t>
      </w:r>
    </w:p>
    <w:p>
      <w:pPr>
        <w:pStyle w:val="ListBullet"/>
        <w:spacing w:after="60"/>
      </w:pPr>
      <w:r>
        <w:rPr>
          <w:sz w:val="21"/>
        </w:rPr>
        <w:t>Positions et codes ISIN par support dans un contrat : /comptes/{id} n'expose que la valorisation totale. Les ISIN proviennent du PDF de déclaration d'adéquation, analysé automatiquement.</w:t>
      </w:r>
    </w:p>
    <w:p>
      <w:pPr>
        <w:pStyle w:val="ListBullet"/>
        <w:spacing w:after="60"/>
      </w:pPr>
      <w:r>
        <w:rPr>
          <w:sz w:val="21"/>
        </w:rPr>
        <w:t>Détail transactionnel d'un versement : /transactions existe mais renvoie 403. Contournement partiel par la GED.</w:t>
      </w:r>
    </w:p>
    <w:p>
      <w:pPr>
        <w:pStyle w:val="ListBullet"/>
        <w:spacing w:after="60"/>
      </w:pPr>
      <w:r>
        <w:rPr>
          <w:sz w:val="21"/>
        </w:rPr>
        <w:t>Projets fermés et archivés : filtrés côté serveur. Contournement par la GED.</w:t>
      </w:r>
    </w:p>
    <w:p>
      <w:pPr>
        <w:pStyle w:val="ListBullet"/>
        <w:spacing w:after="60"/>
      </w:pPr>
      <w:r>
        <w:rPr>
          <w:sz w:val="21"/>
        </w:rPr>
        <w:t>Statut de signature électronique en direct : non exposé en REST. La surveillance passe par les catégories de documents.</w:t>
      </w:r>
    </w:p>
    <w:p>
      <w:pPr>
        <w:pStyle w:val="ListBullet"/>
        <w:spacing w:after="60"/>
      </w:pPr>
      <w:r>
        <w:rPr>
          <w:sz w:val="21"/>
        </w:rPr>
        <w:t>Nom de la banque du prélèvement : absent d'O2S, à saisir depuis le RIB.</w:t>
      </w:r>
    </w:p>
    <w:p>
      <w:pPr>
        <w:pStyle w:val="ListBullet"/>
        <w:spacing w:after="60"/>
      </w:pPr>
      <w:r>
        <w:rPr>
          <w:sz w:val="21"/>
        </w:rPr>
        <w:t>Sections issues de la checklist interne Rhétorès (objectif de l'opération, nature des fonds) : ne proviennent pas d'O2S.</w:t>
      </w:r>
    </w:p>
    <w:p>
      <w:pPr>
        <w:pStyle w:val="Heading1"/>
      </w:pPr>
      <w:r>
        <w:t>9. Données disponibles non encore exploitées</w:t>
      </w:r>
    </w:p>
    <w:tbl>
      <w:tblPr>
        <w:tblStyle w:val="TableGrid"/>
        <w:tblW w:type="auto" w:w="0"/>
        <w:jc w:val="center"/>
        <w:tblLook w:firstColumn="1" w:firstRow="1" w:lastColumn="0" w:lastRow="0" w:noHBand="0" w:noVBand="1" w:val="04A0"/>
      </w:tblPr>
      <w:tblGrid>
        <w:gridCol w:w="3324"/>
        <w:gridCol w:w="3324"/>
        <w:gridCol w:w="3324"/>
      </w:tblGrid>
      <w:tr>
        <w:tc>
          <w:tcPr>
            <w:tcW w:type="dxa" w:w="2438"/>
            <w:shd w:val="clear" w:fill="1F3364"/>
          </w:tcPr>
          <w:p>
            <w:r/>
            <w:r>
              <w:rPr>
                <w:b/>
                <w:color w:val="FFFFFF"/>
                <w:sz w:val="18"/>
              </w:rPr>
              <w:t>Donnée</w:t>
            </w:r>
          </w:p>
        </w:tc>
        <w:tc>
          <w:tcPr>
            <w:tcW w:type="dxa" w:w="2948"/>
            <w:shd w:val="clear" w:fill="1F3364"/>
          </w:tcPr>
          <w:p>
            <w:r/>
            <w:r>
              <w:rPr>
                <w:b/>
                <w:color w:val="FFFFFF"/>
                <w:sz w:val="18"/>
              </w:rPr>
              <w:t>Source</w:t>
            </w:r>
          </w:p>
        </w:tc>
        <w:tc>
          <w:tcPr>
            <w:tcW w:type="dxa" w:w="4252"/>
            <w:shd w:val="clear" w:fill="1F3364"/>
          </w:tcPr>
          <w:p>
            <w:r/>
            <w:r>
              <w:rPr>
                <w:b/>
                <w:color w:val="FFFFFF"/>
                <w:sz w:val="18"/>
              </w:rPr>
              <w:t>Usage envisageable</w:t>
            </w:r>
          </w:p>
        </w:tc>
      </w:tr>
      <w:tr>
        <w:tc>
          <w:tcPr>
            <w:tcW w:type="dxa" w:w="2438"/>
          </w:tcPr>
          <w:p>
            <w:r/>
            <w:r>
              <w:rPr>
                <w:sz w:val="17"/>
              </w:rPr>
              <w:t>Conseiller attitré</w:t>
            </w:r>
          </w:p>
        </w:tc>
        <w:tc>
          <w:tcPr>
            <w:tcW w:type="dxa" w:w="2948"/>
          </w:tcPr>
          <w:p>
            <w:r/>
            <w:r>
              <w:rPr>
                <w:rFonts w:ascii="Consolas" w:hAnsi="Consolas" w:eastAsia="Consolas"/>
                <w:sz w:val="17"/>
              </w:rPr>
              <w:t>/relations + /utilisateurs</w:t>
            </w:r>
          </w:p>
        </w:tc>
        <w:tc>
          <w:tcPr>
            <w:tcW w:type="dxa" w:w="4252"/>
          </w:tcPr>
          <w:p>
            <w:r/>
            <w:r>
              <w:rPr>
                <w:sz w:val="17"/>
              </w:rPr>
              <w:t>Auto-remplir le nom du conseiller sur les bulletins</w:t>
            </w:r>
          </w:p>
        </w:tc>
      </w:tr>
      <w:tr>
        <w:tc>
          <w:tcPr>
            <w:tcW w:type="dxa" w:w="2438"/>
          </w:tcPr>
          <w:p>
            <w:r/>
            <w:r>
              <w:rPr>
                <w:sz w:val="17"/>
              </w:rPr>
              <w:t>Situation fiscale</w:t>
            </w:r>
          </w:p>
        </w:tc>
        <w:tc>
          <w:tcPr>
            <w:tcW w:type="dxa" w:w="2948"/>
          </w:tcPr>
          <w:p>
            <w:r/>
            <w:r>
              <w:rPr>
                <w:sz w:val="17"/>
              </w:rPr>
              <w:t>personne.situationFiscale</w:t>
            </w:r>
          </w:p>
        </w:tc>
        <w:tc>
          <w:tcPr>
            <w:tcW w:type="dxa" w:w="4252"/>
          </w:tcPr>
          <w:p>
            <w:r/>
            <w:r>
              <w:rPr>
                <w:sz w:val="17"/>
              </w:rPr>
              <w:t>Parts fiscales, TMI, assujettissement IFI — conseil et alertes de seuil</w:t>
            </w:r>
          </w:p>
        </w:tc>
      </w:tr>
      <w:tr>
        <w:tc>
          <w:tcPr>
            <w:tcW w:type="dxa" w:w="2438"/>
          </w:tcPr>
          <w:p>
            <w:r/>
            <w:r>
              <w:rPr>
                <w:sz w:val="17"/>
              </w:rPr>
              <w:t>Profil MiFID complet</w:t>
            </w:r>
          </w:p>
        </w:tc>
        <w:tc>
          <w:tcPr>
            <w:tcW w:type="dxa" w:w="2948"/>
          </w:tcPr>
          <w:p>
            <w:r/>
            <w:r>
              <w:rPr>
                <w:sz w:val="17"/>
              </w:rPr>
              <w:t>personne.profil.scores[]</w:t>
            </w:r>
          </w:p>
        </w:tc>
        <w:tc>
          <w:tcPr>
            <w:tcW w:type="dxa" w:w="4252"/>
          </w:tcPr>
          <w:p>
            <w:r/>
            <w:r>
              <w:rPr>
                <w:sz w:val="17"/>
              </w:rPr>
              <w:t>Sections conformité de tous les bulletins partenaires</w:t>
            </w:r>
          </w:p>
        </w:tc>
      </w:tr>
      <w:tr>
        <w:tc>
          <w:tcPr>
            <w:tcW w:type="dxa" w:w="2438"/>
          </w:tcPr>
          <w:p>
            <w:r/>
            <w:r>
              <w:rPr>
                <w:sz w:val="17"/>
              </w:rPr>
              <w:t>Référentiel profession</w:t>
            </w:r>
          </w:p>
        </w:tc>
        <w:tc>
          <w:tcPr>
            <w:tcW w:type="dxa" w:w="2948"/>
          </w:tcPr>
          <w:p>
            <w:r/>
            <w:r>
              <w:rPr>
                <w:rFonts w:ascii="Consolas" w:hAnsi="Consolas" w:eastAsia="Consolas"/>
                <w:sz w:val="17"/>
              </w:rPr>
              <w:t>/referentiels/contact-professions</w:t>
            </w:r>
          </w:p>
        </w:tc>
        <w:tc>
          <w:tcPr>
            <w:tcW w:type="dxa" w:w="4252"/>
          </w:tcPr>
          <w:p>
            <w:r/>
            <w:r>
              <w:rPr>
                <w:sz w:val="17"/>
              </w:rPr>
              <w:t>Liste normalisée à la place du texte libre</w:t>
            </w:r>
          </w:p>
        </w:tc>
      </w:tr>
      <w:tr>
        <w:tc>
          <w:tcPr>
            <w:tcW w:type="dxa" w:w="2438"/>
          </w:tcPr>
          <w:p>
            <w:r/>
            <w:r>
              <w:rPr>
                <w:sz w:val="17"/>
              </w:rPr>
              <w:t>Catégories documentaires</w:t>
            </w:r>
          </w:p>
        </w:tc>
        <w:tc>
          <w:tcPr>
            <w:tcW w:type="dxa" w:w="2948"/>
          </w:tcPr>
          <w:p>
            <w:r/>
            <w:r>
              <w:rPr>
                <w:rFonts w:ascii="Consolas" w:hAnsi="Consolas" w:eastAsia="Consolas"/>
                <w:sz w:val="17"/>
              </w:rPr>
              <w:t>/categories-documents</w:t>
            </w:r>
          </w:p>
        </w:tc>
        <w:tc>
          <w:tcPr>
            <w:tcW w:type="dxa" w:w="4252"/>
          </w:tcPr>
          <w:p>
            <w:r/>
            <w:r>
              <w:rPr>
                <w:sz w:val="17"/>
              </w:rPr>
              <w:t>Dépôt automatique dans la bonne catégorie</w:t>
            </w:r>
          </w:p>
        </w:tc>
      </w:tr>
      <w:tr>
        <w:tc>
          <w:tcPr>
            <w:tcW w:type="dxa" w:w="2438"/>
          </w:tcPr>
          <w:p>
            <w:r/>
            <w:r>
              <w:rPr>
                <w:sz w:val="17"/>
              </w:rPr>
              <w:t>Dispositions successorales</w:t>
            </w:r>
          </w:p>
        </w:tc>
        <w:tc>
          <w:tcPr>
            <w:tcW w:type="dxa" w:w="2948"/>
          </w:tcPr>
          <w:p>
            <w:r/>
            <w:r>
              <w:rPr>
                <w:sz w:val="17"/>
              </w:rPr>
              <w:t>dispositions[]</w:t>
            </w:r>
          </w:p>
        </w:tc>
        <w:tc>
          <w:tcPr>
            <w:tcW w:type="dxa" w:w="4252"/>
          </w:tcPr>
          <w:p>
            <w:r/>
            <w:r>
              <w:rPr>
                <w:sz w:val="17"/>
              </w:rPr>
              <w:t>Objectif de transmission des bulletins</w:t>
            </w:r>
          </w:p>
        </w:tc>
      </w:tr>
    </w:tbl>
    <w:p>
      <w:pPr>
        <w:spacing w:after="80"/>
      </w:pPr>
    </w:p>
    <w:p>
      <w:r>
        <w:br w:type="page"/>
      </w:r>
    </w:p>
    <w:p>
      <w:pPr>
        <w:pStyle w:val="Heading1"/>
      </w:pPr>
      <w:r>
        <w:t>10. Ajouter une opération ou un partenaire — mode opératoire</w:t>
      </w:r>
    </w:p>
    <w:p>
      <w:pPr>
        <w:spacing w:after="120"/>
      </w:pPr>
      <w:r>
        <w:rPr>
          <w:b w:val="0"/>
          <w:i w:val="0"/>
          <w:sz w:val="21"/>
        </w:rPr>
        <w:t>Cette section est le mode d'emploi pour étendre le remplissage automatisé à une nouvelle opération (rachat, souscription…) ou à un nouveau partenaire (Swiss Life, Cardif…). Elle reprend la méthode réellement suivie pour le Versement complémentaire Generali, y compris les erreurs commises et ce qu'elles ont coûté.</w:t>
      </w:r>
    </w:p>
    <w:p>
      <w:pPr>
        <w:spacing w:after="120"/>
      </w:pPr>
      <w:r>
        <w:rPr>
          <w:b w:val="0"/>
          <w:i/>
          <w:color w:val="555F70"/>
          <w:sz w:val="21"/>
        </w:rPr>
        <w:t>Ordre de grandeur observé : environ une demi-journée par formulaire une fois la méthode acquise, dont la moitié en cartographie des champs et en tests.</w:t>
      </w:r>
    </w:p>
    <w:p>
      <w:pPr>
        <w:pStyle w:val="Heading2"/>
      </w:pPr>
      <w:r>
        <w:t>Étape 0 — Réunir les prérequis</w:t>
      </w:r>
    </w:p>
    <w:p>
      <w:pPr>
        <w:pStyle w:val="ListBullet"/>
        <w:spacing w:after="60"/>
      </w:pPr>
      <w:r>
        <w:rPr>
          <w:sz w:val="21"/>
        </w:rPr>
        <w:t>Le PDF vierge remplissable fourni par le partenaire, déposé dans app/templates/.</w:t>
      </w:r>
    </w:p>
    <w:p>
      <w:pPr>
        <w:pStyle w:val="ListBullet"/>
        <w:spacing w:after="60"/>
      </w:pPr>
      <w:r>
        <w:rPr>
          <w:sz w:val="21"/>
        </w:rPr>
        <w:t>Au moins un client O2S réel ayant déjà réalisé ce type d'opération — sans lui, impossible de vérifier que les champs se remplissent avec la bonne donnée.</w:t>
      </w:r>
    </w:p>
    <w:p>
      <w:pPr>
        <w:pStyle w:val="ListBullet"/>
        <w:spacing w:after="60"/>
      </w:pPr>
      <w:r>
        <w:rPr>
          <w:sz w:val="21"/>
        </w:rPr>
        <w:t>Idéalement trois clients aux profils contrastés (marié/célibataire, en activité/retraité, avec/sans co-souscripteur) : c'est ce qui révèle les branches non testées.</w:t>
      </w:r>
    </w:p>
    <w:p>
      <w:pPr>
        <w:pStyle w:val="Heading2"/>
      </w:pPr>
      <w:r>
        <w:t>Étape 1 — Cartographier les champs du PDF</w:t>
      </w:r>
    </w:p>
    <w:p>
      <w:pPr>
        <w:spacing w:after="120"/>
      </w:pPr>
      <w:r>
        <w:rPr>
          <w:b w:val="0"/>
          <w:i w:val="0"/>
          <w:sz w:val="21"/>
        </w:rPr>
        <w:t>Ne jamais se fier au nom d'un champ. Les noms des templates Generali (CAR001, CAR016, 0170…) ne suivent aucune logique lisible. La seule méthode fiable consiste à croiser la position du champ avec le texte imprimé à côté :</w:t>
      </w:r>
    </w:p>
    <w:p>
      <w:pPr>
        <w:spacing w:after="160"/>
        <w:ind w:left="283"/>
      </w:pPr>
      <w:r>
        <w:rPr>
          <w:rFonts w:ascii="Consolas" w:hAnsi="Consolas" w:eastAsia="Consolas"/>
          <w:sz w:val="17"/>
        </w:rPr>
        <w:t>import fitz</w:t>
        <w:br/>
        <w:t>doc  = fitz.open("templates/mon_formulaire.pdf")</w:t>
        <w:br/>
        <w:t>page = doc[0]</w:t>
        <w:br/>
        <w:br/>
        <w:t># 1. les champs, avec leur position et leurs états possibles</w:t>
        <w:br/>
        <w:t>for w in page.widgets():</w:t>
        <w:br/>
        <w:t xml:space="preserve">    print(w.field_name, w.rect, w.field_type_string, w.button_states())</w:t>
        <w:br/>
        <w:br/>
        <w:t># 2. le texte imprimé, avec sa position</w:t>
        <w:br/>
        <w:t>for x0, y0, x1, y1, mot, *_ in page.get_text("words"):</w:t>
        <w:br/>
        <w:t xml:space="preserve">    print(round(y0), round(x0), mot)</w:t>
      </w:r>
    </w:p>
    <w:p>
      <w:pPr>
        <w:spacing w:after="120"/>
      </w:pPr>
      <w:r>
        <w:rPr>
          <w:b w:val="0"/>
          <w:i w:val="0"/>
          <w:sz w:val="21"/>
        </w:rPr>
        <w:t>On rapproche ensuite chaque champ du libellé situé à la même hauteur (même y) et juste à sa gauche ou à sa droite.</w:t>
      </w:r>
    </w:p>
    <w:p>
      <w:pPr>
        <w:spacing w:after="120"/>
      </w:pPr>
      <w:r>
        <w:rPr>
          <w:b/>
          <w:i w:val="0"/>
          <w:color w:val="B32D2D"/>
          <w:sz w:val="21"/>
        </w:rPr>
        <w:t>INCIDENT RÉEL — le champ CAR001 portait, par convention de nommage, toutes les apparences de la case Civilité. Vérification faite, c'est en réalité « Ancienneté de la relation avec Generali Vie ». La vraie case Civilité est CAR003. Conséquence : la civilité n'a jamais été cochée sur aucun document généré, sans que personne ne s'en aperçoive.</w:t>
      </w:r>
    </w:p>
    <w:p>
      <w:pPr>
        <w:pStyle w:val="Heading2"/>
      </w:pPr>
      <w:r>
        <w:t>Étape 2 — Vérifier visuellement, systématiquement</w:t>
      </w:r>
    </w:p>
    <w:p>
      <w:pPr>
        <w:spacing w:after="120"/>
      </w:pPr>
      <w:r>
        <w:rPr>
          <w:b w:val="0"/>
          <w:i w:val="0"/>
          <w:sz w:val="21"/>
        </w:rPr>
        <w:t>Lire la valeur d'un champ en Python ne prouve pas qu'elle s'affiche correctement. Il faut produire une image de la zone et la regarder :</w:t>
      </w:r>
    </w:p>
    <w:p>
      <w:pPr>
        <w:spacing w:after="160"/>
        <w:ind w:left="283"/>
      </w:pPr>
      <w:r>
        <w:rPr>
          <w:rFonts w:ascii="Consolas" w:hAnsi="Consolas" w:eastAsia="Consolas"/>
          <w:sz w:val="17"/>
        </w:rPr>
        <w:t>rect = fitz.Rect(0, 350, 300, 420)          # zone à contrôler</w:t>
        <w:br/>
        <w:t>page.get_pixmap(matrix=fitz.Matrix(4, 4), clip=rect).save("controle.png")</w:t>
      </w:r>
    </w:p>
    <w:p>
      <w:pPr>
        <w:spacing w:after="120"/>
      </w:pPr>
      <w:r>
        <w:rPr>
          <w:b w:val="0"/>
          <w:i w:val="0"/>
          <w:color w:val="B32D2D"/>
          <w:sz w:val="21"/>
        </w:rPr>
        <w:t>INCIDENT RÉEL — un nom de famille composé de 19 caractères mesure 94,7 points dans un cadre de 95,2 points, en police fixe de 8 points. Techniquement « il tient » ; à l'écran, le S final était rogné sur trois pages. Détecté uniquement par l'image.</w:t>
      </w:r>
    </w:p>
    <w:p>
      <w:pPr>
        <w:spacing w:after="120"/>
      </w:pPr>
      <w:r>
        <w:rPr>
          <w:b/>
          <w:i w:val="0"/>
          <w:sz w:val="21"/>
        </w:rPr>
        <w:t>Règle : aucun champ n'est considéré comme fait tant qu'il n'a pas été vu rendu.</w:t>
      </w:r>
    </w:p>
    <w:p>
      <w:pPr>
        <w:pStyle w:val="Heading2"/>
      </w:pPr>
      <w:r>
        <w:t>Étape 3 — Déclarer le template</w:t>
      </w:r>
    </w:p>
    <w:p>
      <w:pPr>
        <w:spacing w:after="120"/>
      </w:pPr>
      <w:r>
        <w:rPr>
          <w:b w:val="0"/>
          <w:i w:val="0"/>
          <w:sz w:val="21"/>
        </w:rPr>
        <w:t>Dans app/fill_engine.py, dictionnaire TEMPLATES : un identifiant, un libellé, le chemin du PDF.</w:t>
      </w:r>
    </w:p>
    <w:p>
      <w:pPr>
        <w:spacing w:after="160"/>
        <w:ind w:left="283"/>
      </w:pPr>
      <w:r>
        <w:rPr>
          <w:rFonts w:ascii="Consolas" w:hAnsi="Consolas" w:eastAsia="Consolas"/>
          <w:sz w:val="17"/>
        </w:rPr>
        <w:t>"generali_versement": {</w:t>
        <w:br/>
        <w:t xml:space="preserve">    "label": "Generali — Versement complémentaire",</w:t>
        <w:br/>
        <w:t xml:space="preserve">    "pdf_source": os.path.join(_TEMPLATE_DIR, "…_versement_Generali.pdf"),</w:t>
        <w:br/>
        <w:t xml:space="preserve">    "mapping": None,   # renseigné plus bas</w:t>
        <w:br/>
        <w:t>}</w:t>
      </w:r>
    </w:p>
    <w:p>
      <w:pPr>
        <w:pStyle w:val="Heading2"/>
      </w:pPr>
      <w:r>
        <w:t>Étape 4 — Mapper les champs TEXTE</w:t>
      </w:r>
    </w:p>
    <w:p>
      <w:pPr>
        <w:spacing w:after="120"/>
      </w:pPr>
      <w:r>
        <w:rPr>
          <w:b w:val="0"/>
          <w:i w:val="0"/>
          <w:sz w:val="21"/>
        </w:rPr>
        <w:t>Dans app/mappings/mappings_extension.py : un dictionnaire {nom du champ PDF : chemin dans la fiche client}. Le chemin accepte des indices de liste pour les tableaux.</w:t>
      </w:r>
    </w:p>
    <w:p>
      <w:pPr>
        <w:spacing w:after="160"/>
        <w:ind w:left="283"/>
      </w:pPr>
      <w:r>
        <w:rPr>
          <w:rFonts w:ascii="Consolas" w:hAnsi="Consolas" w:eastAsia="Consolas"/>
          <w:sz w:val="17"/>
        </w:rPr>
        <w:t>"CAR004": ("souscripteur", "nom"),</w:t>
        <w:br/>
        <w:t>"CAR011": ("souscripteur", "pays"),</w:t>
        <w:br/>
        <w:t># ligne 1 du tableau des supports</w:t>
        <w:br/>
        <w:t>"BACMA_Codes ISIN_RE_2": ("operation_courante", "versement", "supports_uc", 0, "isin"),</w:t>
      </w:r>
    </w:p>
    <w:p>
      <w:pPr>
        <w:pStyle w:val="Heading2"/>
      </w:pPr>
      <w:r>
        <w:t>Étape 5 — Traiter les cases à cocher à part</w:t>
      </w:r>
    </w:p>
    <w:p>
      <w:pPr>
        <w:spacing w:after="120"/>
      </w:pPr>
      <w:r>
        <w:rPr>
          <w:b w:val="0"/>
          <w:i w:val="0"/>
          <w:sz w:val="21"/>
        </w:rPr>
        <w:t>Les cases à cocher et boutons radio ne passent PAS par le mapping : la bibliothèque de remplissage ne les gère pas. Ils sont traités dans une fonction dédiée de fill_engine.py, qui positionne la valeur du groupe et l'apparence de chaque case.</w:t>
      </w:r>
    </w:p>
    <w:p>
      <w:pPr>
        <w:spacing w:after="120"/>
      </w:pPr>
      <w:r>
        <w:rPr>
          <w:b w:val="0"/>
          <w:i w:val="0"/>
          <w:sz w:val="21"/>
        </w:rPr>
        <w:t>Chaque groupe a ses propres codes d'état, qu'il faut lire sur le champ lui-même :</w:t>
      </w:r>
    </w:p>
    <w:p>
      <w:pPr>
        <w:spacing w:after="160"/>
        <w:ind w:left="283"/>
      </w:pPr>
      <w:r>
        <w:rPr>
          <w:rFonts w:ascii="Consolas" w:hAnsi="Consolas" w:eastAsia="Consolas"/>
          <w:sz w:val="17"/>
        </w:rPr>
        <w:t>for w in page.widgets():</w:t>
        <w:br/>
        <w:t xml:space="preserve">    if w.field_name == "CAR025":</w:t>
        <w:br/>
        <w:t xml:space="preserve">        print(w.rect, w.button_states())   # ex. {"normal": ["6"]}</w:t>
      </w:r>
    </w:p>
    <w:p>
      <w:pPr>
        <w:spacing w:after="120"/>
      </w:pPr>
      <w:r>
        <w:rPr>
          <w:b/>
          <w:i w:val="0"/>
          <w:color w:val="B32D2D"/>
          <w:sz w:val="21"/>
        </w:rPr>
        <w:t>INCIDENT RÉEL — les codes du régime matrimonial ont été déduits du champ « miroir » du co-souscripteur, par symétrie. Or les deux champs numérotent différemment les mêmes six options : « Séparation de biens » valait 6 d'un côté, 7 de l'autre. Résultat, le formulaire cochait « Autre » à la place — une donnée fausse sur un document de signature.</w:t>
      </w:r>
    </w:p>
    <w:p>
      <w:pPr>
        <w:spacing w:after="120"/>
      </w:pPr>
      <w:r>
        <w:rPr>
          <w:b/>
          <w:i w:val="0"/>
          <w:sz w:val="21"/>
        </w:rPr>
        <w:t>Règle : vérifier les états de CHAQUE champ individuellement, jamais par analogie.</w:t>
      </w:r>
    </w:p>
    <w:p>
      <w:pPr>
        <w:pStyle w:val="Heading2"/>
      </w:pPr>
      <w:r>
        <w:t>Étape 6 — Identifier la source O2S de chaque champ</w:t>
      </w:r>
    </w:p>
    <w:p>
      <w:pPr>
        <w:spacing w:after="120"/>
      </w:pPr>
      <w:r>
        <w:rPr>
          <w:b w:val="0"/>
          <w:i w:val="0"/>
          <w:sz w:val="21"/>
        </w:rPr>
        <w:t>Arbre de décision issu de la cartographie (sections 3 à 5) :</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val="clear" w:fill="1F3364"/>
          </w:tcPr>
          <w:p>
            <w:r/>
            <w:r>
              <w:rPr>
                <w:b/>
                <w:color w:val="FFFFFF"/>
                <w:sz w:val="18"/>
              </w:rPr>
              <w:t>Type de donnée</w:t>
            </w:r>
          </w:p>
        </w:tc>
        <w:tc>
          <w:tcPr>
            <w:tcW w:type="dxa" w:w="3118"/>
            <w:shd w:val="clear" w:fill="1F3364"/>
          </w:tcPr>
          <w:p>
            <w:r/>
            <w:r>
              <w:rPr>
                <w:b/>
                <w:color w:val="FFFFFF"/>
                <w:sz w:val="18"/>
              </w:rPr>
              <w:t>Source O2S</w:t>
            </w:r>
          </w:p>
        </w:tc>
        <w:tc>
          <w:tcPr>
            <w:tcW w:type="dxa" w:w="3118"/>
            <w:shd w:val="clear" w:fill="1F3364"/>
          </w:tcPr>
          <w:p>
            <w:r/>
            <w:r>
              <w:rPr>
                <w:b/>
                <w:color w:val="FFFFFF"/>
                <w:sz w:val="18"/>
              </w:rPr>
              <w:t>Précaution</w:t>
            </w:r>
          </w:p>
        </w:tc>
      </w:tr>
      <w:tr>
        <w:tc>
          <w:tcPr>
            <w:tcW w:type="dxa" w:w="3118"/>
          </w:tcPr>
          <w:p>
            <w:r/>
            <w:r>
              <w:rPr>
                <w:sz w:val="17"/>
              </w:rPr>
              <w:t>Identité, nationalité, PPE, situation familiale</w:t>
            </w:r>
          </w:p>
        </w:tc>
        <w:tc>
          <w:tcPr>
            <w:tcW w:type="dxa" w:w="3118"/>
          </w:tcPr>
          <w:p>
            <w:r/>
            <w:r>
              <w:rPr>
                <w:rFonts w:ascii="Consolas" w:hAnsi="Consolas" w:eastAsia="Consolas"/>
                <w:sz w:val="17"/>
              </w:rPr>
              <w:t>GET /contacts/{id} → personne</w:t>
            </w:r>
          </w:p>
        </w:tc>
        <w:tc>
          <w:tcPr>
            <w:tcW w:type="dxa" w:w="3118"/>
          </w:tcPr>
          <w:p>
            <w:r/>
            <w:r>
              <w:rPr>
                <w:sz w:val="17"/>
              </w:rPr>
              <w:t>Codes ISO (FR), pas libellés</w:t>
            </w:r>
          </w:p>
        </w:tc>
      </w:tr>
      <w:tr>
        <w:tc>
          <w:tcPr>
            <w:tcW w:type="dxa" w:w="3118"/>
          </w:tcPr>
          <w:p>
            <w:r/>
            <w:r>
              <w:rPr>
                <w:sz w:val="17"/>
              </w:rPr>
              <w:t>Adresse</w:t>
            </w:r>
          </w:p>
        </w:tc>
        <w:tc>
          <w:tcPr>
            <w:tcW w:type="dxa" w:w="3118"/>
          </w:tcPr>
          <w:p>
            <w:r/>
            <w:r>
              <w:rPr>
                <w:rFonts w:ascii="Consolas" w:hAnsi="Consolas" w:eastAsia="Consolas"/>
                <w:sz w:val="17"/>
              </w:rPr>
              <w:t>GET /contacts/{id} → adresses[]</w:t>
            </w:r>
          </w:p>
        </w:tc>
        <w:tc>
          <w:tcPr>
            <w:tcW w:type="dxa" w:w="3118"/>
          </w:tcPr>
          <w:p>
            <w:r/>
            <w:r>
              <w:rPr>
                <w:sz w:val="17"/>
              </w:rPr>
              <w:t>—</w:t>
            </w:r>
          </w:p>
        </w:tc>
      </w:tr>
      <w:tr>
        <w:tc>
          <w:tcPr>
            <w:tcW w:type="dxa" w:w="3118"/>
          </w:tcPr>
          <w:p>
            <w:r/>
            <w:r>
              <w:rPr>
                <w:sz w:val="17"/>
              </w:rPr>
              <w:t>Patrimoine et sa répartition</w:t>
            </w:r>
          </w:p>
        </w:tc>
        <w:tc>
          <w:tcPr>
            <w:tcW w:type="dxa" w:w="3118"/>
          </w:tcPr>
          <w:p>
            <w:r/>
            <w:r>
              <w:rPr>
                <w:rFonts w:ascii="Consolas" w:hAnsi="Consolas" w:eastAsia="Consolas"/>
                <w:sz w:val="17"/>
              </w:rPr>
              <w:t>GET /contacts/{id} → stocks[]</w:t>
            </w:r>
          </w:p>
        </w:tc>
        <w:tc>
          <w:tcPr>
            <w:tcW w:type="dxa" w:w="3118"/>
          </w:tcPr>
          <w:p>
            <w:r/>
            <w:r>
              <w:rPr>
                <w:sz w:val="17"/>
              </w:rPr>
              <w:t>Sommer les DEUX conjoints, pondérer par la quote-part</w:t>
            </w:r>
          </w:p>
        </w:tc>
      </w:tr>
      <w:tr>
        <w:tc>
          <w:tcPr>
            <w:tcW w:type="dxa" w:w="3118"/>
          </w:tcPr>
          <w:p>
            <w:r/>
            <w:r>
              <w:rPr>
                <w:sz w:val="17"/>
              </w:rPr>
              <w:t>Revenus</w:t>
            </w:r>
          </w:p>
        </w:tc>
        <w:tc>
          <w:tcPr>
            <w:tcW w:type="dxa" w:w="3118"/>
          </w:tcPr>
          <w:p>
            <w:r/>
            <w:r>
              <w:rPr>
                <w:rFonts w:ascii="Consolas" w:hAnsi="Consolas" w:eastAsia="Consolas"/>
                <w:sz w:val="17"/>
              </w:rPr>
              <w:t>GET /contacts/{id} → fluxs[]</w:t>
            </w:r>
          </w:p>
        </w:tc>
        <w:tc>
          <w:tcPr>
            <w:tcW w:type="dxa" w:w="3118"/>
          </w:tcPr>
          <w:p>
            <w:r/>
            <w:r>
              <w:rPr>
                <w:sz w:val="17"/>
              </w:rPr>
              <w:t>Filtrer REVENU_, dédoublonner les flux COUPLE par identifiant</w:t>
            </w:r>
          </w:p>
        </w:tc>
      </w:tr>
      <w:tr>
        <w:tc>
          <w:tcPr>
            <w:tcW w:type="dxa" w:w="3118"/>
          </w:tcPr>
          <w:p>
            <w:r/>
            <w:r>
              <w:rPr>
                <w:sz w:val="17"/>
              </w:rPr>
              <w:t>Contrat, valorisation</w:t>
            </w:r>
          </w:p>
        </w:tc>
        <w:tc>
          <w:tcPr>
            <w:tcW w:type="dxa" w:w="3118"/>
          </w:tcPr>
          <w:p>
            <w:r/>
            <w:r>
              <w:rPr>
                <w:rFonts w:ascii="Consolas" w:hAnsi="Consolas" w:eastAsia="Consolas"/>
                <w:sz w:val="17"/>
              </w:rPr>
              <w:t>GET /comptes?contactId=</w:t>
            </w:r>
          </w:p>
        </w:tc>
        <w:tc>
          <w:tcPr>
            <w:tcW w:type="dxa" w:w="3118"/>
          </w:tcPr>
          <w:p>
            <w:r/>
            <w:r>
              <w:rPr>
                <w:sz w:val="17"/>
              </w:rPr>
              <w:t>—</w:t>
            </w:r>
          </w:p>
        </w:tc>
      </w:tr>
      <w:tr>
        <w:tc>
          <w:tcPr>
            <w:tcW w:type="dxa" w:w="3118"/>
          </w:tcPr>
          <w:p>
            <w:r/>
            <w:r>
              <w:rPr>
                <w:sz w:val="17"/>
              </w:rPr>
              <w:t>Profil de risque, horizon</w:t>
            </w:r>
          </w:p>
        </w:tc>
        <w:tc>
          <w:tcPr>
            <w:tcW w:type="dxa" w:w="3118"/>
          </w:tcPr>
          <w:p>
            <w:r/>
            <w:r>
              <w:rPr>
                <w:rFonts w:ascii="Consolas" w:hAnsi="Consolas" w:eastAsia="Consolas"/>
                <w:sz w:val="17"/>
              </w:rPr>
              <w:t>GET /projects/{id}</w:t>
            </w:r>
          </w:p>
        </w:tc>
        <w:tc>
          <w:tcPr>
            <w:tcW w:type="dxa" w:w="3118"/>
          </w:tcPr>
          <w:p>
            <w:r/>
            <w:r>
              <w:rPr>
                <w:sz w:val="17"/>
              </w:rPr>
              <w:t>Projets actifs uniquement</w:t>
            </w:r>
          </w:p>
        </w:tc>
      </w:tr>
      <w:tr>
        <w:tc>
          <w:tcPr>
            <w:tcW w:type="dxa" w:w="3118"/>
          </w:tcPr>
          <w:p>
            <w:r/>
            <w:r>
              <w:rPr>
                <w:sz w:val="17"/>
              </w:rPr>
              <w:t>Montants et allocations de l'opération</w:t>
            </w:r>
          </w:p>
        </w:tc>
        <w:tc>
          <w:tcPr>
            <w:tcW w:type="dxa" w:w="3118"/>
          </w:tcPr>
          <w:p>
            <w:r/>
            <w:r>
              <w:rPr>
                <w:sz w:val="17"/>
              </w:rPr>
              <w:t>PDF d'adéquation dans la GED</w:t>
            </w:r>
          </w:p>
        </w:tc>
        <w:tc>
          <w:tcPr>
            <w:tcW w:type="dxa" w:w="3118"/>
          </w:tcPr>
          <w:p>
            <w:r/>
            <w:r>
              <w:rPr>
                <w:sz w:val="17"/>
              </w:rPr>
              <w:t>Le projet est souvent fermé donc absent de /projects</w:t>
            </w:r>
          </w:p>
        </w:tc>
      </w:tr>
    </w:tbl>
    <w:p>
      <w:pPr>
        <w:spacing w:after="80"/>
      </w:pPr>
    </w:p>
    <w:p>
      <w:pPr>
        <w:spacing w:after="120"/>
      </w:pPr>
      <w:r>
        <w:rPr>
          <w:b/>
          <w:i w:val="0"/>
          <w:sz w:val="21"/>
        </w:rPr>
        <w:t>Si une donnée ne se trouve nulle part, laisser le champ VIDE et le signaler. Ne jamais produire une valeur par défaut plausible : sur un document de signature, un champ vide est un signal, un champ faux est une erreur invisible.</w:t>
      </w:r>
    </w:p>
    <w:p>
      <w:pPr>
        <w:pStyle w:val="Heading2"/>
      </w:pPr>
      <w:r>
        <w:t>Étape 7 — Ajouter l'onglet au dashboard</w:t>
      </w:r>
    </w:p>
    <w:p>
      <w:pPr>
        <w:spacing w:after="120"/>
      </w:pPr>
      <w:r>
        <w:rPr>
          <w:b w:val="0"/>
          <w:i w:val="0"/>
          <w:sz w:val="21"/>
        </w:rPr>
        <w:t>Une seule ligne dans la liste TEMPLATES de 04_Remplissage_formulaires/dashboard.html. L'onglet, le sélecteur et le filtrage des contrats compatibles sont générés à partir de cette liste : aucune autre modification d'interface n'est nécessaire.</w:t>
      </w:r>
    </w:p>
    <w:p>
      <w:pPr>
        <w:spacing w:after="160"/>
        <w:ind w:left="283"/>
      </w:pPr>
      <w:r>
        <w:rPr>
          <w:rFonts w:ascii="Consolas" w:hAnsi="Consolas" w:eastAsia="Consolas"/>
          <w:sz w:val="17"/>
        </w:rPr>
        <w:t>const TEMPLATES = [</w:t>
        <w:br/>
        <w:t xml:space="preserve">  ["generali_versement", "Generali · Versement complémentaire"],</w:t>
        <w:br/>
        <w:t xml:space="preserve">  ["generali_arbitrage", "Generali · Arbitrage"],</w:t>
        <w:br/>
        <w:t xml:space="preserve">  ["swisslife_rachat",   "Swiss Life · Rachat partiel"],   // ← nouvelle ligne</w:t>
        <w:br/>
        <w:t>];</w:t>
      </w:r>
    </w:p>
    <w:p>
      <w:pPr>
        <w:pStyle w:val="Heading2"/>
      </w:pPr>
      <w:r>
        <w:t>Étape 8 — Aperçu avant génération (recommandé)</w:t>
      </w:r>
    </w:p>
    <w:p>
      <w:pPr>
        <w:spacing w:after="120"/>
      </w:pPr>
      <w:r>
        <w:rPr>
          <w:b w:val="0"/>
          <w:i w:val="0"/>
          <w:sz w:val="21"/>
        </w:rPr>
        <w:t>Un point de contrôle qui expose ce que le moteur a détecté, affiché dans la fiche client avant de générer. Le gestionnaire voit si les tableaux seront remplis, et sinon pourquoi — au lieu de découvrir une section vide dans le PDF sans explication.</w:t>
      </w:r>
    </w:p>
    <w:p>
      <w:pPr>
        <w:pStyle w:val="Heading2"/>
      </w:pPr>
      <w:r>
        <w:t>Étape 9 — Protocole de test (obligatoire)</w:t>
      </w:r>
    </w:p>
    <w:p>
      <w:pPr>
        <w:spacing w:after="120"/>
      </w:pPr>
      <w:r>
        <w:rPr>
          <w:b w:val="0"/>
          <w:i w:val="0"/>
          <w:sz w:val="21"/>
        </w:rPr>
        <w:t>Un seul client testé ne prouve rien : il valide une seule branche de chaque condition.</w:t>
      </w:r>
    </w:p>
    <w:p>
      <w:pPr>
        <w:pStyle w:val="ListBullet"/>
        <w:spacing w:after="60"/>
      </w:pPr>
      <w:r>
        <w:rPr>
          <w:sz w:val="21"/>
        </w:rPr>
        <w:t>Générer sur au moins trois clients aux profils opposés.</w:t>
      </w:r>
    </w:p>
    <w:p>
      <w:pPr>
        <w:pStyle w:val="ListBullet"/>
        <w:spacing w:after="60"/>
      </w:pPr>
      <w:r>
        <w:rPr>
          <w:sz w:val="21"/>
        </w:rPr>
        <w:t>Contrôler la valeur du groupe ET l'apparence de chaque case (une case peut porter la bonne valeur tout en s'affichant décochée).</w:t>
      </w:r>
    </w:p>
    <w:p>
      <w:pPr>
        <w:pStyle w:val="ListBullet"/>
        <w:spacing w:after="60"/>
      </w:pPr>
      <w:r>
        <w:rPr>
          <w:sz w:val="21"/>
        </w:rPr>
        <w:t>Produire une image de chaque section remplie et la regarder.</w:t>
      </w:r>
    </w:p>
    <w:p>
      <w:pPr>
        <w:pStyle w:val="ListBullet"/>
        <w:spacing w:after="60"/>
      </w:pPr>
      <w:r>
        <w:rPr>
          <w:sz w:val="21"/>
        </w:rPr>
        <w:t>Pour chaque champ resté vide, vérifier que la donnée est réellement absente d'O2S — et non qu'un mapping est silencieusement cassé.</w:t>
      </w:r>
    </w:p>
    <w:p>
      <w:pPr>
        <w:spacing w:after="120"/>
      </w:pPr>
      <w:r>
        <w:rPr>
          <w:b w:val="0"/>
          <w:i w:val="0"/>
          <w:color w:val="B32D2D"/>
          <w:sz w:val="21"/>
        </w:rPr>
        <w:t>INCIDENT RÉEL — sur le premier client, le patrimoine et les revenus semblaient corrects. Sur le deuxième, les revenus étaient vides alors qu'O2S les détenait : le code lisait un champ agrégé absent de cette fiche au lieu du détail des flux. Un seul client testé ne l'aurait jamais montré.</w:t>
      </w:r>
    </w:p>
    <w:p>
      <w:pPr>
        <w:pStyle w:val="Heading2"/>
      </w:pPr>
      <w:r>
        <w:t>Les pièges connus</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fill="1F3364"/>
          </w:tcPr>
          <w:p>
            <w:r/>
            <w:r>
              <w:rPr>
                <w:b/>
                <w:color w:val="FFFFFF"/>
                <w:sz w:val="18"/>
              </w:rPr>
              <w:t>Piège</w:t>
            </w:r>
          </w:p>
        </w:tc>
        <w:tc>
          <w:tcPr>
            <w:tcW w:type="dxa" w:w="3118"/>
            <w:shd w:val="clear" w:fill="1F3364"/>
          </w:tcPr>
          <w:p>
            <w:r/>
            <w:r>
              <w:rPr>
                <w:b/>
                <w:color w:val="FFFFFF"/>
                <w:sz w:val="18"/>
              </w:rPr>
              <w:t>Symptôme</w:t>
            </w:r>
          </w:p>
        </w:tc>
        <w:tc>
          <w:tcPr>
            <w:tcW w:type="dxa" w:w="3402"/>
            <w:shd w:val="clear" w:fill="1F3364"/>
          </w:tcPr>
          <w:p>
            <w:r/>
            <w:r>
              <w:rPr>
                <w:b/>
                <w:color w:val="FFFFFF"/>
                <w:sz w:val="18"/>
              </w:rPr>
              <w:t>Parade</w:t>
            </w:r>
          </w:p>
        </w:tc>
      </w:tr>
      <w:tr>
        <w:tc>
          <w:tcPr>
            <w:tcW w:type="dxa" w:w="2835"/>
          </w:tcPr>
          <w:p>
            <w:r/>
            <w:r>
              <w:rPr>
                <w:sz w:val="17"/>
              </w:rPr>
              <w:t>Nom de champ trompeur</w:t>
            </w:r>
          </w:p>
        </w:tc>
        <w:tc>
          <w:tcPr>
            <w:tcW w:type="dxa" w:w="3118"/>
          </w:tcPr>
          <w:p>
            <w:r/>
            <w:r>
              <w:rPr>
                <w:sz w:val="17"/>
              </w:rPr>
              <w:t>Un champ ne se remplit jamais, sans erreur</w:t>
            </w:r>
          </w:p>
        </w:tc>
        <w:tc>
          <w:tcPr>
            <w:tcW w:type="dxa" w:w="3402"/>
          </w:tcPr>
          <w:p>
            <w:r/>
            <w:r>
              <w:rPr>
                <w:sz w:val="17"/>
              </w:rPr>
              <w:t>Croiser position du champ et texte imprimé</w:t>
            </w:r>
          </w:p>
        </w:tc>
      </w:tr>
      <w:tr>
        <w:tc>
          <w:tcPr>
            <w:tcW w:type="dxa" w:w="2835"/>
          </w:tcPr>
          <w:p>
            <w:r/>
            <w:r>
              <w:rPr>
                <w:sz w:val="17"/>
              </w:rPr>
              <w:t>Champ miroir numéroté différemment</w:t>
            </w:r>
          </w:p>
        </w:tc>
        <w:tc>
          <w:tcPr>
            <w:tcW w:type="dxa" w:w="3118"/>
          </w:tcPr>
          <w:p>
            <w:r/>
            <w:r>
              <w:rPr>
                <w:sz w:val="17"/>
              </w:rPr>
              <w:t>Mauvaise case cochée</w:t>
            </w:r>
          </w:p>
        </w:tc>
        <w:tc>
          <w:tcPr>
            <w:tcW w:type="dxa" w:w="3402"/>
          </w:tcPr>
          <w:p>
            <w:r/>
            <w:r>
              <w:rPr>
                <w:sz w:val="17"/>
              </w:rPr>
              <w:t>Lire les états de chaque champ individuellement</w:t>
            </w:r>
          </w:p>
        </w:tc>
      </w:tr>
      <w:tr>
        <w:tc>
          <w:tcPr>
            <w:tcW w:type="dxa" w:w="2835"/>
          </w:tcPr>
          <w:p>
            <w:r/>
            <w:r>
              <w:rPr>
                <w:sz w:val="17"/>
              </w:rPr>
              <w:t>Codes ISO au lieu de libellés</w:t>
            </w:r>
          </w:p>
        </w:tc>
        <w:tc>
          <w:tcPr>
            <w:tcW w:type="dxa" w:w="3118"/>
          </w:tcPr>
          <w:p>
            <w:r/>
            <w:r>
              <w:rPr>
                <w:sz w:val="17"/>
              </w:rPr>
              <w:t>Comparaison à « France » toujours fausse</w:t>
            </w:r>
          </w:p>
        </w:tc>
        <w:tc>
          <w:tcPr>
            <w:tcW w:type="dxa" w:w="3402"/>
          </w:tcPr>
          <w:p>
            <w:r/>
            <w:r>
              <w:rPr>
                <w:sz w:val="17"/>
              </w:rPr>
              <w:t>Comparer au code (FR)</w:t>
            </w:r>
          </w:p>
        </w:tc>
      </w:tr>
      <w:tr>
        <w:tc>
          <w:tcPr>
            <w:tcW w:type="dxa" w:w="2835"/>
          </w:tcPr>
          <w:p>
            <w:r/>
            <w:r>
              <w:rPr>
                <w:sz w:val="17"/>
              </w:rPr>
              <w:t>Champ en peigne sans longueur maximale</w:t>
            </w:r>
          </w:p>
        </w:tc>
        <w:tc>
          <w:tcPr>
            <w:tcW w:type="dxa" w:w="3118"/>
          </w:tcPr>
          <w:p>
            <w:r/>
            <w:r>
              <w:rPr>
                <w:sz w:val="17"/>
              </w:rPr>
              <w:t>Année tronquée (24/08/19)</w:t>
            </w:r>
          </w:p>
        </w:tc>
        <w:tc>
          <w:tcPr>
            <w:tcW w:type="dxa" w:w="3402"/>
          </w:tcPr>
          <w:p>
            <w:r/>
            <w:r>
              <w:rPr>
                <w:sz w:val="17"/>
              </w:rPr>
              <w:t>Forcer la longueur métier attendue</w:t>
            </w:r>
          </w:p>
        </w:tc>
      </w:tr>
      <w:tr>
        <w:tc>
          <w:tcPr>
            <w:tcW w:type="dxa" w:w="2835"/>
          </w:tcPr>
          <w:p>
            <w:r/>
            <w:r>
              <w:rPr>
                <w:sz w:val="17"/>
              </w:rPr>
              <w:t>Police fixe dans un cadre étroit</w:t>
            </w:r>
          </w:p>
        </w:tc>
        <w:tc>
          <w:tcPr>
            <w:tcW w:type="dxa" w:w="3118"/>
          </w:tcPr>
          <w:p>
            <w:r/>
            <w:r>
              <w:rPr>
                <w:sz w:val="17"/>
              </w:rPr>
              <w:t>Dernier caractère rogné</w:t>
            </w:r>
          </w:p>
        </w:tc>
        <w:tc>
          <w:tcPr>
            <w:tcW w:type="dxa" w:w="3402"/>
          </w:tcPr>
          <w:p>
            <w:r/>
            <w:r>
              <w:rPr>
                <w:sz w:val="17"/>
              </w:rPr>
              <w:t>Mesurer le texte, réduire la police au besoin</w:t>
            </w:r>
          </w:p>
        </w:tc>
      </w:tr>
      <w:tr>
        <w:tc>
          <w:tcPr>
            <w:tcW w:type="dxa" w:w="2835"/>
          </w:tcPr>
          <w:p>
            <w:r/>
            <w:r>
              <w:rPr>
                <w:sz w:val="17"/>
              </w:rPr>
              <w:t>Flux COUPLE dupliqué sur les deux conjoints</w:t>
            </w:r>
          </w:p>
        </w:tc>
        <w:tc>
          <w:tcPr>
            <w:tcW w:type="dxa" w:w="3118"/>
          </w:tcPr>
          <w:p>
            <w:r/>
            <w:r>
              <w:rPr>
                <w:sz w:val="17"/>
              </w:rPr>
              <w:t>Revenus du foyer doublés</w:t>
            </w:r>
          </w:p>
        </w:tc>
        <w:tc>
          <w:tcPr>
            <w:tcW w:type="dxa" w:w="3402"/>
          </w:tcPr>
          <w:p>
            <w:r/>
            <w:r>
              <w:rPr>
                <w:sz w:val="17"/>
              </w:rPr>
              <w:t>Dédoublonner par identifiant de flux</w:t>
            </w:r>
          </w:p>
        </w:tc>
      </w:tr>
      <w:tr>
        <w:tc>
          <w:tcPr>
            <w:tcW w:type="dxa" w:w="2835"/>
          </w:tcPr>
          <w:p>
            <w:r/>
            <w:r>
              <w:rPr>
                <w:sz w:val="17"/>
              </w:rPr>
              <w:t>Quote-part de détention ignorée</w:t>
            </w:r>
          </w:p>
        </w:tc>
        <w:tc>
          <w:tcPr>
            <w:tcW w:type="dxa" w:w="3118"/>
          </w:tcPr>
          <w:p>
            <w:r/>
            <w:r>
              <w:rPr>
                <w:sz w:val="17"/>
              </w:rPr>
              <w:t>Patrimoine surévalué</w:t>
            </w:r>
          </w:p>
        </w:tc>
        <w:tc>
          <w:tcPr>
            <w:tcW w:type="dxa" w:w="3402"/>
          </w:tcPr>
          <w:p>
            <w:r/>
            <w:r>
              <w:rPr>
                <w:sz w:val="17"/>
              </w:rPr>
              <w:t>Pondérer par la part réellement détenue</w:t>
            </w:r>
          </w:p>
        </w:tc>
      </w:tr>
      <w:tr>
        <w:tc>
          <w:tcPr>
            <w:tcW w:type="dxa" w:w="2835"/>
          </w:tcPr>
          <w:p>
            <w:r/>
            <w:r>
              <w:rPr>
                <w:sz w:val="17"/>
              </w:rPr>
              <w:t>Projet fermé absent de /projects</w:t>
            </w:r>
          </w:p>
        </w:tc>
        <w:tc>
          <w:tcPr>
            <w:tcW w:type="dxa" w:w="3118"/>
          </w:tcPr>
          <w:p>
            <w:r/>
            <w:r>
              <w:rPr>
                <w:sz w:val="17"/>
              </w:rPr>
              <w:t>Montants de l'opération introuvables</w:t>
            </w:r>
          </w:p>
        </w:tc>
        <w:tc>
          <w:tcPr>
            <w:tcW w:type="dxa" w:w="3402"/>
          </w:tcPr>
          <w:p>
            <w:r/>
            <w:r>
              <w:rPr>
                <w:sz w:val="17"/>
              </w:rPr>
              <w:t>Lire le PDF d'adéquation dans la GED</w:t>
            </w:r>
          </w:p>
        </w:tc>
      </w:tr>
      <w:tr>
        <w:tc>
          <w:tcPr>
            <w:tcW w:type="dxa" w:w="2835"/>
          </w:tcPr>
          <w:p>
            <w:r/>
            <w:r>
              <w:rPr>
                <w:sz w:val="17"/>
              </w:rPr>
              <w:t>Deux tableaux d'allocation qui se suivent</w:t>
            </w:r>
          </w:p>
        </w:tc>
        <w:tc>
          <w:tcPr>
            <w:tcW w:type="dxa" w:w="3118"/>
          </w:tcPr>
          <w:p>
            <w:r/>
            <w:r>
              <w:rPr>
                <w:sz w:val="17"/>
              </w:rPr>
              <w:t>Tout le portefeuille au lieu de l'opération</w:t>
            </w:r>
          </w:p>
        </w:tc>
        <w:tc>
          <w:tcPr>
            <w:tcW w:type="dxa" w:w="3402"/>
          </w:tcPr>
          <w:p>
            <w:r/>
            <w:r>
              <w:rPr>
                <w:sz w:val="17"/>
              </w:rPr>
              <w:t>S'arrêter au titre « après recommandation »</w:t>
            </w:r>
          </w:p>
        </w:tc>
      </w:tr>
    </w:tbl>
    <w:p>
      <w:pPr>
        <w:spacing w:after="80"/>
      </w:pPr>
    </w:p>
    <w:p>
      <w:pPr>
        <w:pStyle w:val="Heading1"/>
      </w:pPr>
      <w:r>
        <w:t>11. Règles d'usage</w:t>
      </w:r>
    </w:p>
    <w:p>
      <w:pPr>
        <w:pStyle w:val="ListBullet"/>
        <w:spacing w:after="60"/>
      </w:pPr>
      <w:r>
        <w:rPr>
          <w:sz w:val="21"/>
        </w:rPr>
        <w:t>La spécification Swagger renvoyant 403, s'appuyer sur le cache local et ne plus la solliciter.</w:t>
      </w:r>
    </w:p>
    <w:p>
      <w:pPr>
        <w:pStyle w:val="ListBullet"/>
        <w:spacing w:after="60"/>
      </w:pPr>
      <w:r>
        <w:rPr>
          <w:sz w:val="21"/>
        </w:rPr>
        <w:t>Sur /projects et la famille anglophone : toujours personId, jamais contactId.</w:t>
      </w:r>
    </w:p>
    <w:p>
      <w:pPr>
        <w:pStyle w:val="ListBullet"/>
        <w:spacing w:after="60"/>
      </w:pPr>
      <w:r>
        <w:rPr>
          <w:sz w:val="21"/>
        </w:rPr>
        <w:t>Sur /documents : toujours contactId, sinon le serveur répond 422.</w:t>
      </w:r>
    </w:p>
    <w:p>
      <w:pPr>
        <w:pStyle w:val="ListBullet"/>
        <w:spacing w:after="60"/>
      </w:pPr>
      <w:r>
        <w:rPr>
          <w:sz w:val="21"/>
        </w:rPr>
        <w:t>Espacer les requêtes d'exploration (environ 1,2 à 2 secondes) et ne jamais lancer de balayage complet du cabinet.</w:t>
      </w:r>
    </w:p>
    <w:p>
      <w:pPr>
        <w:pStyle w:val="ListBullet"/>
        <w:spacing w:after="60"/>
      </w:pPr>
      <w:r>
        <w:rPr>
          <w:sz w:val="21"/>
        </w:rPr>
        <w:t>Traiter les endpoints non documentés comme non contractuels : les faire confirmer avant toute dépendance en production.</w:t>
      </w:r>
    </w:p>
    <w:p>
      <w:pPr>
        <w:pStyle w:val="ListBullet"/>
        <w:spacing w:after="60"/>
      </w:pPr>
      <w:r>
        <w:rPr>
          <w:sz w:val="21"/>
        </w:rPr>
        <w:t>Toute écriture (POST /documents) reste réservée au compte de test. Le reste de l'intégration est en lecture seule.</w:t>
      </w:r>
    </w:p>
    <w:p>
      <w:pPr>
        <w:spacing w:after="120"/>
      </w:pPr>
      <w:r>
        <w:rPr>
          <w:b w:val="0"/>
          <w:i w:val="0"/>
          <w:sz w:val="21"/>
        </w:rPr>
      </w:r>
    </w:p>
    <w:p>
      <w:pPr>
        <w:spacing w:before="480"/>
        <w:jc w:val="center"/>
      </w:pPr>
      <w:r>
        <w:rPr>
          <w:i/>
          <w:color w:val="555F70"/>
          <w:sz w:val="17"/>
        </w:rPr>
        <w:t>Document généré le 31 juillet 2026 — Kaizen Institute pour Rhétorès Finance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364"/>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A88432"/>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3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