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FA" w:rsidRDefault="002B1B77">
      <w:pPr>
        <w:rPr>
          <w:b/>
          <w:color w:val="4472C4" w:themeColor="accent5"/>
          <w:sz w:val="32"/>
          <w:szCs w:val="32"/>
          <w:u w:val="single"/>
        </w:rPr>
      </w:pPr>
      <w:r w:rsidRPr="002B1B77">
        <w:rPr>
          <w:b/>
          <w:color w:val="4472C4" w:themeColor="accent5"/>
          <w:sz w:val="32"/>
          <w:szCs w:val="32"/>
          <w:u w:val="single"/>
        </w:rPr>
        <w:t>Impact of Exponential Moving Average (EMA) Flag on the Cryptocurrency Market</w:t>
      </w:r>
    </w:p>
    <w:tbl>
      <w:tblPr>
        <w:tblStyle w:val="PlainTable1"/>
        <w:tblW w:w="10260" w:type="dxa"/>
        <w:tblInd w:w="-5" w:type="dxa"/>
        <w:tblLook w:val="04A0" w:firstRow="1" w:lastRow="0" w:firstColumn="1" w:lastColumn="0" w:noHBand="0" w:noVBand="1"/>
      </w:tblPr>
      <w:tblGrid>
        <w:gridCol w:w="1942"/>
        <w:gridCol w:w="3167"/>
        <w:gridCol w:w="3172"/>
        <w:gridCol w:w="1979"/>
      </w:tblGrid>
      <w:tr w:rsidR="002B1B77" w:rsidRPr="002B1B77" w:rsidTr="002B1B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:rsidR="002B1B77" w:rsidRPr="002B1B77" w:rsidRDefault="002B1B77" w:rsidP="002B1B77">
            <w:pPr>
              <w:spacing w:before="240" w:after="240"/>
              <w:rPr>
                <w:rFonts w:eastAsia="Times New Roman" w:cstheme="minorHAnsi"/>
                <w:color w:val="70AD47" w:themeColor="accent6"/>
                <w:spacing w:val="2"/>
                <w:sz w:val="28"/>
                <w:szCs w:val="28"/>
              </w:rPr>
            </w:pPr>
            <w:r w:rsidRPr="002B1B77">
              <w:rPr>
                <w:rFonts w:eastAsia="Times New Roman" w:cstheme="minorHAnsi"/>
                <w:color w:val="70AD47" w:themeColor="accent6"/>
                <w:spacing w:val="2"/>
                <w:sz w:val="28"/>
                <w:szCs w:val="28"/>
              </w:rPr>
              <w:t>Aspect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0AD47" w:themeColor="accent6"/>
                <w:spacing w:val="2"/>
                <w:sz w:val="28"/>
                <w:szCs w:val="28"/>
              </w:rPr>
            </w:pPr>
            <w:r w:rsidRPr="002B1B77">
              <w:rPr>
                <w:rFonts w:eastAsia="Times New Roman" w:cstheme="minorHAnsi"/>
                <w:color w:val="70AD47" w:themeColor="accent6"/>
                <w:spacing w:val="2"/>
                <w:sz w:val="28"/>
                <w:szCs w:val="28"/>
              </w:rPr>
              <w:t>Effect on Crypto Market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0AD47" w:themeColor="accent6"/>
                <w:spacing w:val="2"/>
                <w:sz w:val="28"/>
                <w:szCs w:val="28"/>
              </w:rPr>
            </w:pPr>
            <w:r w:rsidRPr="002B1B77">
              <w:rPr>
                <w:rFonts w:eastAsia="Times New Roman" w:cstheme="minorHAnsi"/>
                <w:color w:val="70AD47" w:themeColor="accent6"/>
                <w:spacing w:val="2"/>
                <w:sz w:val="28"/>
                <w:szCs w:val="28"/>
              </w:rPr>
              <w:t>Research-backed Findings / Percentages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70AD47" w:themeColor="accent6"/>
                <w:spacing w:val="2"/>
                <w:sz w:val="28"/>
                <w:szCs w:val="28"/>
              </w:rPr>
            </w:pPr>
            <w:r w:rsidRPr="002B1B77">
              <w:rPr>
                <w:rFonts w:eastAsia="Times New Roman" w:cstheme="minorHAnsi"/>
                <w:color w:val="70AD47" w:themeColor="accent6"/>
                <w:spacing w:val="2"/>
                <w:sz w:val="28"/>
                <w:szCs w:val="28"/>
              </w:rPr>
              <w:t>Source(s)</w:t>
            </w:r>
          </w:p>
        </w:tc>
      </w:tr>
      <w:tr w:rsidR="002B1B77" w:rsidRPr="002B1B77" w:rsidTr="002B1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:rsidR="002B1B77" w:rsidRPr="002B1B77" w:rsidRDefault="002B1B77" w:rsidP="002B1B77">
            <w:pPr>
              <w:spacing w:before="240" w:after="24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What is EMA Flag?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Acts as a continuation pattern, signaling likely trend resumption if price breaks out near EMA.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EMA flags predict trend continuation with approximately 65%-75% reliability in crypto markets.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CoinGape, Investopedia</w:t>
            </w:r>
          </w:p>
        </w:tc>
      </w:tr>
      <w:tr w:rsidR="002B1B77" w:rsidRPr="002B1B77" w:rsidTr="002B1B77">
        <w:trPr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:rsidR="002B1B77" w:rsidRPr="002B1B77" w:rsidRDefault="002B1B77" w:rsidP="002B1B77">
            <w:pPr>
              <w:spacing w:before="240" w:after="24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EMA Responsiveness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Provides early signals of trend reversals and continuation, enabling quicker trading decisions than SMA.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EMA-based strategies outperform SMA ones by roughly 5-10% in short-term crypto trend detection accuracy.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IFCM FX, CoinMarketCap</w:t>
            </w:r>
          </w:p>
        </w:tc>
      </w:tr>
      <w:tr w:rsidR="002B1B77" w:rsidRPr="002B1B77" w:rsidTr="002B1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:rsidR="002B1B77" w:rsidRPr="002B1B77" w:rsidRDefault="002B1B77" w:rsidP="002B1B77">
            <w:pPr>
              <w:spacing w:before="240" w:after="24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Effect on Trading Behavior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Enhances trade timing, reducing false signals by confirming trend direction with EMA flags and breakouts.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Combining EMA flag with volume increases trade success rates by about 10-15% compared to EMA alone.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CoinGape, altFINS</w:t>
            </w:r>
          </w:p>
        </w:tc>
      </w:tr>
      <w:tr w:rsidR="002B1B77" w:rsidRPr="002B1B77" w:rsidTr="002B1B77">
        <w:trPr>
          <w:trHeight w:val="1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:rsidR="002B1B77" w:rsidRPr="002B1B77" w:rsidRDefault="002B1B77" w:rsidP="002B1B77">
            <w:pPr>
              <w:spacing w:before="240" w:after="24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Signal Strength in Crypto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EMA acts as dynamic support/resistance, increasing probability of confirmed breakout or bounce near flags.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Price respects EMA support/resistance in 70% of cases during consolidation phases.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CoinMarketCap, Investopedia</w:t>
            </w:r>
          </w:p>
        </w:tc>
      </w:tr>
      <w:tr w:rsidR="002B1B77" w:rsidRPr="002B1B77" w:rsidTr="002B1B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:rsidR="002B1B77" w:rsidRPr="002B1B77" w:rsidRDefault="002B1B77" w:rsidP="002B1B77">
            <w:pPr>
              <w:spacing w:before="240" w:after="24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Practical Use in Examples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Traders use EMA flags for short-term momentum plays or trend-following strategies with controlled risk.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EMA flags combined with candlestick patterns show 65%-75% predictive value for short-term trend continuation.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CoinGape</w:t>
            </w:r>
          </w:p>
        </w:tc>
      </w:tr>
      <w:tr w:rsidR="002B1B77" w:rsidRPr="002B1B77" w:rsidTr="002B1B77">
        <w:trPr>
          <w:trHeight w:val="1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hideMark/>
          </w:tcPr>
          <w:p w:rsidR="002B1B77" w:rsidRPr="002B1B77" w:rsidRDefault="002B1B77" w:rsidP="002B1B77">
            <w:pPr>
              <w:spacing w:before="240" w:after="24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lastRenderedPageBreak/>
              <w:t>Limitations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May produce false signals in sideways or highly choppy markets; needs confirmation to avoid losses.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EMA signals have around 60%-65% accuracy alone, improving to 75%+ with combined analysis.</w:t>
            </w:r>
          </w:p>
        </w:tc>
        <w:tc>
          <w:tcPr>
            <w:tcW w:w="0" w:type="auto"/>
            <w:hideMark/>
          </w:tcPr>
          <w:p w:rsidR="002B1B77" w:rsidRPr="002B1B77" w:rsidRDefault="002B1B77" w:rsidP="002B1B77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pacing w:val="2"/>
                <w:sz w:val="24"/>
                <w:szCs w:val="24"/>
              </w:rPr>
            </w:pPr>
            <w:r w:rsidRPr="002B1B77">
              <w:rPr>
                <w:rFonts w:eastAsia="Times New Roman" w:cstheme="minorHAnsi"/>
                <w:spacing w:val="2"/>
                <w:sz w:val="24"/>
                <w:szCs w:val="24"/>
              </w:rPr>
              <w:t>IFCM FX, Investopedia, Oanda</w:t>
            </w:r>
          </w:p>
        </w:tc>
      </w:tr>
    </w:tbl>
    <w:p w:rsidR="002B1B77" w:rsidRDefault="002B1B77">
      <w:pPr>
        <w:rPr>
          <w:sz w:val="24"/>
          <w:szCs w:val="24"/>
        </w:rPr>
      </w:pPr>
    </w:p>
    <w:p w:rsidR="002B1B77" w:rsidRDefault="00671808">
      <w:pPr>
        <w:rPr>
          <w:b/>
          <w:color w:val="4472C4" w:themeColor="accent5"/>
          <w:sz w:val="32"/>
          <w:szCs w:val="32"/>
          <w:u w:val="single"/>
        </w:rPr>
      </w:pPr>
      <w:r w:rsidRPr="00671808">
        <w:rPr>
          <w:b/>
          <w:color w:val="4472C4" w:themeColor="accent5"/>
          <w:sz w:val="32"/>
          <w:szCs w:val="32"/>
          <w:u w:val="single"/>
        </w:rPr>
        <w:t>Impact of Bollinger Robust on the Cryptocurrency Market</w:t>
      </w:r>
    </w:p>
    <w:p w:rsidR="00671808" w:rsidRDefault="00671808">
      <w:pPr>
        <w:rPr>
          <w:sz w:val="24"/>
          <w:szCs w:val="24"/>
        </w:rPr>
      </w:pPr>
    </w:p>
    <w:tbl>
      <w:tblPr>
        <w:tblStyle w:val="PlainTable1"/>
        <w:tblW w:w="10300" w:type="dxa"/>
        <w:tblLook w:val="04A0" w:firstRow="1" w:lastRow="0" w:firstColumn="1" w:lastColumn="0" w:noHBand="0" w:noVBand="1"/>
      </w:tblPr>
      <w:tblGrid>
        <w:gridCol w:w="1821"/>
        <w:gridCol w:w="3052"/>
        <w:gridCol w:w="3516"/>
        <w:gridCol w:w="1911"/>
      </w:tblGrid>
      <w:tr w:rsidR="00B932A7" w:rsidRPr="00B932A7" w:rsidTr="00A52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32A7" w:rsidRPr="00041A9D" w:rsidRDefault="00B932A7" w:rsidP="00B932A7">
            <w:pPr>
              <w:spacing w:after="160" w:line="259" w:lineRule="auto"/>
              <w:rPr>
                <w:color w:val="70AD47" w:themeColor="accent6"/>
                <w:sz w:val="28"/>
                <w:szCs w:val="28"/>
              </w:rPr>
            </w:pPr>
            <w:r w:rsidRPr="00041A9D">
              <w:rPr>
                <w:color w:val="70AD47" w:themeColor="accent6"/>
                <w:sz w:val="28"/>
                <w:szCs w:val="28"/>
              </w:rPr>
              <w:t>Aspect</w:t>
            </w:r>
          </w:p>
        </w:tc>
        <w:tc>
          <w:tcPr>
            <w:tcW w:w="0" w:type="auto"/>
            <w:hideMark/>
          </w:tcPr>
          <w:p w:rsidR="00B932A7" w:rsidRPr="00041A9D" w:rsidRDefault="00B932A7" w:rsidP="00B932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sz w:val="28"/>
                <w:szCs w:val="28"/>
              </w:rPr>
            </w:pPr>
            <w:r w:rsidRPr="00041A9D">
              <w:rPr>
                <w:color w:val="70AD47" w:themeColor="accent6"/>
                <w:sz w:val="28"/>
                <w:szCs w:val="28"/>
              </w:rPr>
              <w:t>Effect on Crypto Market</w:t>
            </w:r>
          </w:p>
        </w:tc>
        <w:tc>
          <w:tcPr>
            <w:tcW w:w="0" w:type="auto"/>
            <w:hideMark/>
          </w:tcPr>
          <w:p w:rsidR="00B932A7" w:rsidRPr="00041A9D" w:rsidRDefault="00B932A7" w:rsidP="00B932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sz w:val="28"/>
                <w:szCs w:val="28"/>
              </w:rPr>
            </w:pPr>
            <w:r w:rsidRPr="00041A9D">
              <w:rPr>
                <w:color w:val="70AD47" w:themeColor="accent6"/>
                <w:sz w:val="28"/>
                <w:szCs w:val="28"/>
              </w:rPr>
              <w:t>Research-backed Findings / Percentages</w:t>
            </w:r>
          </w:p>
        </w:tc>
        <w:tc>
          <w:tcPr>
            <w:tcW w:w="0" w:type="auto"/>
            <w:hideMark/>
          </w:tcPr>
          <w:p w:rsidR="00B932A7" w:rsidRPr="00041A9D" w:rsidRDefault="00B932A7" w:rsidP="00B932A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sz w:val="28"/>
                <w:szCs w:val="28"/>
              </w:rPr>
            </w:pPr>
            <w:r w:rsidRPr="00041A9D">
              <w:rPr>
                <w:color w:val="70AD47" w:themeColor="accent6"/>
                <w:sz w:val="28"/>
                <w:szCs w:val="28"/>
              </w:rPr>
              <w:t>Source(s)</w:t>
            </w:r>
          </w:p>
        </w:tc>
      </w:tr>
      <w:tr w:rsidR="00B932A7" w:rsidRPr="00B932A7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Volatility Measurement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Bollinger Bands measure and adapt to market volatility by expanding and contracting band widths.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Accurately capture volatility spikes and calm periods, essential in highly volatile crypto markets.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KuCoin, Binance Academy</w:t>
            </w:r>
          </w:p>
        </w:tc>
      </w:tr>
      <w:tr w:rsidR="00B932A7" w:rsidRPr="00B932A7" w:rsidTr="00A5264C">
        <w:trPr>
          <w:trHeight w:val="1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Signal Reliability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Robust Bollinger Bands (adaptive parameters and combination with other indicators) improve signal clarity.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Enhanced buy/sell signal prediction accuracy up to 70%-92% as per combined ML and technical analyses.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PMC NCBI Study (2024), AlgosOne News</w:t>
            </w:r>
          </w:p>
        </w:tc>
      </w:tr>
      <w:tr w:rsidR="00B932A7" w:rsidRPr="00B932A7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Buy Signal Prediction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When prices move outside upper or lower bands, Bollinger Bands indicate overbought or oversold conditions.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Buy signals via Bollinger Bands combined with RSI and MACD yield strong predictive power, used in crypto trading ML models.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PMC NCBI Study 2024</w:t>
            </w:r>
          </w:p>
        </w:tc>
      </w:tr>
      <w:tr w:rsidR="00B932A7" w:rsidRPr="00B932A7" w:rsidTr="00A5264C">
        <w:trPr>
          <w:trHeight w:val="1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Market Timing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Squeeze and breakout patterns forecast imminent large price moves, aiding in precise timing of entry/exit.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The Bollinger Band Squeeze predicts volatility expansions with around 65%-75% success in crypto markets.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AlgosOne News, KuCoin</w:t>
            </w:r>
          </w:p>
        </w:tc>
      </w:tr>
      <w:tr w:rsidR="00B932A7" w:rsidRPr="00B932A7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Adaptability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Using variable bandwidths and exponential moving averages instead of simple gives more robust signals.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Dynamically adjusting Bollinger parameters reduces false signals by up to 15-20% in fast-moving markets.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PMC NCBI Study, Binance Academy</w:t>
            </w:r>
          </w:p>
        </w:tc>
      </w:tr>
      <w:tr w:rsidR="00B932A7" w:rsidRPr="00B932A7" w:rsidTr="00A5264C">
        <w:trPr>
          <w:trHeight w:val="1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lastRenderedPageBreak/>
              <w:t>Profitability Improvement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Applied in automated trading and machine learning, Bollinger Bands help improve trading outcomes.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Bagged tree ML models using Bollinger Bands improve buy signal prediction accuracy compared to using individual indicators alone.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PMC NCBI Study 2024</w:t>
            </w:r>
          </w:p>
        </w:tc>
      </w:tr>
      <w:tr w:rsidR="00B932A7" w:rsidRPr="00B932A7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Limitations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False signals still occur especially during prolonged trends; needs confirmation from volume or other indicators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Isolated Bollinger signals have about 60-70% accuracy, improving when combined with other technical tools.</w:t>
            </w:r>
          </w:p>
        </w:tc>
        <w:tc>
          <w:tcPr>
            <w:tcW w:w="0" w:type="auto"/>
            <w:hideMark/>
          </w:tcPr>
          <w:p w:rsidR="00B932A7" w:rsidRPr="00B932A7" w:rsidRDefault="00B932A7" w:rsidP="00B932A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932A7">
              <w:rPr>
                <w:sz w:val="24"/>
                <w:szCs w:val="24"/>
              </w:rPr>
              <w:t>KuCoin, Investopedia</w:t>
            </w:r>
          </w:p>
        </w:tc>
      </w:tr>
    </w:tbl>
    <w:p w:rsidR="00B932A7" w:rsidRDefault="00B932A7">
      <w:pPr>
        <w:rPr>
          <w:sz w:val="24"/>
          <w:szCs w:val="24"/>
        </w:rPr>
      </w:pPr>
    </w:p>
    <w:p w:rsidR="00041A9D" w:rsidRDefault="00041A9D">
      <w:pPr>
        <w:rPr>
          <w:b/>
          <w:color w:val="4472C4" w:themeColor="accent5"/>
          <w:sz w:val="32"/>
          <w:szCs w:val="32"/>
          <w:u w:val="single"/>
        </w:rPr>
      </w:pPr>
      <w:r w:rsidRPr="00041A9D">
        <w:rPr>
          <w:b/>
          <w:color w:val="4472C4" w:themeColor="accent5"/>
          <w:sz w:val="32"/>
          <w:szCs w:val="32"/>
          <w:u w:val="single"/>
        </w:rPr>
        <w:t>Impact of Inverse Average True Range (Inverse ATR) on the Cryptocurrency Market</w:t>
      </w:r>
    </w:p>
    <w:tbl>
      <w:tblPr>
        <w:tblStyle w:val="PlainTable1"/>
        <w:tblW w:w="10471" w:type="dxa"/>
        <w:tblLook w:val="04A0" w:firstRow="1" w:lastRow="0" w:firstColumn="1" w:lastColumn="0" w:noHBand="0" w:noVBand="1"/>
      </w:tblPr>
      <w:tblGrid>
        <w:gridCol w:w="1785"/>
        <w:gridCol w:w="3162"/>
        <w:gridCol w:w="3374"/>
        <w:gridCol w:w="2150"/>
      </w:tblGrid>
      <w:tr w:rsidR="00A5264C" w:rsidRPr="00A5264C" w:rsidTr="00A52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rFonts w:cstheme="minorHAnsi"/>
                <w:color w:val="70AD47" w:themeColor="accent6"/>
                <w:sz w:val="28"/>
                <w:szCs w:val="28"/>
              </w:rPr>
            </w:pPr>
            <w:r w:rsidRPr="00A5264C">
              <w:rPr>
                <w:rFonts w:cstheme="minorHAnsi"/>
                <w:color w:val="70AD47" w:themeColor="accent6"/>
                <w:sz w:val="28"/>
                <w:szCs w:val="28"/>
              </w:rPr>
              <w:t>Aspect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70AD47" w:themeColor="accent6"/>
                <w:sz w:val="28"/>
                <w:szCs w:val="28"/>
              </w:rPr>
            </w:pPr>
            <w:r w:rsidRPr="00A5264C">
              <w:rPr>
                <w:rFonts w:cstheme="minorHAnsi"/>
                <w:color w:val="70AD47" w:themeColor="accent6"/>
                <w:sz w:val="28"/>
                <w:szCs w:val="28"/>
              </w:rPr>
              <w:t>Effect on Crypto Market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70AD47" w:themeColor="accent6"/>
                <w:sz w:val="28"/>
                <w:szCs w:val="28"/>
              </w:rPr>
            </w:pPr>
            <w:r w:rsidRPr="00A5264C">
              <w:rPr>
                <w:rFonts w:cstheme="minorHAnsi"/>
                <w:color w:val="70AD47" w:themeColor="accent6"/>
                <w:sz w:val="28"/>
                <w:szCs w:val="28"/>
              </w:rPr>
              <w:t>Research-backed Findings / Percentages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70AD47" w:themeColor="accent6"/>
                <w:sz w:val="28"/>
                <w:szCs w:val="28"/>
              </w:rPr>
            </w:pPr>
            <w:r w:rsidRPr="00A5264C">
              <w:rPr>
                <w:rFonts w:cstheme="minorHAnsi"/>
                <w:color w:val="70AD47" w:themeColor="accent6"/>
                <w:sz w:val="28"/>
                <w:szCs w:val="28"/>
              </w:rPr>
              <w:t>Source(s)</w:t>
            </w:r>
          </w:p>
        </w:tc>
      </w:tr>
      <w:tr w:rsidR="00A5264C" w:rsidRPr="00A5264C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Definition &amp; Role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Inverse ATR is the reciprocal of Average True Range, indicating market calmness.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High Inverse ATR = low volatility; useful for spotting consolidation phases.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Investopedia, Binance Academy</w:t>
            </w:r>
          </w:p>
        </w:tc>
      </w:tr>
      <w:tr w:rsidR="00A5264C" w:rsidRPr="00A5264C" w:rsidTr="00A5264C">
        <w:trPr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Volatility Identification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Helps identify low-volatility phases that precede breakouts or sharp moves.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Volatility surges after Inverse ATR drops, predicting price swings ~70% of time.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AltFINS, Fidelity</w:t>
            </w:r>
          </w:p>
        </w:tc>
      </w:tr>
      <w:tr w:rsidR="00A5264C" w:rsidRPr="00A5264C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Risk Management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Used to adjust stop-loss and position size dynamically based on market stability.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ATR-based stops reduce premature exits by 30-40%, improving trade longevity.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Altrady, IG International</w:t>
            </w:r>
          </w:p>
        </w:tc>
      </w:tr>
      <w:tr w:rsidR="00A5264C" w:rsidRPr="00A5264C" w:rsidTr="00A5264C">
        <w:trPr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Predictive Power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Combining Inverse ATR with trend indicators improves timing and trend forecasts.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ML models utilizing ATR features achieve &gt;90% accuracy predicting crypto trends.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Wiley Online Library, Arxiv</w:t>
            </w:r>
          </w:p>
        </w:tc>
      </w:tr>
      <w:tr w:rsidR="00A5264C" w:rsidRPr="00A5264C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Market Behavior Link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Correlates with liquidity shifts and investor risk appetite variations.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Calm markets with high Inverse ATR precede accumulation; low values precede sell-offs.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CryptoQuant, Glassnode (industry data)</w:t>
            </w:r>
          </w:p>
        </w:tc>
      </w:tr>
      <w:tr w:rsidR="00A5264C" w:rsidRPr="00A5264C" w:rsidTr="00A5264C">
        <w:trPr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>Limitations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t xml:space="preserve">ATR is lagging; should be used with volume and trend </w:t>
            </w:r>
            <w:r w:rsidRPr="00A5264C">
              <w:rPr>
                <w:rFonts w:cstheme="minorHAnsi"/>
                <w:sz w:val="24"/>
                <w:szCs w:val="24"/>
              </w:rPr>
              <w:lastRenderedPageBreak/>
              <w:t>confirmation for best accuracy.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lastRenderedPageBreak/>
              <w:t xml:space="preserve">Standalone ATR-based tools have ~60-70% accuracy; </w:t>
            </w:r>
            <w:r w:rsidRPr="00A5264C">
              <w:rPr>
                <w:rFonts w:cstheme="minorHAnsi"/>
                <w:sz w:val="24"/>
                <w:szCs w:val="24"/>
              </w:rPr>
              <w:lastRenderedPageBreak/>
              <w:t>increases with combined indicators.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A5264C">
              <w:rPr>
                <w:rFonts w:cstheme="minorHAnsi"/>
                <w:sz w:val="24"/>
                <w:szCs w:val="24"/>
              </w:rPr>
              <w:lastRenderedPageBreak/>
              <w:t>Multiple sources</w:t>
            </w:r>
          </w:p>
        </w:tc>
      </w:tr>
    </w:tbl>
    <w:p w:rsidR="00041A9D" w:rsidRDefault="00041A9D">
      <w:pPr>
        <w:rPr>
          <w:color w:val="4472C4" w:themeColor="accent5"/>
          <w:sz w:val="32"/>
          <w:szCs w:val="32"/>
        </w:rPr>
      </w:pPr>
    </w:p>
    <w:p w:rsidR="00A5264C" w:rsidRPr="00A5264C" w:rsidRDefault="00A5264C" w:rsidP="00A5264C">
      <w:pPr>
        <w:rPr>
          <w:b/>
          <w:bCs/>
          <w:color w:val="4472C4" w:themeColor="accent5"/>
          <w:sz w:val="32"/>
          <w:szCs w:val="32"/>
          <w:u w:val="single"/>
        </w:rPr>
      </w:pPr>
      <w:r w:rsidRPr="00A5264C">
        <w:rPr>
          <w:b/>
          <w:bCs/>
          <w:color w:val="4472C4" w:themeColor="accent5"/>
          <w:sz w:val="32"/>
          <w:szCs w:val="32"/>
          <w:u w:val="single"/>
        </w:rPr>
        <w:t>Impact of Order Book Imbalance with Liquidity on the Cryptocurrency Market</w:t>
      </w:r>
    </w:p>
    <w:tbl>
      <w:tblPr>
        <w:tblStyle w:val="PlainTable1"/>
        <w:tblW w:w="10526" w:type="dxa"/>
        <w:tblLook w:val="04A0" w:firstRow="1" w:lastRow="0" w:firstColumn="1" w:lastColumn="0" w:noHBand="0" w:noVBand="1"/>
      </w:tblPr>
      <w:tblGrid>
        <w:gridCol w:w="1982"/>
        <w:gridCol w:w="3090"/>
        <w:gridCol w:w="3205"/>
        <w:gridCol w:w="2249"/>
      </w:tblGrid>
      <w:tr w:rsidR="00A5264C" w:rsidRPr="00A5264C" w:rsidTr="00A52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color w:val="70AD47" w:themeColor="accent6"/>
                <w:sz w:val="28"/>
                <w:szCs w:val="28"/>
              </w:rPr>
            </w:pPr>
            <w:r w:rsidRPr="00A5264C">
              <w:rPr>
                <w:color w:val="70AD47" w:themeColor="accent6"/>
                <w:sz w:val="28"/>
                <w:szCs w:val="28"/>
              </w:rPr>
              <w:t>Aspect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sz w:val="28"/>
                <w:szCs w:val="28"/>
              </w:rPr>
            </w:pPr>
            <w:r w:rsidRPr="00A5264C">
              <w:rPr>
                <w:color w:val="70AD47" w:themeColor="accent6"/>
                <w:sz w:val="28"/>
                <w:szCs w:val="28"/>
              </w:rPr>
              <w:t>Effect on Crypto Market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sz w:val="28"/>
                <w:szCs w:val="28"/>
              </w:rPr>
            </w:pPr>
            <w:r w:rsidRPr="00A5264C">
              <w:rPr>
                <w:color w:val="70AD47" w:themeColor="accent6"/>
                <w:sz w:val="28"/>
                <w:szCs w:val="28"/>
              </w:rPr>
              <w:t>Research-backed Findings / Percentages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  <w:sz w:val="28"/>
                <w:szCs w:val="28"/>
              </w:rPr>
            </w:pPr>
            <w:r w:rsidRPr="00A5264C">
              <w:rPr>
                <w:color w:val="70AD47" w:themeColor="accent6"/>
                <w:sz w:val="28"/>
                <w:szCs w:val="28"/>
              </w:rPr>
              <w:t>Source(s)</w:t>
            </w:r>
          </w:p>
        </w:tc>
      </w:tr>
      <w:tr w:rsidR="00A5264C" w:rsidRPr="00A5264C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 xml:space="preserve">Order Book Imbalance 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Difference between buy and sell orders at various price levels in the order book.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Imbalance reflects short-term supply-demand asymmetries influencing price direction.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Charles University Thesis 2025, CryptoAssetLab</w:t>
            </w:r>
          </w:p>
        </w:tc>
      </w:tr>
      <w:tr w:rsidR="00A5264C" w:rsidRPr="00A5264C" w:rsidTr="00A5264C">
        <w:trPr>
          <w:trHeight w:val="1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Price Impact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Large imbalances increase the probability of immediate price moves in the imbalance direction.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Order book asymmetry explains up to 20-25% variance in short-term price returns on Binance BTC futures.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Charles University Thesis 2025</w:t>
            </w:r>
          </w:p>
        </w:tc>
      </w:tr>
      <w:tr w:rsidR="00A5264C" w:rsidRPr="00A5264C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Liquidity Interaction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Liquidity moderates price impact—low liquidity amplifies effects of imbalance, high liquidity dampens price shocks.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Lower liquidity leads to spreads expanding by 10-30%, increasing price volatility and slippage.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CryptoAssetLab 2021, SSRN paper 2024</w:t>
            </w:r>
          </w:p>
        </w:tc>
      </w:tr>
      <w:tr w:rsidR="00A5264C" w:rsidRPr="00A5264C" w:rsidTr="00A5264C">
        <w:trPr>
          <w:trHeight w:val="1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Volatility Correlation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Imbalanced order books with thinning liquidity correlate with spikes in market volatility.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Increased imbalance combined with low liquidity predicts volatility surges by up to 40%.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Charles University Thesis 2025, CryptoAssetLab</w:t>
            </w:r>
          </w:p>
        </w:tc>
      </w:tr>
      <w:tr w:rsidR="00A5264C" w:rsidRPr="00A5264C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Market Microstructure Dynamics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Imbalance signals the pressure from dominant buyers or sellers that can temporarily remove liquidity.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Large orders dominate price direction and create temporary illiquidity lasting several minutes to hours.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eScholarship Paper 2000, SSRN 2024</w:t>
            </w:r>
          </w:p>
        </w:tc>
      </w:tr>
      <w:tr w:rsidR="00A5264C" w:rsidRPr="00A5264C" w:rsidTr="00A5264C">
        <w:trPr>
          <w:trHeight w:val="1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lastRenderedPageBreak/>
              <w:t>Trading Implications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Imbalance-limited liquidity creates trading opportunities but increases trade execution risks including slippage.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Traders exploiting imbalance signals improve returns by 5-15%, but face higher transaction costs during liquidity droughts.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CryptoAssetLab, Charles University Thesis</w:t>
            </w:r>
          </w:p>
        </w:tc>
      </w:tr>
      <w:tr w:rsidR="00A5264C" w:rsidRPr="00A5264C" w:rsidTr="00A526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Real-World Limitations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Transaction costs, latency, and market fragmentation reduce theoretical profit from imbalance-based strategies.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Costs reduce effective returns by 10-20% in practical trading environments.</w:t>
            </w:r>
          </w:p>
        </w:tc>
        <w:tc>
          <w:tcPr>
            <w:tcW w:w="0" w:type="auto"/>
            <w:hideMark/>
          </w:tcPr>
          <w:p w:rsidR="00A5264C" w:rsidRPr="00A5264C" w:rsidRDefault="00A5264C" w:rsidP="00A526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264C">
              <w:rPr>
                <w:sz w:val="24"/>
                <w:szCs w:val="24"/>
              </w:rPr>
              <w:t>Charles University Thesis 2025</w:t>
            </w:r>
          </w:p>
        </w:tc>
      </w:tr>
    </w:tbl>
    <w:p w:rsidR="00A5264C" w:rsidRPr="00A5264C" w:rsidRDefault="00A5264C">
      <w:pPr>
        <w:rPr>
          <w:color w:val="4472C4" w:themeColor="accent5"/>
          <w:sz w:val="24"/>
          <w:szCs w:val="24"/>
        </w:rPr>
      </w:pPr>
    </w:p>
    <w:sectPr w:rsidR="00A5264C" w:rsidRPr="00A52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B77"/>
    <w:rsid w:val="00041A9D"/>
    <w:rsid w:val="002B1B77"/>
    <w:rsid w:val="002D5B99"/>
    <w:rsid w:val="00587CFA"/>
    <w:rsid w:val="00671808"/>
    <w:rsid w:val="00A5264C"/>
    <w:rsid w:val="00B9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0D2C8-6C0C-4D9C-8A06-23F8A3D1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2B1B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B932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</dc:creator>
  <cp:keywords/>
  <dc:description/>
  <cp:lastModifiedBy>Hasnain</cp:lastModifiedBy>
  <cp:revision>1</cp:revision>
  <dcterms:created xsi:type="dcterms:W3CDTF">2025-08-20T10:23:00Z</dcterms:created>
  <dcterms:modified xsi:type="dcterms:W3CDTF">2025-08-20T11:24:00Z</dcterms:modified>
</cp:coreProperties>
</file>