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3C09" w:rsidRPr="0001048E" w:rsidRDefault="00973C09" w:rsidP="00973C09">
      <w:pPr>
        <w:rPr>
          <w:b/>
          <w:bCs/>
          <w:color w:val="4472C4" w:themeColor="accent5"/>
          <w:sz w:val="36"/>
          <w:szCs w:val="36"/>
          <w:u w:val="single"/>
        </w:rPr>
      </w:pPr>
      <w:r w:rsidRPr="003C1B9B">
        <w:rPr>
          <w:b/>
          <w:bCs/>
          <w:color w:val="4472C4" w:themeColor="accent5"/>
          <w:sz w:val="36"/>
          <w:szCs w:val="36"/>
          <w:u w:val="single"/>
        </w:rPr>
        <w:t xml:space="preserve">Impact of Stablecoin Inflows and Outflows on the Crypto </w:t>
      </w:r>
      <w:bookmarkStart w:id="0" w:name="_GoBack"/>
      <w:bookmarkEnd w:id="0"/>
      <w:r w:rsidRPr="003C1B9B">
        <w:rPr>
          <w:b/>
          <w:bCs/>
          <w:color w:val="4472C4" w:themeColor="accent5"/>
          <w:sz w:val="36"/>
          <w:szCs w:val="36"/>
          <w:u w:val="single"/>
        </w:rPr>
        <w:t>Market</w:t>
      </w:r>
    </w:p>
    <w:tbl>
      <w:tblPr>
        <w:tblStyle w:val="GridTable4-Accent5"/>
        <w:tblW w:w="10098" w:type="dxa"/>
        <w:tblLook w:val="04A0" w:firstRow="1" w:lastRow="0" w:firstColumn="1" w:lastColumn="0" w:noHBand="0" w:noVBand="1"/>
      </w:tblPr>
      <w:tblGrid>
        <w:gridCol w:w="1708"/>
        <w:gridCol w:w="3143"/>
        <w:gridCol w:w="3167"/>
        <w:gridCol w:w="2080"/>
      </w:tblGrid>
      <w:tr w:rsidR="0001048E" w:rsidRPr="00272CDE" w:rsidTr="000104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72CDE" w:rsidRPr="0001048E" w:rsidRDefault="00272CDE" w:rsidP="00272CDE">
            <w:pPr>
              <w:pStyle w:val="Heading1"/>
              <w:rPr>
                <w:color w:val="FFFFFF" w:themeColor="background1"/>
              </w:rPr>
            </w:pPr>
            <w:r w:rsidRPr="0001048E">
              <w:rPr>
                <w:color w:val="FFFFFF" w:themeColor="background1"/>
              </w:rPr>
              <w:t>Aspect</w:t>
            </w:r>
          </w:p>
        </w:tc>
        <w:tc>
          <w:tcPr>
            <w:tcW w:w="0" w:type="auto"/>
            <w:hideMark/>
          </w:tcPr>
          <w:p w:rsidR="00272CDE" w:rsidRPr="0001048E" w:rsidRDefault="00272CDE" w:rsidP="00272CDE">
            <w:pPr>
              <w:pStyle w:val="Heading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01048E">
              <w:rPr>
                <w:color w:val="FFFFFF" w:themeColor="background1"/>
              </w:rPr>
              <w:t>Impact on Crypto Market</w:t>
            </w:r>
          </w:p>
        </w:tc>
        <w:tc>
          <w:tcPr>
            <w:tcW w:w="0" w:type="auto"/>
            <w:hideMark/>
          </w:tcPr>
          <w:p w:rsidR="00272CDE" w:rsidRPr="0001048E" w:rsidRDefault="00272CDE" w:rsidP="00272CDE">
            <w:pPr>
              <w:pStyle w:val="Heading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01048E">
              <w:rPr>
                <w:color w:val="FFFFFF" w:themeColor="background1"/>
              </w:rPr>
              <w:t>Key Findings</w:t>
            </w:r>
          </w:p>
        </w:tc>
        <w:tc>
          <w:tcPr>
            <w:tcW w:w="0" w:type="auto"/>
            <w:hideMark/>
          </w:tcPr>
          <w:p w:rsidR="00272CDE" w:rsidRPr="0001048E" w:rsidRDefault="00272CDE" w:rsidP="00272CDE">
            <w:pPr>
              <w:pStyle w:val="Heading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01048E">
              <w:rPr>
                <w:color w:val="FFFFFF" w:themeColor="background1"/>
              </w:rPr>
              <w:t>Source(s)</w:t>
            </w:r>
          </w:p>
        </w:tc>
      </w:tr>
      <w:tr w:rsidR="00272CDE" w:rsidRPr="00272CDE" w:rsidTr="000104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72CDE" w:rsidRPr="00272CDE" w:rsidRDefault="00272CDE" w:rsidP="00272CDE">
            <w:pPr>
              <w:spacing w:after="160" w:line="259" w:lineRule="auto"/>
              <w:rPr>
                <w:sz w:val="24"/>
                <w:szCs w:val="24"/>
              </w:rPr>
            </w:pPr>
            <w:r w:rsidRPr="00272CDE">
              <w:rPr>
                <w:sz w:val="24"/>
                <w:szCs w:val="24"/>
              </w:rPr>
              <w:t>Stablecoin Market Size</w:t>
            </w:r>
          </w:p>
        </w:tc>
        <w:tc>
          <w:tcPr>
            <w:tcW w:w="0" w:type="auto"/>
            <w:hideMark/>
          </w:tcPr>
          <w:p w:rsidR="00272CDE" w:rsidRPr="00272CDE" w:rsidRDefault="00272CDE" w:rsidP="00272CD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72CDE">
              <w:rPr>
                <w:sz w:val="24"/>
                <w:szCs w:val="24"/>
              </w:rPr>
              <w:t>Stablecoins dominate market liquidity and trading volume.</w:t>
            </w:r>
          </w:p>
        </w:tc>
        <w:tc>
          <w:tcPr>
            <w:tcW w:w="0" w:type="auto"/>
            <w:hideMark/>
          </w:tcPr>
          <w:p w:rsidR="00272CDE" w:rsidRPr="00272CDE" w:rsidRDefault="00272CDE" w:rsidP="00272CD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72CDE">
              <w:rPr>
                <w:sz w:val="24"/>
                <w:szCs w:val="24"/>
              </w:rPr>
              <w:t xml:space="preserve">Global stablecoin market cap reached </w:t>
            </w:r>
            <w:r w:rsidRPr="00272CDE">
              <w:rPr>
                <w:b/>
                <w:bCs/>
                <w:sz w:val="24"/>
                <w:szCs w:val="24"/>
              </w:rPr>
              <w:t>$230B (2025)</w:t>
            </w:r>
            <w:r w:rsidRPr="00272CDE">
              <w:rPr>
                <w:sz w:val="24"/>
                <w:szCs w:val="24"/>
              </w:rPr>
              <w:t xml:space="preserve">. USDT holds </w:t>
            </w:r>
            <w:r w:rsidRPr="00272CDE">
              <w:rPr>
                <w:b/>
                <w:bCs/>
                <w:sz w:val="24"/>
                <w:szCs w:val="24"/>
              </w:rPr>
              <w:t>65%</w:t>
            </w:r>
            <w:r w:rsidRPr="00272CDE">
              <w:rPr>
                <w:sz w:val="24"/>
                <w:szCs w:val="24"/>
              </w:rPr>
              <w:t xml:space="preserve">, USDC </w:t>
            </w:r>
            <w:r w:rsidRPr="00272CDE">
              <w:rPr>
                <w:b/>
                <w:bCs/>
                <w:sz w:val="24"/>
                <w:szCs w:val="24"/>
              </w:rPr>
              <w:t>26%</w:t>
            </w:r>
            <w:r w:rsidRPr="00272CDE">
              <w:rPr>
                <w:sz w:val="24"/>
                <w:szCs w:val="24"/>
              </w:rPr>
              <w:t xml:space="preserve"> market share.</w:t>
            </w:r>
          </w:p>
        </w:tc>
        <w:tc>
          <w:tcPr>
            <w:tcW w:w="0" w:type="auto"/>
            <w:hideMark/>
          </w:tcPr>
          <w:p w:rsidR="00272CDE" w:rsidRPr="00272CDE" w:rsidRDefault="00272CDE" w:rsidP="00272CD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72CDE">
              <w:rPr>
                <w:sz w:val="24"/>
                <w:szCs w:val="24"/>
              </w:rPr>
              <w:t>IMF Crypto-Asset Monitor (2Q 2025)</w:t>
            </w:r>
          </w:p>
        </w:tc>
      </w:tr>
      <w:tr w:rsidR="00272CDE" w:rsidRPr="00272CDE" w:rsidTr="0001048E">
        <w:trPr>
          <w:trHeight w:val="1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72CDE" w:rsidRPr="00272CDE" w:rsidRDefault="00272CDE" w:rsidP="00272CDE">
            <w:pPr>
              <w:spacing w:after="160" w:line="259" w:lineRule="auto"/>
              <w:rPr>
                <w:sz w:val="24"/>
                <w:szCs w:val="24"/>
              </w:rPr>
            </w:pPr>
            <w:r w:rsidRPr="00272CDE">
              <w:rPr>
                <w:sz w:val="24"/>
                <w:szCs w:val="24"/>
              </w:rPr>
              <w:t>Exchange Inflows</w:t>
            </w:r>
          </w:p>
        </w:tc>
        <w:tc>
          <w:tcPr>
            <w:tcW w:w="0" w:type="auto"/>
            <w:hideMark/>
          </w:tcPr>
          <w:p w:rsidR="00272CDE" w:rsidRPr="00272CDE" w:rsidRDefault="00272CDE" w:rsidP="00272CD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72CDE">
              <w:rPr>
                <w:sz w:val="24"/>
                <w:szCs w:val="24"/>
              </w:rPr>
              <w:t>Inflows usually signal intent to buy/increase market exposure.</w:t>
            </w:r>
          </w:p>
        </w:tc>
        <w:tc>
          <w:tcPr>
            <w:tcW w:w="0" w:type="auto"/>
            <w:hideMark/>
          </w:tcPr>
          <w:p w:rsidR="00272CDE" w:rsidRPr="00272CDE" w:rsidRDefault="00272CDE" w:rsidP="00272CD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72CDE">
              <w:rPr>
                <w:sz w:val="24"/>
                <w:szCs w:val="24"/>
              </w:rPr>
              <w:t xml:space="preserve">Monthly stablecoin volumes hit </w:t>
            </w:r>
            <w:r w:rsidRPr="00272CDE">
              <w:rPr>
                <w:b/>
                <w:bCs/>
                <w:sz w:val="24"/>
                <w:szCs w:val="24"/>
              </w:rPr>
              <w:t>$23T in 2024</w:t>
            </w:r>
            <w:r w:rsidRPr="00272CDE">
              <w:rPr>
                <w:sz w:val="24"/>
                <w:szCs w:val="24"/>
              </w:rPr>
              <w:t xml:space="preserve"> (</w:t>
            </w:r>
            <w:r w:rsidRPr="00272CDE">
              <w:rPr>
                <w:b/>
                <w:bCs/>
                <w:sz w:val="24"/>
                <w:szCs w:val="24"/>
              </w:rPr>
              <w:t>+90% YoY</w:t>
            </w:r>
            <w:r w:rsidRPr="00272CDE">
              <w:rPr>
                <w:sz w:val="24"/>
                <w:szCs w:val="24"/>
              </w:rPr>
              <w:t>). Large inflows often precede price surges.</w:t>
            </w:r>
          </w:p>
        </w:tc>
        <w:tc>
          <w:tcPr>
            <w:tcW w:w="0" w:type="auto"/>
            <w:hideMark/>
          </w:tcPr>
          <w:p w:rsidR="00272CDE" w:rsidRPr="00272CDE" w:rsidRDefault="00272CDE" w:rsidP="00272CD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72CDE">
              <w:rPr>
                <w:sz w:val="24"/>
                <w:szCs w:val="24"/>
              </w:rPr>
              <w:t>IMF Working Paper (2025), IMF Monitor</w:t>
            </w:r>
          </w:p>
        </w:tc>
      </w:tr>
      <w:tr w:rsidR="00272CDE" w:rsidRPr="00272CDE" w:rsidTr="000104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72CDE" w:rsidRPr="00272CDE" w:rsidRDefault="00272CDE" w:rsidP="00272CDE">
            <w:pPr>
              <w:spacing w:after="160" w:line="259" w:lineRule="auto"/>
              <w:rPr>
                <w:sz w:val="24"/>
                <w:szCs w:val="24"/>
              </w:rPr>
            </w:pPr>
            <w:r w:rsidRPr="00272CDE">
              <w:rPr>
                <w:sz w:val="24"/>
                <w:szCs w:val="24"/>
              </w:rPr>
              <w:t>Exchange Outflows</w:t>
            </w:r>
          </w:p>
        </w:tc>
        <w:tc>
          <w:tcPr>
            <w:tcW w:w="0" w:type="auto"/>
            <w:hideMark/>
          </w:tcPr>
          <w:p w:rsidR="00272CDE" w:rsidRPr="00272CDE" w:rsidRDefault="00272CDE" w:rsidP="00272CD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72CDE">
              <w:rPr>
                <w:sz w:val="24"/>
                <w:szCs w:val="24"/>
              </w:rPr>
              <w:t>Outflows suggest accumulation or withdrawals, lowering selling pressure.</w:t>
            </w:r>
          </w:p>
        </w:tc>
        <w:tc>
          <w:tcPr>
            <w:tcW w:w="0" w:type="auto"/>
            <w:hideMark/>
          </w:tcPr>
          <w:p w:rsidR="00272CDE" w:rsidRPr="00272CDE" w:rsidRDefault="00272CDE" w:rsidP="00272CD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72CDE">
              <w:rPr>
                <w:sz w:val="24"/>
                <w:szCs w:val="24"/>
              </w:rPr>
              <w:t xml:space="preserve">Coinbase &amp; major exchanges show </w:t>
            </w:r>
            <w:r w:rsidRPr="00272CDE">
              <w:rPr>
                <w:b/>
                <w:bCs/>
                <w:sz w:val="24"/>
                <w:szCs w:val="24"/>
              </w:rPr>
              <w:t>longer holding trends</w:t>
            </w:r>
            <w:r w:rsidRPr="00272CDE">
              <w:rPr>
                <w:sz w:val="24"/>
                <w:szCs w:val="24"/>
              </w:rPr>
              <w:t>, indicating accumulation phases.</w:t>
            </w:r>
          </w:p>
        </w:tc>
        <w:tc>
          <w:tcPr>
            <w:tcW w:w="0" w:type="auto"/>
            <w:hideMark/>
          </w:tcPr>
          <w:p w:rsidR="00272CDE" w:rsidRPr="00272CDE" w:rsidRDefault="00272CDE" w:rsidP="00272CD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72CDE">
              <w:rPr>
                <w:sz w:val="24"/>
                <w:szCs w:val="24"/>
              </w:rPr>
              <w:t xml:space="preserve">IMF Working Paper – </w:t>
            </w:r>
            <w:r w:rsidRPr="00272CDE">
              <w:rPr>
                <w:i/>
                <w:iCs/>
                <w:sz w:val="24"/>
                <w:szCs w:val="24"/>
              </w:rPr>
              <w:t>Decrypting Crypto</w:t>
            </w:r>
            <w:r w:rsidRPr="00272CDE">
              <w:rPr>
                <w:sz w:val="24"/>
                <w:szCs w:val="24"/>
              </w:rPr>
              <w:t xml:space="preserve"> (2025)</w:t>
            </w:r>
          </w:p>
        </w:tc>
      </w:tr>
      <w:tr w:rsidR="00272CDE" w:rsidRPr="00272CDE" w:rsidTr="0001048E">
        <w:trPr>
          <w:trHeight w:val="1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72CDE" w:rsidRPr="00272CDE" w:rsidRDefault="00272CDE" w:rsidP="00272CDE">
            <w:pPr>
              <w:spacing w:after="160" w:line="259" w:lineRule="auto"/>
              <w:rPr>
                <w:sz w:val="24"/>
                <w:szCs w:val="24"/>
              </w:rPr>
            </w:pPr>
            <w:r w:rsidRPr="00272CDE">
              <w:rPr>
                <w:sz w:val="24"/>
                <w:szCs w:val="24"/>
              </w:rPr>
              <w:t>Cross-Border Flows</w:t>
            </w:r>
          </w:p>
        </w:tc>
        <w:tc>
          <w:tcPr>
            <w:tcW w:w="0" w:type="auto"/>
            <w:hideMark/>
          </w:tcPr>
          <w:p w:rsidR="00272CDE" w:rsidRPr="00272CDE" w:rsidRDefault="00272CDE" w:rsidP="00272CD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72CDE">
              <w:rPr>
                <w:sz w:val="24"/>
                <w:szCs w:val="24"/>
              </w:rPr>
              <w:t>Facilitate remittances &amp; regional liquidity, influencing local markets.</w:t>
            </w:r>
          </w:p>
        </w:tc>
        <w:tc>
          <w:tcPr>
            <w:tcW w:w="0" w:type="auto"/>
            <w:hideMark/>
          </w:tcPr>
          <w:p w:rsidR="00272CDE" w:rsidRPr="00272CDE" w:rsidRDefault="00272CDE" w:rsidP="00272CD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72CDE">
              <w:rPr>
                <w:b/>
                <w:bCs/>
                <w:sz w:val="24"/>
                <w:szCs w:val="24"/>
              </w:rPr>
              <w:t>$2T in stablecoin transfers (2024)</w:t>
            </w:r>
            <w:r w:rsidRPr="00272CDE">
              <w:rPr>
                <w:sz w:val="24"/>
                <w:szCs w:val="24"/>
              </w:rPr>
              <w:t xml:space="preserve">. LatAm &amp; Africa flows = </w:t>
            </w:r>
            <w:r w:rsidRPr="00272CDE">
              <w:rPr>
                <w:b/>
                <w:bCs/>
                <w:sz w:val="24"/>
                <w:szCs w:val="24"/>
              </w:rPr>
              <w:t>6.7%–7.7% of GDP</w:t>
            </w:r>
            <w:r w:rsidRPr="00272CDE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:rsidR="00272CDE" w:rsidRPr="00272CDE" w:rsidRDefault="00272CDE" w:rsidP="00272CD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72CDE">
              <w:rPr>
                <w:sz w:val="24"/>
                <w:szCs w:val="24"/>
              </w:rPr>
              <w:t>IMF Working Paper (Jul 2025)</w:t>
            </w:r>
          </w:p>
        </w:tc>
      </w:tr>
      <w:tr w:rsidR="00272CDE" w:rsidRPr="00272CDE" w:rsidTr="000104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72CDE" w:rsidRPr="00272CDE" w:rsidRDefault="00272CDE" w:rsidP="00272CDE">
            <w:pPr>
              <w:spacing w:after="160" w:line="259" w:lineRule="auto"/>
              <w:rPr>
                <w:sz w:val="24"/>
                <w:szCs w:val="24"/>
              </w:rPr>
            </w:pPr>
            <w:r w:rsidRPr="00272CDE">
              <w:rPr>
                <w:sz w:val="24"/>
                <w:szCs w:val="24"/>
              </w:rPr>
              <w:t>Market Liquidity &amp; Price Impact</w:t>
            </w:r>
          </w:p>
        </w:tc>
        <w:tc>
          <w:tcPr>
            <w:tcW w:w="0" w:type="auto"/>
            <w:hideMark/>
          </w:tcPr>
          <w:p w:rsidR="00272CDE" w:rsidRPr="00272CDE" w:rsidRDefault="00272CDE" w:rsidP="00272CD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72CDE">
              <w:rPr>
                <w:sz w:val="24"/>
                <w:szCs w:val="24"/>
              </w:rPr>
              <w:t>Inflows increase liquidity (stabilizing prices); outflows reduce liquidity (causing volatility).</w:t>
            </w:r>
          </w:p>
        </w:tc>
        <w:tc>
          <w:tcPr>
            <w:tcW w:w="0" w:type="auto"/>
            <w:hideMark/>
          </w:tcPr>
          <w:p w:rsidR="00272CDE" w:rsidRPr="00272CDE" w:rsidRDefault="00272CDE" w:rsidP="00272CD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72CDE">
              <w:rPr>
                <w:sz w:val="24"/>
                <w:szCs w:val="24"/>
              </w:rPr>
              <w:t xml:space="preserve">Inflows correlate with </w:t>
            </w:r>
            <w:r w:rsidRPr="00272CDE">
              <w:rPr>
                <w:b/>
                <w:bCs/>
                <w:sz w:val="24"/>
                <w:szCs w:val="24"/>
              </w:rPr>
              <w:t>20–30% lead in volatility spikes</w:t>
            </w:r>
            <w:r w:rsidRPr="00272CDE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:rsidR="00272CDE" w:rsidRPr="00272CDE" w:rsidRDefault="00272CDE" w:rsidP="00272CD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72CDE">
              <w:rPr>
                <w:sz w:val="24"/>
                <w:szCs w:val="24"/>
              </w:rPr>
              <w:t>Glassnode, IMF Monitor</w:t>
            </w:r>
          </w:p>
        </w:tc>
      </w:tr>
      <w:tr w:rsidR="00272CDE" w:rsidRPr="00272CDE" w:rsidTr="0001048E">
        <w:trPr>
          <w:trHeight w:val="1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72CDE" w:rsidRPr="00272CDE" w:rsidRDefault="00272CDE" w:rsidP="00272CDE">
            <w:pPr>
              <w:spacing w:after="160" w:line="259" w:lineRule="auto"/>
              <w:rPr>
                <w:sz w:val="24"/>
                <w:szCs w:val="24"/>
              </w:rPr>
            </w:pPr>
            <w:r w:rsidRPr="00272CDE">
              <w:rPr>
                <w:sz w:val="24"/>
                <w:szCs w:val="24"/>
              </w:rPr>
              <w:t>Trading Activity</w:t>
            </w:r>
          </w:p>
        </w:tc>
        <w:tc>
          <w:tcPr>
            <w:tcW w:w="0" w:type="auto"/>
            <w:hideMark/>
          </w:tcPr>
          <w:p w:rsidR="00272CDE" w:rsidRPr="00272CDE" w:rsidRDefault="00272CDE" w:rsidP="00272CD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72CDE">
              <w:rPr>
                <w:sz w:val="24"/>
                <w:szCs w:val="24"/>
              </w:rPr>
              <w:t xml:space="preserve">Stablecoins serve as the </w:t>
            </w:r>
            <w:r w:rsidRPr="00272CDE">
              <w:rPr>
                <w:b/>
                <w:bCs/>
                <w:sz w:val="24"/>
                <w:szCs w:val="24"/>
              </w:rPr>
              <w:t>main intermediary</w:t>
            </w:r>
            <w:r w:rsidRPr="00272CDE">
              <w:rPr>
                <w:sz w:val="24"/>
                <w:szCs w:val="24"/>
              </w:rPr>
              <w:t xml:space="preserve"> in crypto trading.</w:t>
            </w:r>
          </w:p>
        </w:tc>
        <w:tc>
          <w:tcPr>
            <w:tcW w:w="0" w:type="auto"/>
            <w:hideMark/>
          </w:tcPr>
          <w:p w:rsidR="00272CDE" w:rsidRPr="00272CDE" w:rsidRDefault="00272CDE" w:rsidP="00272CD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72CDE">
              <w:rPr>
                <w:sz w:val="24"/>
                <w:szCs w:val="24"/>
              </w:rPr>
              <w:t xml:space="preserve">USDT + USDC combined volume </w:t>
            </w:r>
            <w:r w:rsidRPr="00272CDE">
              <w:rPr>
                <w:b/>
                <w:bCs/>
                <w:sz w:val="24"/>
                <w:szCs w:val="24"/>
              </w:rPr>
              <w:t>$23T (2024)</w:t>
            </w:r>
            <w:r w:rsidRPr="00272CDE">
              <w:rPr>
                <w:sz w:val="24"/>
                <w:szCs w:val="24"/>
              </w:rPr>
              <w:t>. USDC transaction count nearing USDT.</w:t>
            </w:r>
          </w:p>
        </w:tc>
        <w:tc>
          <w:tcPr>
            <w:tcW w:w="0" w:type="auto"/>
            <w:hideMark/>
          </w:tcPr>
          <w:p w:rsidR="00272CDE" w:rsidRPr="00272CDE" w:rsidRDefault="00272CDE" w:rsidP="00272CD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72CDE">
              <w:rPr>
                <w:sz w:val="24"/>
                <w:szCs w:val="24"/>
              </w:rPr>
              <w:t>IMF Monitor (2Q 2025), FXC Intelligence (2025)</w:t>
            </w:r>
          </w:p>
        </w:tc>
      </w:tr>
      <w:tr w:rsidR="00272CDE" w:rsidRPr="00272CDE" w:rsidTr="000104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72CDE" w:rsidRPr="00272CDE" w:rsidRDefault="00272CDE" w:rsidP="00272CDE">
            <w:pPr>
              <w:spacing w:after="160" w:line="259" w:lineRule="auto"/>
              <w:rPr>
                <w:sz w:val="24"/>
                <w:szCs w:val="24"/>
              </w:rPr>
            </w:pPr>
            <w:r w:rsidRPr="00272CDE">
              <w:rPr>
                <w:sz w:val="24"/>
                <w:szCs w:val="24"/>
              </w:rPr>
              <w:t>Investor Behavior &amp; Use Case</w:t>
            </w:r>
          </w:p>
        </w:tc>
        <w:tc>
          <w:tcPr>
            <w:tcW w:w="0" w:type="auto"/>
            <w:hideMark/>
          </w:tcPr>
          <w:p w:rsidR="00272CDE" w:rsidRPr="00272CDE" w:rsidRDefault="00272CDE" w:rsidP="00272CD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72CDE">
              <w:rPr>
                <w:sz w:val="24"/>
                <w:szCs w:val="24"/>
              </w:rPr>
              <w:t>USDC favored for payments/large transfers; USDT dominates trading.</w:t>
            </w:r>
          </w:p>
        </w:tc>
        <w:tc>
          <w:tcPr>
            <w:tcW w:w="0" w:type="auto"/>
            <w:hideMark/>
          </w:tcPr>
          <w:p w:rsidR="00272CDE" w:rsidRPr="00272CDE" w:rsidRDefault="00272CDE" w:rsidP="00272CD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72CDE">
              <w:rPr>
                <w:sz w:val="24"/>
                <w:szCs w:val="24"/>
              </w:rPr>
              <w:t xml:space="preserve">USDC average tx size consistently </w:t>
            </w:r>
            <w:r w:rsidRPr="00272CDE">
              <w:rPr>
                <w:b/>
                <w:bCs/>
                <w:sz w:val="24"/>
                <w:szCs w:val="24"/>
              </w:rPr>
              <w:t>larger than USDT</w:t>
            </w:r>
            <w:r w:rsidRPr="00272CDE">
              <w:rPr>
                <w:sz w:val="24"/>
                <w:szCs w:val="24"/>
              </w:rPr>
              <w:t xml:space="preserve"> since 2020.</w:t>
            </w:r>
          </w:p>
        </w:tc>
        <w:tc>
          <w:tcPr>
            <w:tcW w:w="0" w:type="auto"/>
            <w:hideMark/>
          </w:tcPr>
          <w:p w:rsidR="00272CDE" w:rsidRPr="00272CDE" w:rsidRDefault="00272CDE" w:rsidP="00272CD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72CDE">
              <w:rPr>
                <w:sz w:val="24"/>
                <w:szCs w:val="24"/>
              </w:rPr>
              <w:t>FXC Intelligence, IMF Working Paper</w:t>
            </w:r>
          </w:p>
        </w:tc>
      </w:tr>
      <w:tr w:rsidR="00272CDE" w:rsidRPr="00272CDE" w:rsidTr="0001048E">
        <w:trPr>
          <w:trHeight w:val="1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72CDE" w:rsidRPr="00272CDE" w:rsidRDefault="00272CDE" w:rsidP="00272CDE">
            <w:pPr>
              <w:spacing w:after="160" w:line="259" w:lineRule="auto"/>
              <w:rPr>
                <w:sz w:val="24"/>
                <w:szCs w:val="24"/>
              </w:rPr>
            </w:pPr>
            <w:r w:rsidRPr="00272CDE">
              <w:rPr>
                <w:sz w:val="24"/>
                <w:szCs w:val="24"/>
              </w:rPr>
              <w:t>Regulatory Trends</w:t>
            </w:r>
          </w:p>
        </w:tc>
        <w:tc>
          <w:tcPr>
            <w:tcW w:w="0" w:type="auto"/>
            <w:hideMark/>
          </w:tcPr>
          <w:p w:rsidR="00272CDE" w:rsidRPr="00272CDE" w:rsidRDefault="00272CDE" w:rsidP="00272CD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72CDE">
              <w:rPr>
                <w:sz w:val="24"/>
                <w:szCs w:val="24"/>
              </w:rPr>
              <w:t>Legislation &amp; institutional adoption shape future inflow/outflow patterns.</w:t>
            </w:r>
          </w:p>
        </w:tc>
        <w:tc>
          <w:tcPr>
            <w:tcW w:w="0" w:type="auto"/>
            <w:hideMark/>
          </w:tcPr>
          <w:p w:rsidR="00272CDE" w:rsidRPr="00272CDE" w:rsidRDefault="00272CDE" w:rsidP="00272CD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72CDE">
              <w:rPr>
                <w:sz w:val="24"/>
                <w:szCs w:val="24"/>
              </w:rPr>
              <w:t xml:space="preserve">Stablecoin adoption expected to </w:t>
            </w:r>
            <w:r w:rsidRPr="00272CDE">
              <w:rPr>
                <w:b/>
                <w:bCs/>
                <w:sz w:val="24"/>
                <w:szCs w:val="24"/>
              </w:rPr>
              <w:t>accelerate under new regulations</w:t>
            </w:r>
            <w:r w:rsidRPr="00272CDE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:rsidR="00272CDE" w:rsidRPr="00272CDE" w:rsidRDefault="00272CDE" w:rsidP="00272CD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72CDE">
              <w:rPr>
                <w:sz w:val="24"/>
                <w:szCs w:val="24"/>
              </w:rPr>
              <w:t>McKinsey Report (2025), IMF Working Paper</w:t>
            </w:r>
          </w:p>
        </w:tc>
      </w:tr>
    </w:tbl>
    <w:p w:rsidR="00267C69" w:rsidRDefault="00267C69"/>
    <w:p w:rsidR="00272CDE" w:rsidRDefault="00272CDE">
      <w:pPr>
        <w:rPr>
          <w:rFonts w:cstheme="minorHAnsi"/>
          <w:b/>
          <w:color w:val="4472C4" w:themeColor="accent5"/>
          <w:sz w:val="36"/>
          <w:szCs w:val="36"/>
          <w:u w:val="single"/>
        </w:rPr>
      </w:pPr>
      <w:r w:rsidRPr="00272CDE">
        <w:rPr>
          <w:rFonts w:cstheme="minorHAnsi"/>
          <w:b/>
          <w:color w:val="4472C4" w:themeColor="accent5"/>
          <w:sz w:val="36"/>
          <w:szCs w:val="36"/>
          <w:u w:val="single"/>
        </w:rPr>
        <w:t>Impact of M2 Money Supply on the Crypto Market</w:t>
      </w:r>
    </w:p>
    <w:tbl>
      <w:tblPr>
        <w:tblStyle w:val="GridTable4-Accent5"/>
        <w:tblW w:w="10221" w:type="dxa"/>
        <w:tblLook w:val="04A0" w:firstRow="1" w:lastRow="0" w:firstColumn="1" w:lastColumn="0" w:noHBand="0" w:noVBand="1"/>
      </w:tblPr>
      <w:tblGrid>
        <w:gridCol w:w="1608"/>
        <w:gridCol w:w="3349"/>
        <w:gridCol w:w="2560"/>
        <w:gridCol w:w="2704"/>
      </w:tblGrid>
      <w:tr w:rsidR="0001048E" w:rsidRPr="0001048E" w:rsidTr="000104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1048E" w:rsidRPr="0001048E" w:rsidRDefault="0001048E" w:rsidP="0001048E">
            <w:pPr>
              <w:pStyle w:val="Heading1"/>
              <w:rPr>
                <w:rFonts w:eastAsia="Times New Roman"/>
                <w:color w:val="FFFFFF" w:themeColor="background1"/>
              </w:rPr>
            </w:pPr>
            <w:r w:rsidRPr="0001048E">
              <w:rPr>
                <w:rFonts w:eastAsia="Times New Roman"/>
                <w:color w:val="FFFFFF" w:themeColor="background1"/>
              </w:rPr>
              <w:t>Aspect</w:t>
            </w:r>
          </w:p>
        </w:tc>
        <w:tc>
          <w:tcPr>
            <w:tcW w:w="0" w:type="auto"/>
            <w:hideMark/>
          </w:tcPr>
          <w:p w:rsidR="0001048E" w:rsidRPr="0001048E" w:rsidRDefault="0001048E" w:rsidP="0001048E">
            <w:pPr>
              <w:pStyle w:val="Heading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FFFFFF" w:themeColor="background1"/>
              </w:rPr>
            </w:pPr>
            <w:r w:rsidRPr="0001048E">
              <w:rPr>
                <w:rFonts w:eastAsia="Times New Roman"/>
                <w:color w:val="FFFFFF" w:themeColor="background1"/>
              </w:rPr>
              <w:t>Effect on Crypto Market</w:t>
            </w:r>
          </w:p>
        </w:tc>
        <w:tc>
          <w:tcPr>
            <w:tcW w:w="0" w:type="auto"/>
            <w:hideMark/>
          </w:tcPr>
          <w:p w:rsidR="0001048E" w:rsidRPr="0001048E" w:rsidRDefault="0001048E" w:rsidP="0001048E">
            <w:pPr>
              <w:pStyle w:val="Heading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FFFFFF" w:themeColor="background1"/>
              </w:rPr>
            </w:pPr>
            <w:r w:rsidRPr="0001048E">
              <w:rPr>
                <w:rFonts w:eastAsia="Times New Roman"/>
                <w:color w:val="FFFFFF" w:themeColor="background1"/>
              </w:rPr>
              <w:t>Research-backed Findings / Values</w:t>
            </w:r>
          </w:p>
        </w:tc>
        <w:tc>
          <w:tcPr>
            <w:tcW w:w="0" w:type="auto"/>
            <w:hideMark/>
          </w:tcPr>
          <w:p w:rsidR="0001048E" w:rsidRPr="0001048E" w:rsidRDefault="0001048E" w:rsidP="0001048E">
            <w:pPr>
              <w:pStyle w:val="Heading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FFFFFF" w:themeColor="background1"/>
              </w:rPr>
            </w:pPr>
            <w:r w:rsidRPr="0001048E">
              <w:rPr>
                <w:rFonts w:eastAsia="Times New Roman"/>
                <w:color w:val="FFFFFF" w:themeColor="background1"/>
              </w:rPr>
              <w:t>Source(s)</w:t>
            </w:r>
          </w:p>
        </w:tc>
      </w:tr>
      <w:tr w:rsidR="0001048E" w:rsidRPr="0001048E" w:rsidTr="000104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1048E" w:rsidRPr="0001048E" w:rsidRDefault="0001048E" w:rsidP="0001048E">
            <w:pPr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01048E">
              <w:rPr>
                <w:rFonts w:eastAsia="Times New Roman" w:cstheme="minorHAnsi"/>
                <w:sz w:val="24"/>
                <w:szCs w:val="24"/>
              </w:rPr>
              <w:t>M2 Money Supply Definition</w:t>
            </w:r>
          </w:p>
        </w:tc>
        <w:tc>
          <w:tcPr>
            <w:tcW w:w="0" w:type="auto"/>
            <w:hideMark/>
          </w:tcPr>
          <w:p w:rsidR="0001048E" w:rsidRPr="0001048E" w:rsidRDefault="0001048E" w:rsidP="000104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1048E">
              <w:rPr>
                <w:rFonts w:eastAsia="Times New Roman" w:cstheme="minorHAnsi"/>
                <w:sz w:val="24"/>
                <w:szCs w:val="24"/>
              </w:rPr>
              <w:t>Represents total liquid money supply (cash, checking deposits, savings, money market securities).</w:t>
            </w:r>
          </w:p>
        </w:tc>
        <w:tc>
          <w:tcPr>
            <w:tcW w:w="0" w:type="auto"/>
            <w:hideMark/>
          </w:tcPr>
          <w:p w:rsidR="0001048E" w:rsidRPr="0001048E" w:rsidRDefault="0001048E" w:rsidP="000104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1048E">
              <w:rPr>
                <w:rFonts w:eastAsia="Times New Roman" w:cstheme="minorHAnsi"/>
                <w:sz w:val="24"/>
                <w:szCs w:val="24"/>
              </w:rPr>
              <w:t xml:space="preserve">Acts as a key </w:t>
            </w:r>
            <w:r w:rsidRPr="0001048E">
              <w:rPr>
                <w:rFonts w:eastAsia="Times New Roman" w:cstheme="minorHAnsi"/>
                <w:b/>
                <w:bCs/>
                <w:sz w:val="24"/>
                <w:szCs w:val="24"/>
              </w:rPr>
              <w:t>indicator of liquidity &amp; inflationary pressures</w:t>
            </w:r>
            <w:r w:rsidRPr="0001048E">
              <w:rPr>
                <w:rFonts w:eastAsia="Times New Roman" w:cstheme="minorHAnsi"/>
                <w:sz w:val="24"/>
                <w:szCs w:val="24"/>
              </w:rPr>
              <w:t xml:space="preserve"> influencing asset prices.</w:t>
            </w:r>
          </w:p>
        </w:tc>
        <w:tc>
          <w:tcPr>
            <w:tcW w:w="0" w:type="auto"/>
            <w:hideMark/>
          </w:tcPr>
          <w:p w:rsidR="0001048E" w:rsidRPr="0001048E" w:rsidRDefault="0001048E" w:rsidP="000104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1048E">
              <w:rPr>
                <w:rFonts w:eastAsia="Times New Roman" w:cstheme="minorHAnsi"/>
                <w:sz w:val="24"/>
                <w:szCs w:val="24"/>
              </w:rPr>
              <w:t>Investopedia, Binance Academy</w:t>
            </w:r>
          </w:p>
        </w:tc>
      </w:tr>
      <w:tr w:rsidR="0001048E" w:rsidRPr="0001048E" w:rsidTr="0001048E">
        <w:trPr>
          <w:trHeight w:val="1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1048E" w:rsidRPr="0001048E" w:rsidRDefault="0001048E" w:rsidP="0001048E">
            <w:pPr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01048E">
              <w:rPr>
                <w:rFonts w:eastAsia="Times New Roman" w:cstheme="minorHAnsi"/>
                <w:sz w:val="24"/>
                <w:szCs w:val="24"/>
              </w:rPr>
              <w:t>Correlation with Bitcoin Price</w:t>
            </w:r>
          </w:p>
        </w:tc>
        <w:tc>
          <w:tcPr>
            <w:tcW w:w="0" w:type="auto"/>
            <w:hideMark/>
          </w:tcPr>
          <w:p w:rsidR="0001048E" w:rsidRPr="0001048E" w:rsidRDefault="0001048E" w:rsidP="00010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1048E">
              <w:rPr>
                <w:rFonts w:eastAsia="Times New Roman" w:cstheme="minorHAnsi"/>
                <w:sz w:val="24"/>
                <w:szCs w:val="24"/>
              </w:rPr>
              <w:t>Long-term positive correlation between M2 growth and Bitcoin price trends.</w:t>
            </w:r>
          </w:p>
        </w:tc>
        <w:tc>
          <w:tcPr>
            <w:tcW w:w="0" w:type="auto"/>
            <w:hideMark/>
          </w:tcPr>
          <w:p w:rsidR="0001048E" w:rsidRPr="0001048E" w:rsidRDefault="0001048E" w:rsidP="00010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1048E">
              <w:rPr>
                <w:rFonts w:eastAsia="Times New Roman" w:cstheme="minorHAnsi"/>
                <w:sz w:val="24"/>
                <w:szCs w:val="24"/>
              </w:rPr>
              <w:t xml:space="preserve">Correlation coefficient </w:t>
            </w:r>
            <w:r w:rsidRPr="0001048E">
              <w:rPr>
                <w:rFonts w:eastAsia="Times New Roman" w:cstheme="minorHAnsi"/>
                <w:b/>
                <w:bCs/>
                <w:sz w:val="24"/>
                <w:szCs w:val="24"/>
              </w:rPr>
              <w:t>0.75–0.80</w:t>
            </w:r>
            <w:r w:rsidRPr="0001048E">
              <w:rPr>
                <w:rFonts w:eastAsia="Times New Roman" w:cstheme="minorHAnsi"/>
                <w:sz w:val="24"/>
                <w:szCs w:val="24"/>
              </w:rPr>
              <w:t xml:space="preserve"> between M2 and Bitcoin (2017–2024).</w:t>
            </w:r>
          </w:p>
        </w:tc>
        <w:tc>
          <w:tcPr>
            <w:tcW w:w="0" w:type="auto"/>
            <w:hideMark/>
          </w:tcPr>
          <w:p w:rsidR="0001048E" w:rsidRPr="0001048E" w:rsidRDefault="0001048E" w:rsidP="00010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1048E">
              <w:rPr>
                <w:rFonts w:eastAsia="Times New Roman" w:cstheme="minorHAnsi"/>
                <w:sz w:val="24"/>
                <w:szCs w:val="24"/>
              </w:rPr>
              <w:t>S&amp;P Global Research, Sarson Funds</w:t>
            </w:r>
          </w:p>
        </w:tc>
      </w:tr>
      <w:tr w:rsidR="0001048E" w:rsidRPr="0001048E" w:rsidTr="000104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1048E" w:rsidRPr="0001048E" w:rsidRDefault="0001048E" w:rsidP="0001048E">
            <w:pPr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01048E">
              <w:rPr>
                <w:rFonts w:eastAsia="Times New Roman" w:cstheme="minorHAnsi"/>
                <w:sz w:val="24"/>
                <w:szCs w:val="24"/>
              </w:rPr>
              <w:t>Historical Price Impact</w:t>
            </w:r>
          </w:p>
        </w:tc>
        <w:tc>
          <w:tcPr>
            <w:tcW w:w="0" w:type="auto"/>
            <w:hideMark/>
          </w:tcPr>
          <w:p w:rsidR="0001048E" w:rsidRPr="0001048E" w:rsidRDefault="0001048E" w:rsidP="000104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1048E">
              <w:rPr>
                <w:rFonts w:eastAsia="Times New Roman" w:cstheme="minorHAnsi"/>
                <w:sz w:val="24"/>
                <w:szCs w:val="24"/>
              </w:rPr>
              <w:t>Expansions in M2 precede major Bitcoin bull runs; contractions often align with stagnation/declines.</w:t>
            </w:r>
          </w:p>
        </w:tc>
        <w:tc>
          <w:tcPr>
            <w:tcW w:w="0" w:type="auto"/>
            <w:hideMark/>
          </w:tcPr>
          <w:p w:rsidR="0001048E" w:rsidRPr="0001048E" w:rsidRDefault="0001048E" w:rsidP="000104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1048E">
              <w:rPr>
                <w:rFonts w:eastAsia="Times New Roman" w:cstheme="minorHAnsi"/>
                <w:sz w:val="24"/>
                <w:szCs w:val="24"/>
              </w:rPr>
              <w:t xml:space="preserve">Bitcoin rose </w:t>
            </w:r>
            <w:r w:rsidRPr="0001048E">
              <w:rPr>
                <w:rFonts w:eastAsia="Times New Roman" w:cstheme="minorHAnsi"/>
                <w:b/>
                <w:bCs/>
                <w:sz w:val="24"/>
                <w:szCs w:val="24"/>
              </w:rPr>
              <w:t>~400%</w:t>
            </w:r>
            <w:r w:rsidRPr="0001048E">
              <w:rPr>
                <w:rFonts w:eastAsia="Times New Roman" w:cstheme="minorHAnsi"/>
                <w:sz w:val="24"/>
                <w:szCs w:val="24"/>
              </w:rPr>
              <w:t xml:space="preserve"> during M2 expansions (2016–2017); retraced during tightening.</w:t>
            </w:r>
          </w:p>
        </w:tc>
        <w:tc>
          <w:tcPr>
            <w:tcW w:w="0" w:type="auto"/>
            <w:hideMark/>
          </w:tcPr>
          <w:p w:rsidR="0001048E" w:rsidRPr="0001048E" w:rsidRDefault="0001048E" w:rsidP="000104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1048E">
              <w:rPr>
                <w:rFonts w:eastAsia="Times New Roman" w:cstheme="minorHAnsi"/>
                <w:sz w:val="24"/>
                <w:szCs w:val="24"/>
              </w:rPr>
              <w:t>PineConnector Blog, Binance Market Analysis (2021–2025)</w:t>
            </w:r>
          </w:p>
        </w:tc>
      </w:tr>
      <w:tr w:rsidR="0001048E" w:rsidRPr="0001048E" w:rsidTr="0001048E">
        <w:trPr>
          <w:trHeight w:val="14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1048E" w:rsidRPr="0001048E" w:rsidRDefault="0001048E" w:rsidP="0001048E">
            <w:pPr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01048E">
              <w:rPr>
                <w:rFonts w:eastAsia="Times New Roman" w:cstheme="minorHAnsi"/>
                <w:sz w:val="24"/>
                <w:szCs w:val="24"/>
              </w:rPr>
              <w:t>Inflation Hedge Behavior</w:t>
            </w:r>
          </w:p>
        </w:tc>
        <w:tc>
          <w:tcPr>
            <w:tcW w:w="0" w:type="auto"/>
            <w:hideMark/>
          </w:tcPr>
          <w:p w:rsidR="0001048E" w:rsidRPr="0001048E" w:rsidRDefault="0001048E" w:rsidP="00010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1048E">
              <w:rPr>
                <w:rFonts w:eastAsia="Times New Roman" w:cstheme="minorHAnsi"/>
                <w:sz w:val="24"/>
                <w:szCs w:val="24"/>
              </w:rPr>
              <w:t>Higher M2 fuels inflation fears, boosting Bitcoin as a hedge/store of value.</w:t>
            </w:r>
          </w:p>
        </w:tc>
        <w:tc>
          <w:tcPr>
            <w:tcW w:w="0" w:type="auto"/>
            <w:hideMark/>
          </w:tcPr>
          <w:p w:rsidR="0001048E" w:rsidRPr="0001048E" w:rsidRDefault="0001048E" w:rsidP="00010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1048E">
              <w:rPr>
                <w:rFonts w:eastAsia="Times New Roman" w:cstheme="minorHAnsi"/>
                <w:sz w:val="24"/>
                <w:szCs w:val="24"/>
              </w:rPr>
              <w:t xml:space="preserve">During </w:t>
            </w:r>
            <w:r w:rsidRPr="0001048E">
              <w:rPr>
                <w:rFonts w:eastAsia="Times New Roman" w:cstheme="minorHAnsi"/>
                <w:b/>
                <w:bCs/>
                <w:sz w:val="24"/>
                <w:szCs w:val="24"/>
              </w:rPr>
              <w:t>2020–2022</w:t>
            </w:r>
            <w:r w:rsidRPr="0001048E">
              <w:rPr>
                <w:rFonts w:eastAsia="Times New Roman" w:cstheme="minorHAnsi"/>
                <w:sz w:val="24"/>
                <w:szCs w:val="24"/>
              </w:rPr>
              <w:t xml:space="preserve">, Bitcoin returns showed </w:t>
            </w:r>
            <w:r w:rsidRPr="0001048E">
              <w:rPr>
                <w:rFonts w:eastAsia="Times New Roman" w:cstheme="minorHAnsi"/>
                <w:b/>
                <w:bCs/>
                <w:sz w:val="24"/>
                <w:szCs w:val="24"/>
              </w:rPr>
              <w:t>R² ≈ 0.65</w:t>
            </w:r>
            <w:r w:rsidRPr="0001048E">
              <w:rPr>
                <w:rFonts w:eastAsia="Times New Roman" w:cstheme="minorHAnsi"/>
                <w:sz w:val="24"/>
                <w:szCs w:val="24"/>
              </w:rPr>
              <w:t xml:space="preserve"> with US inflation &amp; M2 growth.</w:t>
            </w:r>
          </w:p>
        </w:tc>
        <w:tc>
          <w:tcPr>
            <w:tcW w:w="0" w:type="auto"/>
            <w:hideMark/>
          </w:tcPr>
          <w:p w:rsidR="0001048E" w:rsidRPr="0001048E" w:rsidRDefault="0001048E" w:rsidP="00010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1048E">
              <w:rPr>
                <w:rFonts w:eastAsia="Times New Roman" w:cstheme="minorHAnsi"/>
                <w:sz w:val="24"/>
                <w:szCs w:val="24"/>
              </w:rPr>
              <w:t>Sarson Funds, CoinTelegraph</w:t>
            </w:r>
          </w:p>
        </w:tc>
      </w:tr>
      <w:tr w:rsidR="0001048E" w:rsidRPr="0001048E" w:rsidTr="000104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1048E" w:rsidRPr="0001048E" w:rsidRDefault="0001048E" w:rsidP="0001048E">
            <w:pPr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01048E">
              <w:rPr>
                <w:rFonts w:eastAsia="Times New Roman" w:cstheme="minorHAnsi"/>
                <w:sz w:val="24"/>
                <w:szCs w:val="24"/>
              </w:rPr>
              <w:t>Volume &amp; Liquidity Effects</w:t>
            </w:r>
          </w:p>
        </w:tc>
        <w:tc>
          <w:tcPr>
            <w:tcW w:w="0" w:type="auto"/>
            <w:hideMark/>
          </w:tcPr>
          <w:p w:rsidR="0001048E" w:rsidRPr="0001048E" w:rsidRDefault="0001048E" w:rsidP="000104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1048E">
              <w:rPr>
                <w:rFonts w:eastAsia="Times New Roman" w:cstheme="minorHAnsi"/>
                <w:sz w:val="24"/>
                <w:szCs w:val="24"/>
              </w:rPr>
              <w:t>Rising M2 increases fiat liquidity, driving inflows into stablecoins &amp; crypto trading.</w:t>
            </w:r>
          </w:p>
        </w:tc>
        <w:tc>
          <w:tcPr>
            <w:tcW w:w="0" w:type="auto"/>
            <w:hideMark/>
          </w:tcPr>
          <w:p w:rsidR="0001048E" w:rsidRPr="0001048E" w:rsidRDefault="0001048E" w:rsidP="000104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1048E">
              <w:rPr>
                <w:rFonts w:eastAsia="Times New Roman" w:cstheme="minorHAnsi"/>
                <w:sz w:val="24"/>
                <w:szCs w:val="24"/>
              </w:rPr>
              <w:t xml:space="preserve">Stablecoin monthly trading volume surged </w:t>
            </w:r>
            <w:r w:rsidRPr="0001048E">
              <w:rPr>
                <w:rFonts w:eastAsia="Times New Roman" w:cstheme="minorHAnsi"/>
                <w:b/>
                <w:bCs/>
                <w:sz w:val="24"/>
                <w:szCs w:val="24"/>
              </w:rPr>
              <w:t>+90% in 2024</w:t>
            </w:r>
            <w:r w:rsidRPr="0001048E">
              <w:rPr>
                <w:rFonts w:eastAsia="Times New Roman" w:cstheme="minorHAnsi"/>
                <w:sz w:val="24"/>
                <w:szCs w:val="24"/>
              </w:rPr>
              <w:t>, strongly linked to M2 growth.</w:t>
            </w:r>
          </w:p>
        </w:tc>
        <w:tc>
          <w:tcPr>
            <w:tcW w:w="0" w:type="auto"/>
            <w:hideMark/>
          </w:tcPr>
          <w:p w:rsidR="0001048E" w:rsidRPr="0001048E" w:rsidRDefault="0001048E" w:rsidP="000104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1048E">
              <w:rPr>
                <w:rFonts w:eastAsia="Times New Roman" w:cstheme="minorHAnsi"/>
                <w:sz w:val="24"/>
                <w:szCs w:val="24"/>
              </w:rPr>
              <w:t>IMF Stablecoin Report, Glassnode</w:t>
            </w:r>
          </w:p>
        </w:tc>
      </w:tr>
      <w:tr w:rsidR="0001048E" w:rsidRPr="0001048E" w:rsidTr="0001048E">
        <w:trPr>
          <w:trHeight w:val="1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1048E" w:rsidRPr="0001048E" w:rsidRDefault="0001048E" w:rsidP="0001048E">
            <w:pPr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01048E">
              <w:rPr>
                <w:rFonts w:eastAsia="Times New Roman" w:cstheme="minorHAnsi"/>
                <w:sz w:val="24"/>
                <w:szCs w:val="24"/>
              </w:rPr>
              <w:t>Monetary Policy Impact</w:t>
            </w:r>
          </w:p>
        </w:tc>
        <w:tc>
          <w:tcPr>
            <w:tcW w:w="0" w:type="auto"/>
            <w:hideMark/>
          </w:tcPr>
          <w:p w:rsidR="0001048E" w:rsidRPr="0001048E" w:rsidRDefault="0001048E" w:rsidP="00010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1048E">
              <w:rPr>
                <w:rFonts w:eastAsia="Times New Roman" w:cstheme="minorHAnsi"/>
                <w:sz w:val="24"/>
                <w:szCs w:val="24"/>
              </w:rPr>
              <w:t>QE &amp; expansionary policies (M2 ↑) fuel crypto bull markets; tightening dampens returns.</w:t>
            </w:r>
          </w:p>
        </w:tc>
        <w:tc>
          <w:tcPr>
            <w:tcW w:w="0" w:type="auto"/>
            <w:hideMark/>
          </w:tcPr>
          <w:p w:rsidR="0001048E" w:rsidRPr="0001048E" w:rsidRDefault="0001048E" w:rsidP="00010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1048E">
              <w:rPr>
                <w:rFonts w:eastAsia="Times New Roman" w:cstheme="minorHAnsi"/>
                <w:sz w:val="24"/>
                <w:szCs w:val="24"/>
              </w:rPr>
              <w:t xml:space="preserve">US M2 expanded </w:t>
            </w:r>
            <w:r w:rsidRPr="0001048E">
              <w:rPr>
                <w:rFonts w:eastAsia="Times New Roman" w:cstheme="minorHAnsi"/>
                <w:b/>
                <w:bCs/>
                <w:sz w:val="24"/>
                <w:szCs w:val="24"/>
              </w:rPr>
              <w:t>15–20% annually (2020–2021)</w:t>
            </w:r>
            <w:r w:rsidRPr="0001048E">
              <w:rPr>
                <w:rFonts w:eastAsia="Times New Roman" w:cstheme="minorHAnsi"/>
                <w:sz w:val="24"/>
                <w:szCs w:val="24"/>
              </w:rPr>
              <w:t xml:space="preserve"> → Bitcoin surged </w:t>
            </w:r>
            <w:r w:rsidRPr="0001048E">
              <w:rPr>
                <w:rFonts w:eastAsia="Times New Roman" w:cstheme="minorHAnsi"/>
                <w:b/>
                <w:bCs/>
                <w:sz w:val="24"/>
                <w:szCs w:val="24"/>
              </w:rPr>
              <w:t>300%+</w:t>
            </w:r>
            <w:r w:rsidRPr="0001048E">
              <w:rPr>
                <w:rFonts w:eastAsia="Times New Roman" w:cstheme="minorHAnsi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:rsidR="0001048E" w:rsidRPr="0001048E" w:rsidRDefault="0001048E" w:rsidP="00010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1048E">
              <w:rPr>
                <w:rFonts w:eastAsia="Times New Roman" w:cstheme="minorHAnsi"/>
                <w:sz w:val="24"/>
                <w:szCs w:val="24"/>
              </w:rPr>
              <w:t>IMF Working Papers, S&amp;P Global</w:t>
            </w:r>
          </w:p>
        </w:tc>
      </w:tr>
      <w:tr w:rsidR="0001048E" w:rsidRPr="0001048E" w:rsidTr="000104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1048E" w:rsidRPr="0001048E" w:rsidRDefault="0001048E" w:rsidP="0001048E">
            <w:pPr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01048E">
              <w:rPr>
                <w:rFonts w:eastAsia="Times New Roman" w:cstheme="minorHAnsi"/>
                <w:sz w:val="24"/>
                <w:szCs w:val="24"/>
              </w:rPr>
              <w:t>Global M2 &amp; Crypto Demand</w:t>
            </w:r>
          </w:p>
        </w:tc>
        <w:tc>
          <w:tcPr>
            <w:tcW w:w="0" w:type="auto"/>
            <w:hideMark/>
          </w:tcPr>
          <w:p w:rsidR="0001048E" w:rsidRPr="0001048E" w:rsidRDefault="0001048E" w:rsidP="000104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1048E">
              <w:rPr>
                <w:rFonts w:eastAsia="Times New Roman" w:cstheme="minorHAnsi"/>
                <w:sz w:val="24"/>
                <w:szCs w:val="24"/>
              </w:rPr>
              <w:t>Regional M2 expansions boost localized crypto demand &amp; adoption.</w:t>
            </w:r>
          </w:p>
        </w:tc>
        <w:tc>
          <w:tcPr>
            <w:tcW w:w="0" w:type="auto"/>
            <w:hideMark/>
          </w:tcPr>
          <w:p w:rsidR="0001048E" w:rsidRPr="0001048E" w:rsidRDefault="0001048E" w:rsidP="000104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1048E">
              <w:rPr>
                <w:rFonts w:eastAsia="Times New Roman" w:cstheme="minorHAnsi"/>
                <w:sz w:val="24"/>
                <w:szCs w:val="24"/>
              </w:rPr>
              <w:t xml:space="preserve">LatAm &amp; Africa M2 growth linked to </w:t>
            </w:r>
            <w:r w:rsidRPr="0001048E">
              <w:rPr>
                <w:rFonts w:eastAsia="Times New Roman" w:cstheme="minorHAnsi"/>
                <w:b/>
                <w:bCs/>
                <w:sz w:val="24"/>
                <w:szCs w:val="24"/>
              </w:rPr>
              <w:t>40–60% annual increase</w:t>
            </w:r>
            <w:r w:rsidRPr="0001048E">
              <w:rPr>
                <w:rFonts w:eastAsia="Times New Roman" w:cstheme="minorHAnsi"/>
                <w:sz w:val="24"/>
                <w:szCs w:val="24"/>
              </w:rPr>
              <w:t xml:space="preserve"> in crypto adoption.</w:t>
            </w:r>
          </w:p>
        </w:tc>
        <w:tc>
          <w:tcPr>
            <w:tcW w:w="0" w:type="auto"/>
            <w:hideMark/>
          </w:tcPr>
          <w:p w:rsidR="0001048E" w:rsidRPr="0001048E" w:rsidRDefault="0001048E" w:rsidP="000104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1048E">
              <w:rPr>
                <w:rFonts w:eastAsia="Times New Roman" w:cstheme="minorHAnsi"/>
                <w:sz w:val="24"/>
                <w:szCs w:val="24"/>
              </w:rPr>
              <w:t>IMF eLibrary, BitcoinCounterFlow Reports</w:t>
            </w:r>
          </w:p>
        </w:tc>
      </w:tr>
      <w:tr w:rsidR="0001048E" w:rsidRPr="0001048E" w:rsidTr="0001048E">
        <w:trPr>
          <w:trHeight w:val="12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1048E" w:rsidRPr="0001048E" w:rsidRDefault="0001048E" w:rsidP="0001048E">
            <w:pPr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01048E">
              <w:rPr>
                <w:rFonts w:eastAsia="Times New Roman" w:cstheme="minorHAnsi"/>
                <w:sz w:val="24"/>
                <w:szCs w:val="24"/>
              </w:rPr>
              <w:lastRenderedPageBreak/>
              <w:t>Volatility Influence</w:t>
            </w:r>
          </w:p>
        </w:tc>
        <w:tc>
          <w:tcPr>
            <w:tcW w:w="0" w:type="auto"/>
            <w:hideMark/>
          </w:tcPr>
          <w:p w:rsidR="0001048E" w:rsidRPr="0001048E" w:rsidRDefault="0001048E" w:rsidP="00010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1048E">
              <w:rPr>
                <w:rFonts w:eastAsia="Times New Roman" w:cstheme="minorHAnsi"/>
                <w:sz w:val="24"/>
                <w:szCs w:val="24"/>
              </w:rPr>
              <w:t>Rapid M2 shifts amplify crypto volatility via sentiment swings.</w:t>
            </w:r>
          </w:p>
        </w:tc>
        <w:tc>
          <w:tcPr>
            <w:tcW w:w="0" w:type="auto"/>
            <w:hideMark/>
          </w:tcPr>
          <w:p w:rsidR="0001048E" w:rsidRPr="0001048E" w:rsidRDefault="0001048E" w:rsidP="00010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1048E">
              <w:rPr>
                <w:rFonts w:eastAsia="Times New Roman" w:cstheme="minorHAnsi"/>
                <w:sz w:val="24"/>
                <w:szCs w:val="24"/>
              </w:rPr>
              <w:t xml:space="preserve">Realized BTC volatility rose </w:t>
            </w:r>
            <w:r w:rsidRPr="0001048E">
              <w:rPr>
                <w:rFonts w:eastAsia="Times New Roman" w:cstheme="minorHAnsi"/>
                <w:b/>
                <w:bCs/>
                <w:sz w:val="24"/>
                <w:szCs w:val="24"/>
              </w:rPr>
              <w:t>30–40%</w:t>
            </w:r>
            <w:r w:rsidRPr="0001048E">
              <w:rPr>
                <w:rFonts w:eastAsia="Times New Roman" w:cstheme="minorHAnsi"/>
                <w:sz w:val="24"/>
                <w:szCs w:val="24"/>
              </w:rPr>
              <w:t xml:space="preserve"> during abrupt M2 changes (2020–2021).</w:t>
            </w:r>
          </w:p>
        </w:tc>
        <w:tc>
          <w:tcPr>
            <w:tcW w:w="0" w:type="auto"/>
            <w:hideMark/>
          </w:tcPr>
          <w:p w:rsidR="0001048E" w:rsidRPr="0001048E" w:rsidRDefault="0001048E" w:rsidP="00010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1048E">
              <w:rPr>
                <w:rFonts w:eastAsia="Times New Roman" w:cstheme="minorHAnsi"/>
                <w:sz w:val="24"/>
                <w:szCs w:val="24"/>
              </w:rPr>
              <w:t>Sarson Funds, Binance Analytics</w:t>
            </w:r>
          </w:p>
        </w:tc>
      </w:tr>
      <w:tr w:rsidR="0001048E" w:rsidRPr="0001048E" w:rsidTr="000104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1048E" w:rsidRPr="0001048E" w:rsidRDefault="0001048E" w:rsidP="0001048E">
            <w:pPr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01048E">
              <w:rPr>
                <w:rFonts w:eastAsia="Times New Roman" w:cstheme="minorHAnsi"/>
                <w:sz w:val="24"/>
                <w:szCs w:val="24"/>
              </w:rPr>
              <w:t>Limitations</w:t>
            </w:r>
          </w:p>
        </w:tc>
        <w:tc>
          <w:tcPr>
            <w:tcW w:w="0" w:type="auto"/>
            <w:hideMark/>
          </w:tcPr>
          <w:p w:rsidR="0001048E" w:rsidRPr="0001048E" w:rsidRDefault="0001048E" w:rsidP="000104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1048E">
              <w:rPr>
                <w:rFonts w:eastAsia="Times New Roman" w:cstheme="minorHAnsi"/>
                <w:sz w:val="24"/>
                <w:szCs w:val="24"/>
              </w:rPr>
              <w:t>Relationship weakens during market crises or macro shocks.</w:t>
            </w:r>
          </w:p>
        </w:tc>
        <w:tc>
          <w:tcPr>
            <w:tcW w:w="0" w:type="auto"/>
            <w:hideMark/>
          </w:tcPr>
          <w:p w:rsidR="0001048E" w:rsidRPr="0001048E" w:rsidRDefault="0001048E" w:rsidP="000104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1048E">
              <w:rPr>
                <w:rFonts w:eastAsia="Times New Roman" w:cstheme="minorHAnsi"/>
                <w:sz w:val="24"/>
                <w:szCs w:val="24"/>
              </w:rPr>
              <w:t xml:space="preserve">Correlation fell </w:t>
            </w:r>
            <w:r w:rsidRPr="0001048E">
              <w:rPr>
                <w:rFonts w:eastAsia="Times New Roman" w:cstheme="minorHAnsi"/>
                <w:b/>
                <w:bCs/>
                <w:sz w:val="24"/>
                <w:szCs w:val="24"/>
              </w:rPr>
              <w:t>&lt;0.4</w:t>
            </w:r>
            <w:r w:rsidRPr="0001048E">
              <w:rPr>
                <w:rFonts w:eastAsia="Times New Roman" w:cstheme="minorHAnsi"/>
                <w:sz w:val="24"/>
                <w:szCs w:val="24"/>
              </w:rPr>
              <w:t xml:space="preserve"> during COVID crash (early 2020).</w:t>
            </w:r>
          </w:p>
        </w:tc>
        <w:tc>
          <w:tcPr>
            <w:tcW w:w="0" w:type="auto"/>
            <w:hideMark/>
          </w:tcPr>
          <w:p w:rsidR="0001048E" w:rsidRPr="0001048E" w:rsidRDefault="0001048E" w:rsidP="000104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1048E">
              <w:rPr>
                <w:rFonts w:eastAsia="Times New Roman" w:cstheme="minorHAnsi"/>
                <w:sz w:val="24"/>
                <w:szCs w:val="24"/>
              </w:rPr>
              <w:t>Jönköping Univ. Study (2025)</w:t>
            </w:r>
          </w:p>
        </w:tc>
      </w:tr>
    </w:tbl>
    <w:p w:rsidR="00272CDE" w:rsidRPr="009F6D83" w:rsidRDefault="00272CDE">
      <w:pPr>
        <w:rPr>
          <w:rFonts w:cstheme="minorHAnsi"/>
          <w:color w:val="4472C4" w:themeColor="accent5"/>
          <w:sz w:val="24"/>
          <w:szCs w:val="24"/>
        </w:rPr>
      </w:pPr>
    </w:p>
    <w:sectPr w:rsidR="00272CDE" w:rsidRPr="009F6D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C09"/>
    <w:rsid w:val="0001048E"/>
    <w:rsid w:val="00267C69"/>
    <w:rsid w:val="00272CDE"/>
    <w:rsid w:val="003C1B9B"/>
    <w:rsid w:val="00973C09"/>
    <w:rsid w:val="009F6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F7E077-5583-44AF-A421-42F6A0B21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CD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1">
    <w:name w:val="Plain Table 1"/>
    <w:basedOn w:val="TableNormal"/>
    <w:uiPriority w:val="41"/>
    <w:rsid w:val="003C1B9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5">
    <w:name w:val="Grid Table 4 Accent 5"/>
    <w:basedOn w:val="TableNormal"/>
    <w:uiPriority w:val="49"/>
    <w:rsid w:val="00272CDE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4-Accent4">
    <w:name w:val="Grid Table 4 Accent 4"/>
    <w:basedOn w:val="TableNormal"/>
    <w:uiPriority w:val="49"/>
    <w:rsid w:val="00272CDE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272CD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0104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8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4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9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572</Words>
  <Characters>3263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Hasnain</dc:creator>
  <cp:keywords/>
  <dc:description/>
  <cp:lastModifiedBy>Hasnain</cp:lastModifiedBy>
  <cp:revision>1</cp:revision>
  <dcterms:created xsi:type="dcterms:W3CDTF">2025-08-21T06:23:00Z</dcterms:created>
  <dcterms:modified xsi:type="dcterms:W3CDTF">2025-08-21T07:18:00Z</dcterms:modified>
</cp:coreProperties>
</file>